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31750</wp:posOffset>
            </wp:positionV>
            <wp:extent cx="39687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115"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6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color w:val="auto"/>
        </w:rPr>
        <w:t>CURRENT REPORT</w:t>
      </w:r>
    </w:p>
    <w:p>
      <w:pPr>
        <w:spacing w:after="0" w:line="15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31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Date of Report: February 20, 2025</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13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79"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3380" w:type="dxa"/>
            <w:vAlign w:val="bottom"/>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3040" w:type="dxa"/>
            <w:vAlign w:val="bottom"/>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rPr>
              <w:t>814-00891</w:t>
            </w:r>
          </w:p>
        </w:tc>
        <w:tc>
          <w:tcPr>
            <w:tcW w:w="296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27-3794690</w:t>
            </w:r>
          </w:p>
        </w:tc>
        <w:tc>
          <w:tcPr>
            <w:tcW w:w="0" w:type="dxa"/>
            <w:vAlign w:val="bottom"/>
          </w:tcPr>
          <w:p>
            <w:pPr>
              <w:spacing w:after="0"/>
              <w:rPr>
                <w:sz w:val="1"/>
                <w:szCs w:val="1"/>
                <w:color w:val="auto"/>
              </w:rPr>
            </w:pPr>
          </w:p>
        </w:tc>
      </w:tr>
      <w:tr>
        <w:trPr>
          <w:trHeight w:val="188"/>
        </w:trPr>
        <w:tc>
          <w:tcPr>
            <w:tcW w:w="338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2960" w:type="dxa"/>
            <w:vAlign w:val="bottom"/>
          </w:tcPr>
          <w:p>
            <w:pPr>
              <w:jc w:val="center"/>
              <w:ind w:left="648"/>
              <w:spacing w:after="0"/>
              <w:rPr>
                <w:sz w:val="20"/>
                <w:szCs w:val="20"/>
                <w:color w:val="auto"/>
              </w:rPr>
            </w:pPr>
            <w:r>
              <w:rPr>
                <w:rFonts w:ascii="Times New Roman" w:cs="Times New Roman" w:eastAsia="Times New Roman" w:hAnsi="Times New Roman"/>
                <w:sz w:val="14"/>
                <w:szCs w:val="14"/>
                <w:color w:val="auto"/>
              </w:rPr>
              <w:t>(IRS Employer Identification Number)</w:t>
            </w:r>
          </w:p>
        </w:tc>
        <w:tc>
          <w:tcPr>
            <w:tcW w:w="0" w:type="dxa"/>
            <w:vAlign w:val="bottom"/>
          </w:tcPr>
          <w:p>
            <w:pPr>
              <w:spacing w:after="0"/>
              <w:rPr>
                <w:sz w:val="1"/>
                <w:szCs w:val="1"/>
                <w:color w:val="auto"/>
              </w:rPr>
            </w:pPr>
          </w:p>
        </w:tc>
      </w:tr>
      <w:tr>
        <w:trPr>
          <w:trHeight w:val="498"/>
        </w:trPr>
        <w:tc>
          <w:tcPr>
            <w:tcW w:w="338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1691 Michigan Avenue</w:t>
            </w:r>
          </w:p>
        </w:tc>
        <w:tc>
          <w:tcPr>
            <w:tcW w:w="3040" w:type="dxa"/>
            <w:vAlign w:val="bottom"/>
          </w:tcPr>
          <w:p>
            <w:pPr>
              <w:spacing w:after="0"/>
              <w:rPr>
                <w:sz w:val="24"/>
                <w:szCs w:val="24"/>
                <w:color w:val="auto"/>
              </w:rPr>
            </w:pPr>
          </w:p>
        </w:tc>
        <w:tc>
          <w:tcPr>
            <w:tcW w:w="2960" w:type="dxa"/>
            <w:vAlign w:val="bottom"/>
            <w:vMerge w:val="restart"/>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rPr>
              <w:t>33139</w:t>
            </w:r>
          </w:p>
        </w:tc>
        <w:tc>
          <w:tcPr>
            <w:tcW w:w="0" w:type="dxa"/>
            <w:vAlign w:val="bottom"/>
          </w:tcPr>
          <w:p>
            <w:pPr>
              <w:spacing w:after="0"/>
              <w:rPr>
                <w:sz w:val="1"/>
                <w:szCs w:val="1"/>
                <w:color w:val="auto"/>
              </w:rPr>
            </w:pPr>
          </w:p>
        </w:tc>
      </w:tr>
      <w:tr>
        <w:trPr>
          <w:trHeight w:val="70"/>
        </w:trPr>
        <w:tc>
          <w:tcPr>
            <w:tcW w:w="3380" w:type="dxa"/>
            <w:vAlign w:val="bottom"/>
            <w:vMerge w:val="restart"/>
          </w:tcPr>
          <w:p>
            <w:pPr>
              <w:jc w:val="center"/>
              <w:ind w:right="388"/>
              <w:spacing w:after="0" w:line="151" w:lineRule="exact"/>
              <w:rPr>
                <w:sz w:val="20"/>
                <w:szCs w:val="20"/>
                <w:color w:val="auto"/>
              </w:rPr>
            </w:pPr>
            <w:r>
              <w:rPr>
                <w:rFonts w:ascii="Times New Roman" w:cs="Times New Roman" w:eastAsia="Times New Roman" w:hAnsi="Times New Roman"/>
                <w:sz w:val="14"/>
                <w:szCs w:val="14"/>
                <w:b w:val="1"/>
                <w:bCs w:val="1"/>
                <w:color w:val="auto"/>
              </w:rPr>
              <w:t>Miami Beach, Florida</w:t>
            </w:r>
          </w:p>
        </w:tc>
        <w:tc>
          <w:tcPr>
            <w:tcW w:w="3040" w:type="dxa"/>
            <w:vAlign w:val="bottom"/>
          </w:tcPr>
          <w:p>
            <w:pPr>
              <w:spacing w:after="0"/>
              <w:rPr>
                <w:sz w:val="6"/>
                <w:szCs w:val="6"/>
                <w:color w:val="auto"/>
              </w:rPr>
            </w:pPr>
          </w:p>
        </w:tc>
        <w:tc>
          <w:tcPr>
            <w:tcW w:w="2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338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29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07"/>
        </w:trPr>
        <w:tc>
          <w:tcPr>
            <w:tcW w:w="3380" w:type="dxa"/>
            <w:vAlign w:val="bottom"/>
            <w:vMerge w:val="restart"/>
          </w:tcPr>
          <w:p>
            <w:pPr>
              <w:jc w:val="center"/>
              <w:ind w:right="34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040" w:type="dxa"/>
            <w:vAlign w:val="bottom"/>
          </w:tcPr>
          <w:p>
            <w:pPr>
              <w:spacing w:after="0"/>
              <w:rPr>
                <w:sz w:val="9"/>
                <w:szCs w:val="9"/>
                <w:color w:val="auto"/>
              </w:rPr>
            </w:pPr>
          </w:p>
        </w:tc>
        <w:tc>
          <w:tcPr>
            <w:tcW w:w="2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38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2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16"/>
        <w:spacing w:after="0"/>
        <w:tabs>
          <w:tab w:leader="none" w:pos="2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4"/>
          <w:szCs w:val="14"/>
          <w:color w:val="auto"/>
          <w:highlight w:val="black"/>
        </w:rPr>
      </w:pPr>
    </w:p>
    <w:p>
      <w:pPr>
        <w:ind w:left="260" w:hanging="216"/>
        <w:spacing w:after="0"/>
        <w:tabs>
          <w:tab w:leader="none" w:pos="2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4"/>
          <w:szCs w:val="14"/>
          <w:color w:val="auto"/>
          <w:highlight w:val="black"/>
        </w:rPr>
      </w:pPr>
    </w:p>
    <w:p>
      <w:pPr>
        <w:ind w:left="220" w:hanging="176"/>
        <w:spacing w:after="0"/>
        <w:tabs>
          <w:tab w:leader="none" w:pos="22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4"/>
          <w:szCs w:val="14"/>
          <w:color w:val="auto"/>
          <w:highlight w:val="black"/>
        </w:rPr>
      </w:pPr>
    </w:p>
    <w:p>
      <w:pPr>
        <w:ind w:left="220" w:hanging="176"/>
        <w:spacing w:after="0"/>
        <w:tabs>
          <w:tab w:leader="none" w:pos="22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40"/>
          </w:cols>
          <w:pgMar w:left="320" w:top="1305" w:right="439" w:bottom="1440" w:gutter="0" w:footer="0" w:header="0"/>
        </w:sectPr>
      </w:pPr>
    </w:p>
    <w:p>
      <w:pPr>
        <w:spacing w:after="0" w:line="21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17" w:lineRule="exact"/>
        <w:rPr>
          <w:sz w:val="24"/>
          <w:szCs w:val="24"/>
          <w:color w:val="auto"/>
        </w:rPr>
      </w:pPr>
    </w:p>
    <w:p>
      <w:pPr>
        <w:sectPr>
          <w:pgSz w:w="11900" w:h="16838" w:orient="portrait"/>
          <w:cols w:equalWidth="0" w:num="3">
            <w:col w:w="4380" w:space="720"/>
            <w:col w:w="2040" w:space="720"/>
            <w:col w:w="3280"/>
          </w:cols>
          <w:pgMar w:left="320" w:top="1305" w:right="43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PFLT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New York Stock Exchange</w:t>
      </w:r>
    </w:p>
    <w:p>
      <w:pPr>
        <w:spacing w:after="0" w:line="181" w:lineRule="exact"/>
        <w:rPr>
          <w:sz w:val="24"/>
          <w:szCs w:val="24"/>
          <w:color w:val="auto"/>
        </w:rPr>
      </w:pPr>
    </w:p>
    <w:p>
      <w:pPr>
        <w:sectPr>
          <w:pgSz w:w="11900" w:h="16838" w:orient="portrait"/>
          <w:cols w:equalWidth="0" w:num="3">
            <w:col w:w="4800" w:space="720"/>
            <w:col w:w="2100" w:space="720"/>
            <w:col w:w="2800"/>
          </w:cols>
          <w:pgMar w:left="320" w:top="1305" w:right="4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66"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type w:val="continuous"/>
        </w:sectPr>
      </w:pPr>
    </w:p>
    <w:bookmarkStart w:id="1" w:name="page2"/>
    <w:bookmarkEnd w:id="1"/>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1.01. Entry into Material Definitive Agreements.</w:t>
      </w:r>
    </w:p>
    <w:p>
      <w:pPr>
        <w:spacing w:after="0" w:line="162"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On February 20, 2025, (the “Closing Date”), PennantPark Floating Rate Capital Ltd. (the “Company”) completed a $474.6 million term debt securitization transaction (the “CLO Transaction”), also known as a collateralized loan obligation transaction, which is a form of secured financing incurred by the Company. The secured notes and subordinated notes issued in the CLO Transaction and the secured loan borrowed in the CLO Transaction were issued and incurred by the Company’s consolidated subsidiary, PennantPark CLO 11, LLC, a Delaware limited liability company (the “Issuer”), and are backed by a portfolio of collateral obligations consisting of middle market loans and participation interests in middle market loans as well as by other assets of the Issuer.</w:t>
      </w:r>
    </w:p>
    <w:p>
      <w:pPr>
        <w:spacing w:after="0" w:line="187" w:lineRule="exact"/>
        <w:rPr>
          <w:sz w:val="20"/>
          <w:szCs w:val="20"/>
          <w:color w:val="auto"/>
        </w:rPr>
      </w:pPr>
    </w:p>
    <w:p>
      <w:pPr>
        <w:jc w:val="both"/>
        <w:ind w:firstLine="389"/>
        <w:spacing w:after="0" w:line="253" w:lineRule="auto"/>
        <w:rPr>
          <w:sz w:val="20"/>
          <w:szCs w:val="20"/>
          <w:color w:val="auto"/>
        </w:rPr>
      </w:pPr>
      <w:r>
        <w:rPr>
          <w:rFonts w:ascii="Times New Roman" w:cs="Times New Roman" w:eastAsia="Times New Roman" w:hAnsi="Times New Roman"/>
          <w:sz w:val="18"/>
          <w:szCs w:val="18"/>
          <w:color w:val="auto"/>
        </w:rPr>
        <w:t>The CLO Transaction was executed by (A) the issuance of the following classes of notes pursuant to an indenture dated as of the Closing Date (the “Indenture”), by and among the Issuers and Western Alliance Trust Company, National Association: (i) $220.5 million of AAA(sf) Class A-1 Notes, which bear interest at the three-month secured overnight financing rate published by the Federal Reserve Bank of New York (“SOFR”) plus 1.49%, (ii) $19 million of AAA(sf) Class A-2 Notes, which bear interest at three-month SOFR plus 1.60%, (iii) $28.5 million of AA(sf) Class B Notes, which bear interest at three-month SOFR plus 1.75%, (iv) $38 million of A(sf) Class C Notes, which bear interest at three-month SOFR plus 2.20%, (v) $28.5 million of BBB-(sf) Class D Notes, which bear interest at three-month SOFR plus 3.60%, (together, the “Secured Notes”), and (vi) $85.1 million of subordinated notes (“Subordinated Notes”) and (B) the borrowing by the Issuers of $10.0 million under AAA(sf) Class A-1L-A floating rate loans and $45.0 million under AAA(sf) Class A-1L-B floating rate loans (together, the “Class A-1 Loans,” and collectively with the Secured Notes and Subordinated Notes, the “Debt”), which bear interest at three-month SOFR plus 1.49%, under a credit agreement (the “Credit Agreement”), dated as of the Closing Date, by and among the Issuer, as borrower, various financial institutions, as lenders, and Western Alliance Trust Company, National Association, as collateral agent and as loan agent. The Class A-1 Loans and the Secured Notes are secured by the middle market loans, participation interests in middle market loans and other assets of the Issuer. The Debt is scheduled to mature on April 20, 2037.</w:t>
      </w:r>
    </w:p>
    <w:p>
      <w:pPr>
        <w:spacing w:after="0" w:line="190"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As part of the CLO Transaction, the Company entered into a master loan sale agreement with the Issuer and the Company, dated as of the Closing Date, which provided for the sale and contribution of approximately $423.6 million par amount of middle market loans, and closing date participation interests in middle market loans, from the Company to the Issuer on the Closing Date and for future sales and contributions, as applicable, from the Company to the Issuer on an ongoing basis. Such loans and closing date participation interests constituted the initial portfolio of assets securing the Class A-1 Loans and the Secured Notes. The Company made customary representations, warranties, and covenants to the Issuer under the applicable agreement.</w:t>
      </w:r>
    </w:p>
    <w:p>
      <w:pPr>
        <w:spacing w:after="0" w:line="183"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The Company will continue to retain the Class D Notes and the Subordinated Notes. Through no later than April 20, 2029, a portion of the proceeds received by the Issuer from the loans securing the Class A-1 Loans and the Secured Notes may be used by the Issuer to purchase additional middle market loans under the direction of PennantPark Investment Advisers, LLC (“PennantPark”), the Company’s investment adviser, in its capacity as collateral manager for the Issuer and in accordance with the requirements of the Issuer’s indenture and collateral management agreement with PennantPark and the Company’s investing strategy and ability to originate eligible middle market loans.</w:t>
      </w:r>
    </w:p>
    <w:p>
      <w:pPr>
        <w:spacing w:after="0" w:line="183"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The Class A-1 Loans and the Secured Notes are the secured obligations of the Issuer, and the Indenture and the Credit Agreement include customary covenants and events of default. The Secured Notes and the Subordinated Notes have not been registered under the Securities Act of 1933, as amended, or any state securities (e.g., “blue sky”) laws, and may not be offered or sold in the United States absent registration with the Securities and Exchange Commission or pursuant to an applicable exemption from such registration. PennantPark will serve as collateral manager for the Issuer under a collateral management agreement dated as of the Closing Date. PennantPark is entitled to receive fees for providing these services. PennantPark has irrevocably waived its right to receive such fees for so long as it serves as collateral manager for the Issuer.</w:t>
      </w:r>
    </w:p>
    <w:p>
      <w:pPr>
        <w:spacing w:after="0" w:line="187"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 above descriptions of the documentation related to the CLO Transaction and other arrangements entered into on or prior to the Closing Date contained in this Current Report on Form 8-K do not purport to be complete and are qualified in their entirety by reference to the underlying agreements attached hereto as Exhibits 99.1, 99.2, 99.3, 99.4 and 99.5.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Direct Financial Obligation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above is incorporated by reference into this Item 2.03.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8-K may contain “forward-looking statements” within the meaning of the Private Securities Litigation Reform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793115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jc w:val="both"/>
        <w:ind w:left="20" w:right="20"/>
        <w:spacing w:after="0" w:line="255" w:lineRule="auto"/>
        <w:rPr>
          <w:sz w:val="20"/>
          <w:szCs w:val="20"/>
          <w:color w:val="auto"/>
        </w:rPr>
      </w:pPr>
      <w:r>
        <w:rPr>
          <w:rFonts w:ascii="Times New Roman" w:cs="Times New Roman" w:eastAsia="Times New Roman" w:hAnsi="Times New Roman"/>
          <w:sz w:val="18"/>
          <w:szCs w:val="18"/>
          <w:color w:val="auto"/>
        </w:rPr>
        <w:t>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8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ectPr>
          <w:pgSz w:w="11900" w:h="16838" w:orient="portrait"/>
          <w:cols w:equalWidth="0" w:num="1">
            <w:col w:w="11240"/>
          </w:cols>
          <w:pgMar w:left="320" w:top="634" w:right="339" w:bottom="1440" w:gutter="0" w:footer="0" w:header="0"/>
        </w:sectPr>
      </w:pP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99.1 </w:t>
      </w:r>
      <w:r>
        <w:rPr>
          <w:rFonts w:ascii="Times New Roman" w:cs="Times New Roman" w:eastAsia="Times New Roman" w:hAnsi="Times New Roman"/>
          <w:sz w:val="17"/>
          <w:szCs w:val="17"/>
          <w:color w:val="0000FF"/>
        </w:rPr>
        <w:t>Indenture, dated as of February 20, 2025, by and between PennantPark CLO 11, LLC, as issuer, and Western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-12065</wp:posOffset>
            </wp:positionV>
            <wp:extent cx="6442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2075" cy="8890"/>
                    </a:xfrm>
                    <a:prstGeom prst="rect">
                      <a:avLst/>
                    </a:prstGeom>
                    <a:noFill/>
                  </pic:spPr>
                </pic:pic>
              </a:graphicData>
            </a:graphic>
          </wp:anchor>
        </w:drawing>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National Association, as trustee and 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-19050</wp:posOffset>
            </wp:positionV>
            <wp:extent cx="2522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2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Alliance Trust Company,</w:t>
      </w:r>
    </w:p>
    <w:p>
      <w:pPr>
        <w:spacing w:after="0" w:line="434" w:lineRule="exact"/>
        <w:rPr>
          <w:sz w:val="20"/>
          <w:szCs w:val="20"/>
          <w:color w:val="auto"/>
        </w:rPr>
      </w:pPr>
    </w:p>
    <w:p>
      <w:pPr>
        <w:sectPr>
          <w:pgSz w:w="11900" w:h="16838" w:orient="portrait"/>
          <w:cols w:equalWidth="0" w:num="2">
            <w:col w:w="8880" w:space="420"/>
            <w:col w:w="1940"/>
          </w:cols>
          <w:pgMar w:left="320" w:top="634" w:right="339" w:bottom="1440" w:gutter="0" w:footer="0" w:header="0"/>
          <w:type w:val="continuous"/>
        </w:sectPr>
      </w:pPr>
    </w:p>
    <w:p>
      <w:pPr>
        <w:spacing w:after="0" w:line="7" w:lineRule="exact"/>
        <w:rPr>
          <w:sz w:val="20"/>
          <w:szCs w:val="20"/>
          <w:color w:val="auto"/>
        </w:rPr>
      </w:pPr>
    </w:p>
    <w:p>
      <w:pPr>
        <w:ind w:left="660" w:right="220"/>
        <w:spacing w:after="0" w:line="266" w:lineRule="auto"/>
        <w:rPr>
          <w:sz w:val="20"/>
          <w:szCs w:val="20"/>
          <w:color w:val="auto"/>
        </w:rPr>
      </w:pPr>
      <w:r>
        <w:rPr>
          <w:rFonts w:ascii="Times New Roman" w:cs="Times New Roman" w:eastAsia="Times New Roman" w:hAnsi="Times New Roman"/>
          <w:sz w:val="18"/>
          <w:szCs w:val="18"/>
          <w:color w:val="auto"/>
        </w:rPr>
        <w:t xml:space="preserve">99.2 </w:t>
      </w:r>
      <w:r>
        <w:rPr>
          <w:rFonts w:ascii="Times New Roman" w:cs="Times New Roman" w:eastAsia="Times New Roman" w:hAnsi="Times New Roman"/>
          <w:sz w:val="18"/>
          <w:szCs w:val="18"/>
          <w:u w:val="single" w:color="auto"/>
          <w:color w:val="0000FF"/>
        </w:rPr>
        <w:t>Class A-1L-A Credit Agreement, dated as of February 20, 2025, by and among PennantPark CLO 11, LLC, as borrower, the various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financial institutions party thereto from time to time, as lenders, and Western Alliance Trust Company, National Association, as collateral agent and as loan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-313055</wp:posOffset>
            </wp:positionV>
            <wp:extent cx="6089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8901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-175895</wp:posOffset>
            </wp:positionV>
            <wp:extent cx="66059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590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-38735</wp:posOffset>
            </wp:positionV>
            <wp:extent cx="8185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56" w:lineRule="exact"/>
        <w:rPr>
          <w:sz w:val="20"/>
          <w:szCs w:val="20"/>
          <w:color w:val="auto"/>
        </w:rPr>
      </w:pPr>
    </w:p>
    <w:p>
      <w:pPr>
        <w:ind w:left="660" w:right="220"/>
        <w:spacing w:after="0" w:line="266" w:lineRule="auto"/>
        <w:rPr>
          <w:sz w:val="20"/>
          <w:szCs w:val="20"/>
          <w:color w:val="auto"/>
        </w:rPr>
      </w:pPr>
      <w:r>
        <w:rPr>
          <w:rFonts w:ascii="Times New Roman" w:cs="Times New Roman" w:eastAsia="Times New Roman" w:hAnsi="Times New Roman"/>
          <w:sz w:val="18"/>
          <w:szCs w:val="18"/>
          <w:color w:val="auto"/>
        </w:rPr>
        <w:t xml:space="preserve">99.3 </w:t>
      </w:r>
      <w:r>
        <w:rPr>
          <w:rFonts w:ascii="Times New Roman" w:cs="Times New Roman" w:eastAsia="Times New Roman" w:hAnsi="Times New Roman"/>
          <w:sz w:val="18"/>
          <w:szCs w:val="18"/>
          <w:u w:val="single" w:color="auto"/>
          <w:color w:val="0000FF"/>
        </w:rPr>
        <w:t>Class A-1L-B Credit Agreement, dated as of February 20, 2025, by and among PennantPark CLO 11, LLC, as borrower, the various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financial institutions party thereto from time to time, as lenders, and Western Alliance Trust Company, National Association, as collateral agent and as loan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-313055</wp:posOffset>
            </wp:positionV>
            <wp:extent cx="61112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1124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-175895</wp:posOffset>
            </wp:positionV>
            <wp:extent cx="66059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590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-38735</wp:posOffset>
            </wp:positionV>
            <wp:extent cx="8470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156"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 xml:space="preserve">99.4 </w:t>
      </w:r>
      <w:r>
        <w:rPr>
          <w:rFonts w:ascii="Times New Roman" w:cs="Times New Roman" w:eastAsia="Times New Roman" w:hAnsi="Times New Roman"/>
          <w:sz w:val="18"/>
          <w:szCs w:val="18"/>
          <w:u w:val="single" w:color="auto"/>
          <w:color w:val="0000FF"/>
        </w:rPr>
        <w:t>Collateral Management Agreement, dated as of February 20, 2025, by and between PennantPark CLO 11, LLC as issuer, and PennantPark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Investment Advisers, LLC, as collateral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-185420</wp:posOffset>
            </wp:positionV>
            <wp:extent cx="6361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6143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-48260</wp:posOffset>
            </wp:positionV>
            <wp:extent cx="22713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42"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 xml:space="preserve">99.5 </w:t>
      </w:r>
      <w:r>
        <w:rPr>
          <w:rFonts w:ascii="Times New Roman" w:cs="Times New Roman" w:eastAsia="Times New Roman" w:hAnsi="Times New Roman"/>
          <w:sz w:val="18"/>
          <w:szCs w:val="18"/>
          <w:u w:val="single" w:color="auto"/>
          <w:color w:val="0000FF"/>
        </w:rPr>
        <w:t>Master Loan Sale Agreement, dated as of February 20, 2025, by and between PennantPark Floating Rate Capital Ltd., as seller,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PennantPark CLO 11, LLC, as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882015</wp:posOffset>
            </wp:positionH>
            <wp:positionV relativeFrom="paragraph">
              <wp:posOffset>-185420</wp:posOffset>
            </wp:positionV>
            <wp:extent cx="60445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4456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-48260</wp:posOffset>
            </wp:positionV>
            <wp:extent cx="1719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9580" cy="8255"/>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231775</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ind w:left="20" w:right="3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February 24, 2025</w:t>
            </w:r>
          </w:p>
        </w:tc>
        <w:tc>
          <w:tcPr>
            <w:tcW w:w="7620" w:type="dxa"/>
            <w:vAlign w:val="bottom"/>
            <w:gridSpan w:val="3"/>
            <w:vMerge w:val="restart"/>
          </w:tcPr>
          <w:p>
            <w:pPr>
              <w:ind w:left="174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76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3620" w:type="dxa"/>
            <w:vAlign w:val="bottom"/>
          </w:tcPr>
          <w:p>
            <w:pPr>
              <w:spacing w:after="0"/>
              <w:rPr>
                <w:sz w:val="24"/>
                <w:szCs w:val="24"/>
                <w:color w:val="auto"/>
              </w:rPr>
            </w:pPr>
          </w:p>
        </w:tc>
        <w:tc>
          <w:tcPr>
            <w:tcW w:w="762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By: /s/ Richard T. Allorto, Jr.</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tcPr>
          <w:p>
            <w:pPr>
              <w:spacing w:after="0"/>
              <w:rPr>
                <w:sz w:val="18"/>
                <w:szCs w:val="18"/>
                <w:color w:val="auto"/>
              </w:rPr>
            </w:pPr>
          </w:p>
        </w:tc>
        <w:tc>
          <w:tcPr>
            <w:tcW w:w="762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Richard T. Allorto, Jr.</w:t>
            </w:r>
          </w:p>
        </w:tc>
        <w:tc>
          <w:tcPr>
            <w:tcW w:w="0" w:type="dxa"/>
            <w:vAlign w:val="bottom"/>
          </w:tcPr>
          <w:p>
            <w:pPr>
              <w:spacing w:after="0"/>
              <w:rPr>
                <w:sz w:val="1"/>
                <w:szCs w:val="1"/>
                <w:color w:val="auto"/>
              </w:rPr>
            </w:pPr>
          </w:p>
        </w:tc>
      </w:tr>
      <w:tr>
        <w:trPr>
          <w:trHeight w:val="236"/>
        </w:trPr>
        <w:tc>
          <w:tcPr>
            <w:tcW w:w="3620" w:type="dxa"/>
            <w:vAlign w:val="bottom"/>
          </w:tcPr>
          <w:p>
            <w:pPr>
              <w:spacing w:after="0"/>
              <w:rPr>
                <w:sz w:val="20"/>
                <w:szCs w:val="20"/>
                <w:color w:val="auto"/>
              </w:rPr>
            </w:pPr>
          </w:p>
        </w:tc>
        <w:tc>
          <w:tcPr>
            <w:tcW w:w="7620" w:type="dxa"/>
            <w:vAlign w:val="bottom"/>
            <w:gridSpan w:val="3"/>
          </w:tcPr>
          <w:p>
            <w:pPr>
              <w:ind w:left="2020"/>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tc>
        <w:tc>
          <w:tcPr>
            <w:tcW w:w="0" w:type="dxa"/>
            <w:vAlign w:val="bottom"/>
          </w:tcPr>
          <w:p>
            <w:pPr>
              <w:spacing w:after="0"/>
              <w:rPr>
                <w:sz w:val="1"/>
                <w:szCs w:val="1"/>
                <w:color w:val="auto"/>
              </w:rPr>
            </w:pPr>
          </w:p>
        </w:tc>
      </w:tr>
      <w:tr>
        <w:trPr>
          <w:trHeight w:val="297"/>
        </w:trPr>
        <w:tc>
          <w:tcPr>
            <w:tcW w:w="3620" w:type="dxa"/>
            <w:vAlign w:val="bottom"/>
            <w:tcBorders>
              <w:bottom w:val="single" w:sz="8" w:color="7F0000"/>
            </w:tcBorders>
          </w:tcPr>
          <w:p>
            <w:pPr>
              <w:spacing w:after="0"/>
              <w:rPr>
                <w:sz w:val="24"/>
                <w:szCs w:val="24"/>
                <w:color w:val="auto"/>
              </w:rPr>
            </w:pPr>
          </w:p>
        </w:tc>
        <w:tc>
          <w:tcPr>
            <w:tcW w:w="2060" w:type="dxa"/>
            <w:vAlign w:val="bottom"/>
            <w:tcBorders>
              <w:bottom w:val="single" w:sz="8" w:color="7F0000"/>
            </w:tcBorders>
          </w:tcPr>
          <w:p>
            <w:pPr>
              <w:spacing w:after="0"/>
              <w:rPr>
                <w:sz w:val="24"/>
                <w:szCs w:val="24"/>
                <w:color w:val="auto"/>
              </w:rPr>
            </w:pPr>
          </w:p>
        </w:tc>
        <w:tc>
          <w:tcPr>
            <w:tcW w:w="1840" w:type="dxa"/>
            <w:vAlign w:val="bottom"/>
            <w:tcBorders>
              <w:bottom w:val="single" w:sz="8" w:color="7F0000"/>
            </w:tcBorders>
          </w:tcPr>
          <w:p>
            <w:pPr>
              <w:spacing w:after="0"/>
              <w:rPr>
                <w:sz w:val="24"/>
                <w:szCs w:val="24"/>
                <w:color w:val="auto"/>
              </w:rPr>
            </w:pPr>
          </w:p>
        </w:tc>
        <w:tc>
          <w:tcPr>
            <w:tcW w:w="3720" w:type="dxa"/>
            <w:vAlign w:val="bottom"/>
            <w:tcBorders>
              <w:bottom w:val="single" w:sz="8" w:color="7F0000"/>
            </w:tcBorders>
          </w:tcPr>
          <w:p>
            <w:pPr>
              <w:spacing w:after="0"/>
              <w:rPr>
                <w:sz w:val="24"/>
                <w:szCs w:val="24"/>
                <w:color w:val="auto"/>
              </w:rPr>
            </w:pPr>
          </w:p>
        </w:tc>
        <w:tc>
          <w:tcPr>
            <w:tcW w:w="0" w:type="dxa"/>
            <w:vAlign w:val="bottom"/>
          </w:tcPr>
          <w:p>
            <w:pPr>
              <w:spacing w:after="0"/>
              <w:rPr>
                <w:sz w:val="1"/>
                <w:szCs w:val="1"/>
                <w:color w:val="auto"/>
              </w:rPr>
            </w:pPr>
          </w:p>
        </w:tc>
      </w:tr>
      <w:tr>
        <w:trPr>
          <w:trHeight w:val="1688"/>
        </w:trPr>
        <w:tc>
          <w:tcPr>
            <w:tcW w:w="36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189230</wp:posOffset>
            </wp:positionV>
            <wp:extent cx="7157720" cy="3900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b w:val="1"/>
          <w:bCs w:val="1"/>
          <w:color w:val="auto"/>
        </w:rPr>
        <w:t>INDENTURE AND SECURITY AGREEMENT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PENNANTPARK CLO 11,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color w:val="auto"/>
        </w:rPr>
        <w:t>Issuer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1"/>
          <w:szCs w:val="21"/>
          <w:b w:val="1"/>
          <w:bCs w:val="1"/>
          <w:color w:val="auto"/>
        </w:rPr>
        <w:t>WESTERN ALLIANCE TRUST COMPANY, N.A.</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color w:val="auto"/>
        </w:rPr>
        <w:t>Collateral Trustee</w:t>
      </w:r>
    </w:p>
    <w:p>
      <w:pPr>
        <w:spacing w:after="0" w:line="39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Dated as of February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1181100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0"/>
          </w:cols>
          <w:pgMar w:left="1440" w:top="769" w:right="419" w:bottom="1440" w:gutter="0" w:footer="0" w:header="0"/>
        </w:sectPr>
      </w:pPr>
    </w:p>
    <w:bookmarkStart w:id="4" w:name="page5"/>
    <w:bookmarkEnd w:id="4"/>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1180" w:type="dxa"/>
            <w:vAlign w:val="bottom"/>
          </w:tcPr>
          <w:p>
            <w:pPr>
              <w:spacing w:after="0"/>
              <w:rPr>
                <w:sz w:val="24"/>
                <w:szCs w:val="24"/>
                <w:color w:val="auto"/>
              </w:rPr>
            </w:pPr>
          </w:p>
        </w:tc>
        <w:tc>
          <w:tcPr>
            <w:tcW w:w="89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7"/>
        </w:trPr>
        <w:tc>
          <w:tcPr>
            <w:tcW w:w="118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816"/>
        </w:trPr>
        <w:tc>
          <w:tcPr>
            <w:tcW w:w="1180" w:type="dxa"/>
            <w:vAlign w:val="bottom"/>
          </w:tcPr>
          <w:p>
            <w:pPr>
              <w:spacing w:after="0"/>
              <w:rPr>
                <w:sz w:val="24"/>
                <w:szCs w:val="24"/>
                <w:color w:val="auto"/>
              </w:rPr>
            </w:pPr>
          </w:p>
        </w:tc>
        <w:tc>
          <w:tcPr>
            <w:tcW w:w="89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ARTICLE I</w:t>
            </w:r>
          </w:p>
        </w:tc>
        <w:tc>
          <w:tcPr>
            <w:tcW w:w="6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486"/>
        </w:trPr>
        <w:tc>
          <w:tcPr>
            <w:tcW w:w="1180" w:type="dxa"/>
            <w:vAlign w:val="bottom"/>
          </w:tcPr>
          <w:p>
            <w:pPr>
              <w:spacing w:after="0"/>
              <w:rPr>
                <w:sz w:val="24"/>
                <w:szCs w:val="24"/>
                <w:color w:val="auto"/>
              </w:rPr>
            </w:pPr>
          </w:p>
        </w:tc>
        <w:tc>
          <w:tcPr>
            <w:tcW w:w="89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DEFINITIONS</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0"/>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1.1</w:t>
            </w:r>
          </w:p>
        </w:tc>
        <w:tc>
          <w:tcPr>
            <w:tcW w:w="8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Definitions</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1.2</w:t>
            </w:r>
          </w:p>
        </w:tc>
        <w:tc>
          <w:tcPr>
            <w:tcW w:w="89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Usage of Terms</w:t>
            </w: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73</w:t>
            </w: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1.3</w:t>
            </w:r>
          </w:p>
        </w:tc>
        <w:tc>
          <w:tcPr>
            <w:tcW w:w="8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Assumptions as to Assets</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73</w:t>
            </w:r>
          </w:p>
        </w:tc>
      </w:tr>
      <w:tr>
        <w:trPr>
          <w:trHeight w:val="567"/>
        </w:trPr>
        <w:tc>
          <w:tcPr>
            <w:tcW w:w="1180" w:type="dxa"/>
            <w:vAlign w:val="bottom"/>
          </w:tcPr>
          <w:p>
            <w:pPr>
              <w:spacing w:after="0"/>
              <w:rPr>
                <w:sz w:val="24"/>
                <w:szCs w:val="24"/>
                <w:color w:val="auto"/>
              </w:rPr>
            </w:pPr>
          </w:p>
        </w:tc>
        <w:tc>
          <w:tcPr>
            <w:tcW w:w="89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ARTICLE II</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6"/>
        </w:trPr>
        <w:tc>
          <w:tcPr>
            <w:tcW w:w="1180" w:type="dxa"/>
            <w:vAlign w:val="bottom"/>
          </w:tcPr>
          <w:p>
            <w:pPr>
              <w:spacing w:after="0"/>
              <w:rPr>
                <w:sz w:val="24"/>
                <w:szCs w:val="24"/>
                <w:color w:val="auto"/>
              </w:rPr>
            </w:pPr>
          </w:p>
        </w:tc>
        <w:tc>
          <w:tcPr>
            <w:tcW w:w="89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THE NOTES</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0"/>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2.1</w:t>
            </w:r>
          </w:p>
        </w:tc>
        <w:tc>
          <w:tcPr>
            <w:tcW w:w="8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Forms Generally</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76</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2.2</w:t>
            </w:r>
          </w:p>
        </w:tc>
        <w:tc>
          <w:tcPr>
            <w:tcW w:w="89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Forms of Notes</w:t>
            </w: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76</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2.3</w:t>
            </w:r>
          </w:p>
        </w:tc>
        <w:tc>
          <w:tcPr>
            <w:tcW w:w="89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Authorized Amount; Stated Maturity; Denominations</w:t>
            </w: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2.4</w:t>
            </w:r>
          </w:p>
        </w:tc>
        <w:tc>
          <w:tcPr>
            <w:tcW w:w="89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Execution, Authentication, Delivery and Dating</w:t>
            </w: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2.5</w:t>
            </w:r>
          </w:p>
        </w:tc>
        <w:tc>
          <w:tcPr>
            <w:tcW w:w="89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Registration, Registration of Transfer and Exchange</w:t>
            </w: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2.6</w:t>
            </w:r>
          </w:p>
        </w:tc>
        <w:tc>
          <w:tcPr>
            <w:tcW w:w="89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Mutilated, Defaced, Destroyed, Lost or Stolen Note</w:t>
            </w: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93</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2.7</w:t>
            </w:r>
          </w:p>
        </w:tc>
        <w:tc>
          <w:tcPr>
            <w:tcW w:w="89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Payment of Principal and Interest and Other Amounts; Principal and Interest Rights Preserved</w:t>
            </w: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94</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2.8</w:t>
            </w:r>
          </w:p>
        </w:tc>
        <w:tc>
          <w:tcPr>
            <w:tcW w:w="89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Persons Deemed Owners</w:t>
            </w: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98</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2.9</w:t>
            </w:r>
          </w:p>
        </w:tc>
        <w:tc>
          <w:tcPr>
            <w:tcW w:w="89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Cancellation</w:t>
            </w: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98</w:t>
            </w:r>
          </w:p>
        </w:tc>
      </w:tr>
      <w:tr>
        <w:trPr>
          <w:trHeight w:val="216"/>
        </w:trPr>
        <w:tc>
          <w:tcPr>
            <w:tcW w:w="11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 2.10</w:t>
            </w:r>
          </w:p>
        </w:tc>
        <w:tc>
          <w:tcPr>
            <w:tcW w:w="894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DTC Ceases to be Depository</w:t>
            </w:r>
          </w:p>
        </w:tc>
        <w:tc>
          <w:tcPr>
            <w:tcW w:w="1100" w:type="dxa"/>
            <w:vAlign w:val="bottom"/>
            <w:gridSpan w:val="2"/>
          </w:tcPr>
          <w:p>
            <w:pPr>
              <w:jc w:val="right"/>
              <w:ind w:right="20"/>
              <w:spacing w:after="0" w:line="217" w:lineRule="exact"/>
              <w:rPr>
                <w:sz w:val="20"/>
                <w:szCs w:val="20"/>
                <w:color w:val="auto"/>
              </w:rPr>
            </w:pPr>
            <w:r>
              <w:rPr>
                <w:rFonts w:ascii="Times New Roman" w:cs="Times New Roman" w:eastAsia="Times New Roman" w:hAnsi="Times New Roman"/>
                <w:sz w:val="22"/>
                <w:szCs w:val="22"/>
                <w:color w:val="auto"/>
              </w:rPr>
              <w:t>98</w:t>
            </w:r>
          </w:p>
        </w:tc>
      </w:tr>
      <w:tr>
        <w:trPr>
          <w:trHeight w:val="283"/>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2.11</w:t>
            </w:r>
          </w:p>
        </w:tc>
        <w:tc>
          <w:tcPr>
            <w:tcW w:w="8940" w:type="dxa"/>
            <w:vAlign w:val="bottom"/>
          </w:tcPr>
          <w:p>
            <w:pPr>
              <w:ind w:left="120"/>
              <w:spacing w:after="0" w:line="253" w:lineRule="exact"/>
              <w:rPr>
                <w:sz w:val="20"/>
                <w:szCs w:val="20"/>
                <w:color w:val="auto"/>
              </w:rPr>
            </w:pPr>
            <w:r>
              <w:rPr>
                <w:rFonts w:ascii="Times New Roman" w:cs="Times New Roman" w:eastAsia="Times New Roman" w:hAnsi="Times New Roman"/>
                <w:sz w:val="22"/>
                <w:szCs w:val="22"/>
                <w:color w:val="auto"/>
              </w:rPr>
              <w:t>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Permitted Holders</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99</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2.12</w:t>
            </w:r>
          </w:p>
        </w:tc>
        <w:tc>
          <w:tcPr>
            <w:tcW w:w="89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Tax Treatment and Tax Certifications.</w:t>
            </w: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101</w:t>
            </w: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2.13</w:t>
            </w:r>
          </w:p>
        </w:tc>
        <w:tc>
          <w:tcPr>
            <w:tcW w:w="8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Additional Issuance</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104</w:t>
            </w:r>
          </w:p>
        </w:tc>
      </w:tr>
      <w:tr>
        <w:trPr>
          <w:trHeight w:val="567"/>
        </w:trPr>
        <w:tc>
          <w:tcPr>
            <w:tcW w:w="1180" w:type="dxa"/>
            <w:vAlign w:val="bottom"/>
          </w:tcPr>
          <w:p>
            <w:pPr>
              <w:spacing w:after="0"/>
              <w:rPr>
                <w:sz w:val="24"/>
                <w:szCs w:val="24"/>
                <w:color w:val="auto"/>
              </w:rPr>
            </w:pPr>
          </w:p>
        </w:tc>
        <w:tc>
          <w:tcPr>
            <w:tcW w:w="89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III</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6"/>
        </w:trPr>
        <w:tc>
          <w:tcPr>
            <w:tcW w:w="1180" w:type="dxa"/>
            <w:vAlign w:val="bottom"/>
          </w:tcPr>
          <w:p>
            <w:pPr>
              <w:spacing w:after="0"/>
              <w:rPr>
                <w:sz w:val="24"/>
                <w:szCs w:val="24"/>
                <w:color w:val="auto"/>
              </w:rPr>
            </w:pPr>
          </w:p>
        </w:tc>
        <w:tc>
          <w:tcPr>
            <w:tcW w:w="89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CONDITIONS PRECEDENT</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0"/>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3.1</w:t>
            </w:r>
          </w:p>
        </w:tc>
        <w:tc>
          <w:tcPr>
            <w:tcW w:w="8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Conditions to Issuance of Notes on Closing Date</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106</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3.2</w:t>
            </w:r>
          </w:p>
        </w:tc>
        <w:tc>
          <w:tcPr>
            <w:tcW w:w="89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Conditions to Additional Issuance</w:t>
            </w:r>
          </w:p>
        </w:tc>
        <w:tc>
          <w:tcPr>
            <w:tcW w:w="110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109</w:t>
            </w: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3.3</w:t>
            </w:r>
          </w:p>
        </w:tc>
        <w:tc>
          <w:tcPr>
            <w:tcW w:w="8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Custodianship; Delivery of Collateral Obligations and Eligible Investments</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110</w:t>
            </w:r>
          </w:p>
        </w:tc>
      </w:tr>
    </w:tbl>
    <w:p>
      <w:pPr>
        <w:spacing w:after="0" w:line="15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1180" w:type="dxa"/>
            <w:vAlign w:val="bottom"/>
          </w:tcPr>
          <w:p>
            <w:pPr>
              <w:spacing w:after="0"/>
              <w:rPr>
                <w:sz w:val="24"/>
                <w:szCs w:val="24"/>
                <w:color w:val="auto"/>
              </w:rPr>
            </w:pPr>
          </w:p>
        </w:tc>
        <w:tc>
          <w:tcPr>
            <w:tcW w:w="8480" w:type="dxa"/>
            <w:vAlign w:val="bottom"/>
          </w:tcPr>
          <w:p>
            <w:pPr>
              <w:jc w:val="center"/>
              <w:ind w:left="252"/>
              <w:spacing w:after="0"/>
              <w:rPr>
                <w:sz w:val="20"/>
                <w:szCs w:val="20"/>
                <w:color w:val="auto"/>
              </w:rPr>
            </w:pPr>
            <w:r>
              <w:rPr>
                <w:rFonts w:ascii="Times New Roman" w:cs="Times New Roman" w:eastAsia="Times New Roman" w:hAnsi="Times New Roman"/>
                <w:sz w:val="22"/>
                <w:szCs w:val="22"/>
                <w:color w:val="auto"/>
                <w:w w:val="98"/>
              </w:rPr>
              <w:t>ARTICLE IV</w:t>
            </w:r>
          </w:p>
        </w:tc>
        <w:tc>
          <w:tcPr>
            <w:tcW w:w="1540" w:type="dxa"/>
            <w:vAlign w:val="bottom"/>
          </w:tcPr>
          <w:p>
            <w:pPr>
              <w:spacing w:after="0"/>
              <w:rPr>
                <w:sz w:val="24"/>
                <w:szCs w:val="24"/>
                <w:color w:val="auto"/>
              </w:rPr>
            </w:pPr>
          </w:p>
        </w:tc>
      </w:tr>
      <w:tr>
        <w:trPr>
          <w:trHeight w:val="486"/>
        </w:trPr>
        <w:tc>
          <w:tcPr>
            <w:tcW w:w="1180" w:type="dxa"/>
            <w:vAlign w:val="bottom"/>
          </w:tcPr>
          <w:p>
            <w:pPr>
              <w:spacing w:after="0"/>
              <w:rPr>
                <w:sz w:val="24"/>
                <w:szCs w:val="24"/>
                <w:color w:val="auto"/>
              </w:rPr>
            </w:pPr>
          </w:p>
        </w:tc>
        <w:tc>
          <w:tcPr>
            <w:tcW w:w="8480" w:type="dxa"/>
            <w:vAlign w:val="bottom"/>
          </w:tcPr>
          <w:p>
            <w:pPr>
              <w:jc w:val="center"/>
              <w:ind w:left="252"/>
              <w:spacing w:after="0"/>
              <w:rPr>
                <w:sz w:val="20"/>
                <w:szCs w:val="20"/>
                <w:color w:val="auto"/>
              </w:rPr>
            </w:pPr>
            <w:r>
              <w:rPr>
                <w:rFonts w:ascii="Times New Roman" w:cs="Times New Roman" w:eastAsia="Times New Roman" w:hAnsi="Times New Roman"/>
                <w:sz w:val="22"/>
                <w:szCs w:val="22"/>
                <w:color w:val="auto"/>
                <w:w w:val="98"/>
              </w:rPr>
              <w:t>SATISFACTION AND DISCHARGE</w:t>
            </w:r>
          </w:p>
        </w:tc>
        <w:tc>
          <w:tcPr>
            <w:tcW w:w="1540" w:type="dxa"/>
            <w:vAlign w:val="bottom"/>
          </w:tcPr>
          <w:p>
            <w:pPr>
              <w:spacing w:after="0"/>
              <w:rPr>
                <w:sz w:val="24"/>
                <w:szCs w:val="24"/>
                <w:color w:val="auto"/>
              </w:rPr>
            </w:pPr>
          </w:p>
        </w:tc>
      </w:tr>
      <w:tr>
        <w:trPr>
          <w:trHeight w:val="420"/>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4.1</w:t>
            </w:r>
          </w:p>
        </w:tc>
        <w:tc>
          <w:tcPr>
            <w:tcW w:w="8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Satisfaction and Discharge of Indenture</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4.2</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Application of Trust Money</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4.3</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Repayment of Monies Held by Paying Agent</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w:t>
            </w: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4.4</w:t>
            </w:r>
          </w:p>
        </w:tc>
        <w:tc>
          <w:tcPr>
            <w:tcW w:w="8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Limitation on Obligation to Incur Administrative Expenses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567"/>
        </w:trPr>
        <w:tc>
          <w:tcPr>
            <w:tcW w:w="1180" w:type="dxa"/>
            <w:vAlign w:val="bottom"/>
          </w:tcPr>
          <w:p>
            <w:pPr>
              <w:spacing w:after="0"/>
              <w:rPr>
                <w:sz w:val="24"/>
                <w:szCs w:val="24"/>
                <w:color w:val="auto"/>
              </w:rPr>
            </w:pPr>
          </w:p>
        </w:tc>
        <w:tc>
          <w:tcPr>
            <w:tcW w:w="8480" w:type="dxa"/>
            <w:vAlign w:val="bottom"/>
          </w:tcPr>
          <w:p>
            <w:pPr>
              <w:jc w:val="center"/>
              <w:ind w:left="252"/>
              <w:spacing w:after="0"/>
              <w:rPr>
                <w:sz w:val="20"/>
                <w:szCs w:val="20"/>
                <w:color w:val="auto"/>
              </w:rPr>
            </w:pPr>
            <w:r>
              <w:rPr>
                <w:rFonts w:ascii="Times New Roman" w:cs="Times New Roman" w:eastAsia="Times New Roman" w:hAnsi="Times New Roman"/>
                <w:sz w:val="22"/>
                <w:szCs w:val="22"/>
                <w:color w:val="auto"/>
                <w:w w:val="97"/>
              </w:rPr>
              <w:t>ARTICLE V</w:t>
            </w:r>
          </w:p>
        </w:tc>
        <w:tc>
          <w:tcPr>
            <w:tcW w:w="1540" w:type="dxa"/>
            <w:vAlign w:val="bottom"/>
          </w:tcPr>
          <w:p>
            <w:pPr>
              <w:spacing w:after="0"/>
              <w:rPr>
                <w:sz w:val="24"/>
                <w:szCs w:val="24"/>
                <w:color w:val="auto"/>
              </w:rPr>
            </w:pPr>
          </w:p>
        </w:tc>
      </w:tr>
      <w:tr>
        <w:trPr>
          <w:trHeight w:val="486"/>
        </w:trPr>
        <w:tc>
          <w:tcPr>
            <w:tcW w:w="1180" w:type="dxa"/>
            <w:vAlign w:val="bottom"/>
          </w:tcPr>
          <w:p>
            <w:pPr>
              <w:spacing w:after="0"/>
              <w:rPr>
                <w:sz w:val="24"/>
                <w:szCs w:val="24"/>
                <w:color w:val="auto"/>
              </w:rPr>
            </w:pPr>
          </w:p>
        </w:tc>
        <w:tc>
          <w:tcPr>
            <w:tcW w:w="8480" w:type="dxa"/>
            <w:vAlign w:val="bottom"/>
          </w:tcPr>
          <w:p>
            <w:pPr>
              <w:jc w:val="center"/>
              <w:ind w:left="252"/>
              <w:spacing w:after="0"/>
              <w:rPr>
                <w:sz w:val="20"/>
                <w:szCs w:val="20"/>
                <w:color w:val="auto"/>
              </w:rPr>
            </w:pPr>
            <w:r>
              <w:rPr>
                <w:rFonts w:ascii="Times New Roman" w:cs="Times New Roman" w:eastAsia="Times New Roman" w:hAnsi="Times New Roman"/>
                <w:sz w:val="22"/>
                <w:szCs w:val="22"/>
                <w:color w:val="auto"/>
                <w:w w:val="98"/>
              </w:rPr>
              <w:t>EVENTS OF DEFAULT; REMEDIES</w:t>
            </w:r>
          </w:p>
        </w:tc>
        <w:tc>
          <w:tcPr>
            <w:tcW w:w="1540" w:type="dxa"/>
            <w:vAlign w:val="bottom"/>
          </w:tcPr>
          <w:p>
            <w:pPr>
              <w:spacing w:after="0"/>
              <w:rPr>
                <w:sz w:val="24"/>
                <w:szCs w:val="24"/>
                <w:color w:val="auto"/>
              </w:rPr>
            </w:pPr>
          </w:p>
        </w:tc>
      </w:tr>
      <w:tr>
        <w:trPr>
          <w:trHeight w:val="420"/>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5.1</w:t>
            </w:r>
          </w:p>
        </w:tc>
        <w:tc>
          <w:tcPr>
            <w:tcW w:w="8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Events of Default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5.2</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Acceleration of Maturity; Rescission and Annulment</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115</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5.3</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Collection of Indebtedness and Suits for Enforcement by Collateral Trustee</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117</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5.4</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Remedies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119</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5.5</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Optional Preservation of Assets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120</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5.6</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Collateral Trustee May Enforce Claims Without Possession of Debt</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122</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5.7</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Application of Money Collected</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122</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5.8</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Limitation on Suits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122</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5.9</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Unconditional Rights of Holders of Secured Debt to Receive Principal and Interest</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123</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5.10</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Restoration of Rights and Remedies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123</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5.11</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Rights and Remedies Cumulative</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124</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5.12</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Delay or Omission Not Waiver</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124</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5.13</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Control by Majority of Controlling Class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124</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5.14</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Waiver of Past Defaults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124</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5.15</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Undertaking for Costs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125</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5.16</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Waiver of Stay or Extension Laws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125</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5.17</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Sale of Assets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125</w:t>
            </w: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5.18</w:t>
            </w:r>
          </w:p>
        </w:tc>
        <w:tc>
          <w:tcPr>
            <w:tcW w:w="8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Action on the Notes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r>
      <w:tr>
        <w:trPr>
          <w:trHeight w:val="567"/>
        </w:trPr>
        <w:tc>
          <w:tcPr>
            <w:tcW w:w="1180" w:type="dxa"/>
            <w:vAlign w:val="bottom"/>
          </w:tcPr>
          <w:p>
            <w:pPr>
              <w:spacing w:after="0"/>
              <w:rPr>
                <w:sz w:val="24"/>
                <w:szCs w:val="24"/>
                <w:color w:val="auto"/>
              </w:rPr>
            </w:pPr>
          </w:p>
        </w:tc>
        <w:tc>
          <w:tcPr>
            <w:tcW w:w="8480" w:type="dxa"/>
            <w:vAlign w:val="bottom"/>
          </w:tcPr>
          <w:p>
            <w:pPr>
              <w:jc w:val="center"/>
              <w:ind w:left="252"/>
              <w:spacing w:after="0"/>
              <w:rPr>
                <w:sz w:val="20"/>
                <w:szCs w:val="20"/>
                <w:color w:val="auto"/>
              </w:rPr>
            </w:pPr>
            <w:r>
              <w:rPr>
                <w:rFonts w:ascii="Times New Roman" w:cs="Times New Roman" w:eastAsia="Times New Roman" w:hAnsi="Times New Roman"/>
                <w:sz w:val="22"/>
                <w:szCs w:val="22"/>
                <w:color w:val="auto"/>
                <w:w w:val="98"/>
              </w:rPr>
              <w:t>ARTICLE VI</w:t>
            </w:r>
          </w:p>
        </w:tc>
        <w:tc>
          <w:tcPr>
            <w:tcW w:w="1540" w:type="dxa"/>
            <w:vAlign w:val="bottom"/>
          </w:tcPr>
          <w:p>
            <w:pPr>
              <w:spacing w:after="0"/>
              <w:rPr>
                <w:sz w:val="24"/>
                <w:szCs w:val="24"/>
                <w:color w:val="auto"/>
              </w:rPr>
            </w:pPr>
          </w:p>
        </w:tc>
      </w:tr>
      <w:tr>
        <w:trPr>
          <w:trHeight w:val="486"/>
        </w:trPr>
        <w:tc>
          <w:tcPr>
            <w:tcW w:w="1180" w:type="dxa"/>
            <w:vAlign w:val="bottom"/>
          </w:tcPr>
          <w:p>
            <w:pPr>
              <w:spacing w:after="0"/>
              <w:rPr>
                <w:sz w:val="24"/>
                <w:szCs w:val="24"/>
                <w:color w:val="auto"/>
              </w:rPr>
            </w:pPr>
          </w:p>
        </w:tc>
        <w:tc>
          <w:tcPr>
            <w:tcW w:w="8480" w:type="dxa"/>
            <w:vAlign w:val="bottom"/>
          </w:tcPr>
          <w:p>
            <w:pPr>
              <w:jc w:val="center"/>
              <w:ind w:left="272"/>
              <w:spacing w:after="0"/>
              <w:rPr>
                <w:sz w:val="20"/>
                <w:szCs w:val="20"/>
                <w:color w:val="auto"/>
              </w:rPr>
            </w:pPr>
            <w:r>
              <w:rPr>
                <w:rFonts w:ascii="Times New Roman" w:cs="Times New Roman" w:eastAsia="Times New Roman" w:hAnsi="Times New Roman"/>
                <w:sz w:val="22"/>
                <w:szCs w:val="22"/>
                <w:color w:val="auto"/>
                <w:w w:val="98"/>
              </w:rPr>
              <w:t>THE COLLATERAL TRUSTEE</w:t>
            </w:r>
          </w:p>
        </w:tc>
        <w:tc>
          <w:tcPr>
            <w:tcW w:w="1540" w:type="dxa"/>
            <w:vAlign w:val="bottom"/>
          </w:tcPr>
          <w:p>
            <w:pPr>
              <w:spacing w:after="0"/>
              <w:rPr>
                <w:sz w:val="24"/>
                <w:szCs w:val="24"/>
                <w:color w:val="auto"/>
              </w:rPr>
            </w:pPr>
          </w:p>
        </w:tc>
      </w:tr>
      <w:tr>
        <w:trPr>
          <w:trHeight w:val="420"/>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6.1</w:t>
            </w:r>
          </w:p>
        </w:tc>
        <w:tc>
          <w:tcPr>
            <w:tcW w:w="8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Certain Duties and Responsibilities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6.2</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Notice of Event of Default by the Collateral Trustee</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129</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6.3</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Certain Rights of Collateral Trustee</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130</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6.4</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Not Responsible for Recitals or Issuance of Debt</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135</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6.5</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May Hold Notes</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135</w:t>
            </w: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6.6</w:t>
            </w:r>
          </w:p>
        </w:tc>
        <w:tc>
          <w:tcPr>
            <w:tcW w:w="8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Money Held in Trust</w:t>
            </w:r>
          </w:p>
        </w:tc>
        <w:tc>
          <w:tcPr>
            <w:tcW w:w="1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135</w:t>
            </w: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6.7</w:t>
            </w:r>
          </w:p>
        </w:tc>
        <w:tc>
          <w:tcPr>
            <w:tcW w:w="8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Compensation and Reimbursement</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w:t>
            </w:r>
          </w:p>
        </w:tc>
      </w:tr>
    </w:tbl>
    <w:p>
      <w:pPr>
        <w:spacing w:after="0" w:line="15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ii</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6.8</w:t>
            </w:r>
          </w:p>
        </w:tc>
        <w:tc>
          <w:tcPr>
            <w:tcW w:w="9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Corporate Collateral Trustee Required; Eligibility</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6.9</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Resignation and Removal; Appointment of Successor</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137</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6.10</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Acceptance of Appointment by Successor</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138</w:t>
            </w:r>
          </w:p>
        </w:tc>
      </w:tr>
      <w:tr>
        <w:trPr>
          <w:trHeight w:val="216"/>
        </w:trPr>
        <w:tc>
          <w:tcPr>
            <w:tcW w:w="120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Section 6.11</w:t>
            </w:r>
          </w:p>
        </w:tc>
        <w:tc>
          <w:tcPr>
            <w:tcW w:w="944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Merger, Conversion, Consolidation or Succession to Business of Collateral Trustee</w:t>
            </w:r>
          </w:p>
        </w:tc>
        <w:tc>
          <w:tcPr>
            <w:tcW w:w="6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139</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6.12</w:t>
            </w:r>
          </w:p>
        </w:tc>
        <w:tc>
          <w:tcPr>
            <w:tcW w:w="9440" w:type="dxa"/>
            <w:vAlign w:val="bottom"/>
          </w:tcPr>
          <w:p>
            <w:pPr>
              <w:ind w:left="120"/>
              <w:spacing w:after="0" w:line="253" w:lineRule="exact"/>
              <w:rPr>
                <w:sz w:val="20"/>
                <w:szCs w:val="20"/>
                <w:color w:val="auto"/>
              </w:rPr>
            </w:pPr>
            <w:r>
              <w:rPr>
                <w:rFonts w:ascii="Times New Roman" w:cs="Times New Roman" w:eastAsia="Times New Roman" w:hAnsi="Times New Roman"/>
                <w:sz w:val="22"/>
                <w:szCs w:val="22"/>
                <w:color w:val="auto"/>
              </w:rPr>
              <w:t>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Collateral Trustees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6.13</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Provision of Documents to Issuer and Collateral Manager</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140</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6.14</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Authenticating Agents</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141</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6.15</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Withholding</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141</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6.16</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Representative for Secured Noteholders Only; Agent for each other Secured Party and the Holders of the</w:t>
            </w:r>
          </w:p>
        </w:tc>
        <w:tc>
          <w:tcPr>
            <w:tcW w:w="60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944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Subordinated Notes.</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142</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6.17</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Representations and Warranties of the Bank</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142</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6.18</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Certain Duties of Collateral Trustee Related to Delayed Payment of Proceeds</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143</w:t>
            </w:r>
          </w:p>
        </w:tc>
      </w:tr>
      <w:tr>
        <w:trPr>
          <w:trHeight w:val="282"/>
        </w:trPr>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6.19</w:t>
            </w:r>
          </w:p>
        </w:tc>
        <w:tc>
          <w:tcPr>
            <w:tcW w:w="9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Communication with the Rating Agency</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w:t>
            </w:r>
          </w:p>
        </w:tc>
      </w:tr>
      <w:tr>
        <w:trPr>
          <w:trHeight w:val="567"/>
        </w:trPr>
        <w:tc>
          <w:tcPr>
            <w:tcW w:w="1200" w:type="dxa"/>
            <w:vAlign w:val="bottom"/>
          </w:tcPr>
          <w:p>
            <w:pPr>
              <w:spacing w:after="0"/>
              <w:rPr>
                <w:sz w:val="24"/>
                <w:szCs w:val="24"/>
                <w:color w:val="auto"/>
              </w:rPr>
            </w:pPr>
          </w:p>
        </w:tc>
        <w:tc>
          <w:tcPr>
            <w:tcW w:w="944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ARTICLE VII</w:t>
            </w:r>
          </w:p>
        </w:tc>
        <w:tc>
          <w:tcPr>
            <w:tcW w:w="600" w:type="dxa"/>
            <w:vAlign w:val="bottom"/>
          </w:tcPr>
          <w:p>
            <w:pPr>
              <w:spacing w:after="0"/>
              <w:rPr>
                <w:sz w:val="24"/>
                <w:szCs w:val="24"/>
                <w:color w:val="auto"/>
              </w:rPr>
            </w:pPr>
          </w:p>
        </w:tc>
      </w:tr>
      <w:tr>
        <w:trPr>
          <w:trHeight w:val="486"/>
        </w:trPr>
        <w:tc>
          <w:tcPr>
            <w:tcW w:w="1200" w:type="dxa"/>
            <w:vAlign w:val="bottom"/>
          </w:tcPr>
          <w:p>
            <w:pPr>
              <w:spacing w:after="0"/>
              <w:rPr>
                <w:sz w:val="24"/>
                <w:szCs w:val="24"/>
                <w:color w:val="auto"/>
              </w:rPr>
            </w:pPr>
          </w:p>
        </w:tc>
        <w:tc>
          <w:tcPr>
            <w:tcW w:w="9440" w:type="dxa"/>
            <w:vAlign w:val="bottom"/>
          </w:tcPr>
          <w:p>
            <w:pPr>
              <w:jc w:val="center"/>
              <w:ind w:right="492"/>
              <w:spacing w:after="0"/>
              <w:rPr>
                <w:sz w:val="20"/>
                <w:szCs w:val="20"/>
                <w:color w:val="auto"/>
              </w:rPr>
            </w:pPr>
            <w:r>
              <w:rPr>
                <w:rFonts w:ascii="Times New Roman" w:cs="Times New Roman" w:eastAsia="Times New Roman" w:hAnsi="Times New Roman"/>
                <w:sz w:val="22"/>
                <w:szCs w:val="22"/>
                <w:color w:val="auto"/>
                <w:w w:val="99"/>
              </w:rPr>
              <w:t>COVENANTS</w:t>
            </w:r>
          </w:p>
        </w:tc>
        <w:tc>
          <w:tcPr>
            <w:tcW w:w="600" w:type="dxa"/>
            <w:vAlign w:val="bottom"/>
          </w:tcPr>
          <w:p>
            <w:pPr>
              <w:spacing w:after="0"/>
              <w:rPr>
                <w:sz w:val="24"/>
                <w:szCs w:val="24"/>
                <w:color w:val="auto"/>
              </w:rPr>
            </w:pPr>
          </w:p>
        </w:tc>
      </w:tr>
      <w:tr>
        <w:trPr>
          <w:trHeight w:val="420"/>
        </w:trPr>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7.1</w:t>
            </w:r>
          </w:p>
        </w:tc>
        <w:tc>
          <w:tcPr>
            <w:tcW w:w="9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Payment of Principal and Interest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7.2</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Maintenance of Office or Agency</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144</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7.3</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Money for Note Payments to be Held in Trust</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144</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7.4</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Existence of Issuer</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146</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7.5</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Protection of Assets</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147</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7.6</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Opinions as to Assets</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148</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7.7</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Performance of Obligations</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148</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7.8</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Negative Covenants</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149</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7.9</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Statement as to Compliance</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150</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7.10</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The Issuer May Consolidate, etc</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151</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7.11</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Successor Substituted</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152</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7.12</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No Other Business</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153</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7.13</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153</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7.14</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Annual Rating Review</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153</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7.15</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153</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7.16</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Calculation Agent</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153</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7.17</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Certain Tax Matters</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155</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7.18</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Effective Date; Purchase of Additional Collateral Obligations</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160</w:t>
            </w:r>
          </w:p>
        </w:tc>
      </w:tr>
      <w:tr>
        <w:trPr>
          <w:trHeight w:val="243"/>
        </w:trPr>
        <w:tc>
          <w:tcPr>
            <w:tcW w:w="12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7.19</w:t>
            </w:r>
          </w:p>
        </w:tc>
        <w:tc>
          <w:tcPr>
            <w:tcW w:w="9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Representations Relating to Security Interests in the Assets</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163</w:t>
            </w:r>
          </w:p>
        </w:tc>
      </w:tr>
      <w:tr>
        <w:trPr>
          <w:trHeight w:val="282"/>
        </w:trPr>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7.20</w:t>
            </w:r>
          </w:p>
        </w:tc>
        <w:tc>
          <w:tcPr>
            <w:tcW w:w="9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Limitation on Certain Maturity Amendments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r>
      <w:tr>
        <w:trPr>
          <w:trHeight w:val="567"/>
        </w:trPr>
        <w:tc>
          <w:tcPr>
            <w:tcW w:w="1200" w:type="dxa"/>
            <w:vAlign w:val="bottom"/>
          </w:tcPr>
          <w:p>
            <w:pPr>
              <w:spacing w:after="0"/>
              <w:rPr>
                <w:sz w:val="24"/>
                <w:szCs w:val="24"/>
                <w:color w:val="auto"/>
              </w:rPr>
            </w:pPr>
          </w:p>
        </w:tc>
        <w:tc>
          <w:tcPr>
            <w:tcW w:w="944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8"/>
              </w:rPr>
              <w:t>ARTICLE VIII</w:t>
            </w:r>
          </w:p>
        </w:tc>
        <w:tc>
          <w:tcPr>
            <w:tcW w:w="600" w:type="dxa"/>
            <w:vAlign w:val="bottom"/>
          </w:tcPr>
          <w:p>
            <w:pPr>
              <w:spacing w:after="0"/>
              <w:rPr>
                <w:sz w:val="24"/>
                <w:szCs w:val="24"/>
                <w:color w:val="auto"/>
              </w:rPr>
            </w:pPr>
          </w:p>
        </w:tc>
      </w:tr>
      <w:tr>
        <w:trPr>
          <w:trHeight w:val="486"/>
        </w:trPr>
        <w:tc>
          <w:tcPr>
            <w:tcW w:w="1200" w:type="dxa"/>
            <w:vAlign w:val="bottom"/>
          </w:tcPr>
          <w:p>
            <w:pPr>
              <w:spacing w:after="0"/>
              <w:rPr>
                <w:sz w:val="24"/>
                <w:szCs w:val="24"/>
                <w:color w:val="auto"/>
              </w:rPr>
            </w:pPr>
          </w:p>
        </w:tc>
        <w:tc>
          <w:tcPr>
            <w:tcW w:w="9440" w:type="dxa"/>
            <w:vAlign w:val="bottom"/>
          </w:tcPr>
          <w:p>
            <w:pPr>
              <w:jc w:val="center"/>
              <w:ind w:right="492"/>
              <w:spacing w:after="0"/>
              <w:rPr>
                <w:sz w:val="20"/>
                <w:szCs w:val="20"/>
                <w:color w:val="auto"/>
              </w:rPr>
            </w:pPr>
            <w:r>
              <w:rPr>
                <w:rFonts w:ascii="Times New Roman" w:cs="Times New Roman" w:eastAsia="Times New Roman" w:hAnsi="Times New Roman"/>
                <w:sz w:val="22"/>
                <w:szCs w:val="22"/>
                <w:color w:val="auto"/>
                <w:w w:val="97"/>
              </w:rPr>
              <w:t>SUPPLEMENTAL INDENTURES</w:t>
            </w:r>
          </w:p>
        </w:tc>
        <w:tc>
          <w:tcPr>
            <w:tcW w:w="600" w:type="dxa"/>
            <w:vAlign w:val="bottom"/>
          </w:tcPr>
          <w:p>
            <w:pPr>
              <w:spacing w:after="0"/>
              <w:rPr>
                <w:sz w:val="24"/>
                <w:szCs w:val="24"/>
                <w:color w:val="auto"/>
              </w:rPr>
            </w:pPr>
          </w:p>
        </w:tc>
      </w:tr>
      <w:tr>
        <w:trPr>
          <w:trHeight w:val="459"/>
        </w:trPr>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8.1</w:t>
            </w:r>
          </w:p>
        </w:tc>
        <w:tc>
          <w:tcPr>
            <w:tcW w:w="9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Supplemental Indentures Without Consent of Holders of Debt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r>
      <w:tr>
        <w:trPr>
          <w:trHeight w:val="518"/>
        </w:trPr>
        <w:tc>
          <w:tcPr>
            <w:tcW w:w="1200" w:type="dxa"/>
            <w:vAlign w:val="bottom"/>
          </w:tcPr>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iii</w:t>
            </w:r>
            <w:r>
              <w:rPr>
                <w:rFonts w:ascii="MS PGothic" w:cs="MS PGothic" w:eastAsia="MS PGothic" w:hAnsi="MS PGothic"/>
                <w:sz w:val="22"/>
                <w:szCs w:val="22"/>
                <w:color w:val="auto"/>
              </w:rPr>
              <w:t>‑</w:t>
            </w:r>
          </w:p>
        </w:tc>
        <w:tc>
          <w:tcPr>
            <w:tcW w:w="94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881"/>
        </w:trPr>
        <w:tc>
          <w:tcPr>
            <w:tcW w:w="120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8.2</w:t>
            </w:r>
          </w:p>
        </w:tc>
        <w:tc>
          <w:tcPr>
            <w:tcW w:w="8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Supplemental Indentures With Consent of Holders of Debt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w:t>
            </w:r>
          </w:p>
        </w:tc>
      </w:tr>
      <w:tr>
        <w:trPr>
          <w:trHeight w:val="243"/>
        </w:trPr>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8.3</w:t>
            </w:r>
          </w:p>
        </w:tc>
        <w:tc>
          <w:tcPr>
            <w:tcW w:w="8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Execution of Supplemental Indentures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171</w:t>
            </w:r>
          </w:p>
        </w:tc>
      </w:tr>
      <w:tr>
        <w:trPr>
          <w:trHeight w:val="243"/>
        </w:trPr>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8.4</w:t>
            </w:r>
          </w:p>
        </w:tc>
        <w:tc>
          <w:tcPr>
            <w:tcW w:w="8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Effect of Supplemental Indentures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173</w:t>
            </w:r>
          </w:p>
        </w:tc>
      </w:tr>
      <w:tr>
        <w:trPr>
          <w:trHeight w:val="243"/>
        </w:trPr>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8.5</w:t>
            </w:r>
          </w:p>
        </w:tc>
        <w:tc>
          <w:tcPr>
            <w:tcW w:w="8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Reference in Notes to Supplemental Indentures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173</w:t>
            </w:r>
          </w:p>
        </w:tc>
      </w:tr>
      <w:tr>
        <w:trPr>
          <w:trHeight w:val="282"/>
        </w:trPr>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8.6</w:t>
            </w:r>
          </w:p>
        </w:tc>
        <w:tc>
          <w:tcPr>
            <w:tcW w:w="8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Amendments to Master Loan Sale Agreement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173</w:t>
            </w:r>
          </w:p>
        </w:tc>
      </w:tr>
      <w:tr>
        <w:trPr>
          <w:trHeight w:val="567"/>
        </w:trPr>
        <w:tc>
          <w:tcPr>
            <w:tcW w:w="1260" w:type="dxa"/>
            <w:vAlign w:val="bottom"/>
          </w:tcPr>
          <w:p>
            <w:pPr>
              <w:spacing w:after="0"/>
              <w:rPr>
                <w:sz w:val="24"/>
                <w:szCs w:val="24"/>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ARTICLE IX</w:t>
            </w:r>
          </w:p>
        </w:tc>
        <w:tc>
          <w:tcPr>
            <w:tcW w:w="1200" w:type="dxa"/>
            <w:vAlign w:val="bottom"/>
          </w:tcPr>
          <w:p>
            <w:pPr>
              <w:spacing w:after="0"/>
              <w:rPr>
                <w:sz w:val="24"/>
                <w:szCs w:val="24"/>
                <w:color w:val="auto"/>
              </w:rPr>
            </w:pPr>
          </w:p>
        </w:tc>
      </w:tr>
      <w:tr>
        <w:trPr>
          <w:trHeight w:val="486"/>
        </w:trPr>
        <w:tc>
          <w:tcPr>
            <w:tcW w:w="1260" w:type="dxa"/>
            <w:vAlign w:val="bottom"/>
          </w:tcPr>
          <w:p>
            <w:pPr>
              <w:spacing w:after="0"/>
              <w:rPr>
                <w:sz w:val="24"/>
                <w:szCs w:val="24"/>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REDEMPTION OF NOTES</w:t>
            </w:r>
          </w:p>
        </w:tc>
        <w:tc>
          <w:tcPr>
            <w:tcW w:w="1200" w:type="dxa"/>
            <w:vAlign w:val="bottom"/>
          </w:tcPr>
          <w:p>
            <w:pPr>
              <w:spacing w:after="0"/>
              <w:rPr>
                <w:sz w:val="24"/>
                <w:szCs w:val="24"/>
                <w:color w:val="auto"/>
              </w:rPr>
            </w:pPr>
          </w:p>
        </w:tc>
      </w:tr>
      <w:tr>
        <w:trPr>
          <w:trHeight w:val="420"/>
        </w:trPr>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9.1</w:t>
            </w:r>
          </w:p>
        </w:tc>
        <w:tc>
          <w:tcPr>
            <w:tcW w:w="8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Mandatory Redemption</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174</w:t>
            </w:r>
          </w:p>
        </w:tc>
      </w:tr>
      <w:tr>
        <w:trPr>
          <w:trHeight w:val="243"/>
        </w:trPr>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9.2</w:t>
            </w:r>
          </w:p>
        </w:tc>
        <w:tc>
          <w:tcPr>
            <w:tcW w:w="8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Optional Redemption</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174</w:t>
            </w:r>
          </w:p>
        </w:tc>
      </w:tr>
      <w:tr>
        <w:trPr>
          <w:trHeight w:val="243"/>
        </w:trPr>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9.3</w:t>
            </w:r>
          </w:p>
        </w:tc>
        <w:tc>
          <w:tcPr>
            <w:tcW w:w="8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Tax Redemption</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178</w:t>
            </w:r>
          </w:p>
        </w:tc>
      </w:tr>
      <w:tr>
        <w:trPr>
          <w:trHeight w:val="243"/>
        </w:trPr>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9.4</w:t>
            </w:r>
          </w:p>
        </w:tc>
        <w:tc>
          <w:tcPr>
            <w:tcW w:w="8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Redemption Procedures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178</w:t>
            </w:r>
          </w:p>
        </w:tc>
      </w:tr>
      <w:tr>
        <w:trPr>
          <w:trHeight w:val="243"/>
        </w:trPr>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9.5</w:t>
            </w:r>
          </w:p>
        </w:tc>
        <w:tc>
          <w:tcPr>
            <w:tcW w:w="8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Debt Payable on Redemption Date</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180</w:t>
            </w:r>
          </w:p>
        </w:tc>
      </w:tr>
      <w:tr>
        <w:trPr>
          <w:trHeight w:val="216"/>
        </w:trPr>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Section 9.6</w:t>
            </w:r>
          </w:p>
        </w:tc>
        <w:tc>
          <w:tcPr>
            <w:tcW w:w="878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Special Redemption</w:t>
            </w:r>
          </w:p>
        </w:tc>
        <w:tc>
          <w:tcPr>
            <w:tcW w:w="12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181</w:t>
            </w:r>
          </w:p>
        </w:tc>
      </w:tr>
      <w:tr>
        <w:trPr>
          <w:trHeight w:val="283"/>
        </w:trPr>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9.7</w:t>
            </w:r>
          </w:p>
        </w:tc>
        <w:tc>
          <w:tcPr>
            <w:tcW w:w="8780" w:type="dxa"/>
            <w:vAlign w:val="bottom"/>
          </w:tcPr>
          <w:p>
            <w:pPr>
              <w:ind w:left="60"/>
              <w:spacing w:after="0" w:line="253" w:lineRule="exact"/>
              <w:rPr>
                <w:sz w:val="20"/>
                <w:szCs w:val="20"/>
                <w:color w:val="auto"/>
              </w:rPr>
            </w:pPr>
            <w:r>
              <w:rPr>
                <w:rFonts w:ascii="Times New Roman" w:cs="Times New Roman" w:eastAsia="Times New Roman" w:hAnsi="Times New Roman"/>
                <w:sz w:val="22"/>
                <w:szCs w:val="22"/>
                <w:color w:val="auto"/>
              </w:rPr>
              <w:t>Optional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181</w:t>
            </w:r>
          </w:p>
        </w:tc>
      </w:tr>
      <w:tr>
        <w:trPr>
          <w:trHeight w:val="282"/>
        </w:trPr>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9.8</w:t>
            </w:r>
          </w:p>
        </w:tc>
        <w:tc>
          <w:tcPr>
            <w:tcW w:w="8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Clean-Up Call Redemption.</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w:t>
            </w:r>
          </w:p>
        </w:tc>
      </w:tr>
      <w:tr>
        <w:trPr>
          <w:trHeight w:val="567"/>
        </w:trPr>
        <w:tc>
          <w:tcPr>
            <w:tcW w:w="1260" w:type="dxa"/>
            <w:vAlign w:val="bottom"/>
          </w:tcPr>
          <w:p>
            <w:pPr>
              <w:spacing w:after="0"/>
              <w:rPr>
                <w:sz w:val="24"/>
                <w:szCs w:val="24"/>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X</w:t>
            </w:r>
          </w:p>
        </w:tc>
        <w:tc>
          <w:tcPr>
            <w:tcW w:w="1200" w:type="dxa"/>
            <w:vAlign w:val="bottom"/>
          </w:tcPr>
          <w:p>
            <w:pPr>
              <w:spacing w:after="0"/>
              <w:rPr>
                <w:sz w:val="24"/>
                <w:szCs w:val="24"/>
                <w:color w:val="auto"/>
              </w:rPr>
            </w:pPr>
          </w:p>
        </w:tc>
      </w:tr>
      <w:tr>
        <w:trPr>
          <w:trHeight w:val="486"/>
        </w:trPr>
        <w:tc>
          <w:tcPr>
            <w:tcW w:w="1260" w:type="dxa"/>
            <w:vAlign w:val="bottom"/>
          </w:tcPr>
          <w:p>
            <w:pPr>
              <w:spacing w:after="0"/>
              <w:rPr>
                <w:sz w:val="24"/>
                <w:szCs w:val="24"/>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ACCOUNTS, ACCOUNTINGS AND RELEASES</w:t>
            </w:r>
          </w:p>
        </w:tc>
        <w:tc>
          <w:tcPr>
            <w:tcW w:w="1200" w:type="dxa"/>
            <w:vAlign w:val="bottom"/>
          </w:tcPr>
          <w:p>
            <w:pPr>
              <w:spacing w:after="0"/>
              <w:rPr>
                <w:sz w:val="24"/>
                <w:szCs w:val="24"/>
                <w:color w:val="auto"/>
              </w:rPr>
            </w:pPr>
          </w:p>
        </w:tc>
      </w:tr>
      <w:tr>
        <w:trPr>
          <w:trHeight w:val="420"/>
        </w:trPr>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10.1</w:t>
            </w:r>
          </w:p>
        </w:tc>
        <w:tc>
          <w:tcPr>
            <w:tcW w:w="8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Collection of Money</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187</w:t>
            </w:r>
          </w:p>
        </w:tc>
      </w:tr>
      <w:tr>
        <w:trPr>
          <w:trHeight w:val="243"/>
        </w:trPr>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10.2</w:t>
            </w:r>
          </w:p>
        </w:tc>
        <w:tc>
          <w:tcPr>
            <w:tcW w:w="8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Collection Account</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188</w:t>
            </w:r>
          </w:p>
        </w:tc>
      </w:tr>
      <w:tr>
        <w:trPr>
          <w:trHeight w:val="243"/>
        </w:trPr>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10.3</w:t>
            </w:r>
          </w:p>
        </w:tc>
        <w:tc>
          <w:tcPr>
            <w:tcW w:w="8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Transaction Accounts.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190</w:t>
            </w:r>
          </w:p>
        </w:tc>
      </w:tr>
      <w:tr>
        <w:trPr>
          <w:trHeight w:val="243"/>
        </w:trPr>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10.4</w:t>
            </w:r>
          </w:p>
        </w:tc>
        <w:tc>
          <w:tcPr>
            <w:tcW w:w="8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The Revolver Funding Account</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192</w:t>
            </w:r>
          </w:p>
        </w:tc>
      </w:tr>
      <w:tr>
        <w:trPr>
          <w:trHeight w:val="243"/>
        </w:trPr>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10.5</w:t>
            </w:r>
          </w:p>
        </w:tc>
        <w:tc>
          <w:tcPr>
            <w:tcW w:w="8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Contributions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194</w:t>
            </w:r>
          </w:p>
        </w:tc>
      </w:tr>
      <w:tr>
        <w:trPr>
          <w:trHeight w:val="243"/>
        </w:trPr>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10.6</w:t>
            </w:r>
          </w:p>
        </w:tc>
        <w:tc>
          <w:tcPr>
            <w:tcW w:w="8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Reinvestment of Funds in Accounts; Reports by Collateral Trustee</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194</w:t>
            </w:r>
          </w:p>
        </w:tc>
      </w:tr>
      <w:tr>
        <w:trPr>
          <w:trHeight w:val="243"/>
        </w:trPr>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10.7</w:t>
            </w:r>
          </w:p>
        </w:tc>
        <w:tc>
          <w:tcPr>
            <w:tcW w:w="8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Accountings.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196</w:t>
            </w:r>
          </w:p>
        </w:tc>
      </w:tr>
      <w:tr>
        <w:trPr>
          <w:trHeight w:val="243"/>
        </w:trPr>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10.8</w:t>
            </w:r>
          </w:p>
        </w:tc>
        <w:tc>
          <w:tcPr>
            <w:tcW w:w="8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Release of Assets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203</w:t>
            </w:r>
          </w:p>
        </w:tc>
      </w:tr>
      <w:tr>
        <w:trPr>
          <w:trHeight w:val="243"/>
        </w:trPr>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10.9</w:t>
            </w:r>
          </w:p>
        </w:tc>
        <w:tc>
          <w:tcPr>
            <w:tcW w:w="8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Reports by Independent Accountants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205</w:t>
            </w:r>
          </w:p>
        </w:tc>
      </w:tr>
      <w:tr>
        <w:trPr>
          <w:trHeight w:val="243"/>
        </w:trPr>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10.10</w:t>
            </w:r>
          </w:p>
        </w:tc>
        <w:tc>
          <w:tcPr>
            <w:tcW w:w="8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Reports to Rating Agencies and Additional Recipients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206</w:t>
            </w:r>
          </w:p>
        </w:tc>
      </w:tr>
      <w:tr>
        <w:trPr>
          <w:trHeight w:val="243"/>
        </w:trPr>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10.11</w:t>
            </w:r>
          </w:p>
        </w:tc>
        <w:tc>
          <w:tcPr>
            <w:tcW w:w="8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Securitization Regulations.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207</w:t>
            </w:r>
          </w:p>
        </w:tc>
      </w:tr>
      <w:tr>
        <w:trPr>
          <w:trHeight w:val="243"/>
        </w:trPr>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Section 10.12</w:t>
            </w:r>
          </w:p>
        </w:tc>
        <w:tc>
          <w:tcPr>
            <w:tcW w:w="87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Procedures Relating to the Establishment of Accounts Controlled by the Collateral Trustee</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207</w:t>
            </w:r>
          </w:p>
        </w:tc>
      </w:tr>
      <w:tr>
        <w:trPr>
          <w:trHeight w:val="282"/>
        </w:trPr>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10.13</w:t>
            </w:r>
          </w:p>
        </w:tc>
        <w:tc>
          <w:tcPr>
            <w:tcW w:w="8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Section 3(c)(7) Procedures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207</w:t>
            </w:r>
          </w:p>
        </w:tc>
      </w:tr>
      <w:tr>
        <w:trPr>
          <w:trHeight w:val="567"/>
        </w:trPr>
        <w:tc>
          <w:tcPr>
            <w:tcW w:w="1260" w:type="dxa"/>
            <w:vAlign w:val="bottom"/>
          </w:tcPr>
          <w:p>
            <w:pPr>
              <w:spacing w:after="0"/>
              <w:rPr>
                <w:sz w:val="24"/>
                <w:szCs w:val="24"/>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ARTICLE XI</w:t>
            </w:r>
          </w:p>
        </w:tc>
        <w:tc>
          <w:tcPr>
            <w:tcW w:w="1200" w:type="dxa"/>
            <w:vAlign w:val="bottom"/>
          </w:tcPr>
          <w:p>
            <w:pPr>
              <w:spacing w:after="0"/>
              <w:rPr>
                <w:sz w:val="24"/>
                <w:szCs w:val="24"/>
                <w:color w:val="auto"/>
              </w:rPr>
            </w:pPr>
          </w:p>
        </w:tc>
      </w:tr>
      <w:tr>
        <w:trPr>
          <w:trHeight w:val="486"/>
        </w:trPr>
        <w:tc>
          <w:tcPr>
            <w:tcW w:w="1260" w:type="dxa"/>
            <w:vAlign w:val="bottom"/>
          </w:tcPr>
          <w:p>
            <w:pPr>
              <w:spacing w:after="0"/>
              <w:rPr>
                <w:sz w:val="24"/>
                <w:szCs w:val="24"/>
                <w:color w:val="auto"/>
              </w:rPr>
            </w:pPr>
          </w:p>
        </w:tc>
        <w:tc>
          <w:tcPr>
            <w:tcW w:w="87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APPLICATION OF MONIES</w:t>
            </w:r>
          </w:p>
        </w:tc>
        <w:tc>
          <w:tcPr>
            <w:tcW w:w="1200" w:type="dxa"/>
            <w:vAlign w:val="bottom"/>
          </w:tcPr>
          <w:p>
            <w:pPr>
              <w:spacing w:after="0"/>
              <w:rPr>
                <w:sz w:val="24"/>
                <w:szCs w:val="24"/>
                <w:color w:val="auto"/>
              </w:rPr>
            </w:pPr>
          </w:p>
        </w:tc>
      </w:tr>
      <w:tr>
        <w:trPr>
          <w:trHeight w:val="459"/>
        </w:trPr>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11.1</w:t>
            </w:r>
          </w:p>
        </w:tc>
        <w:tc>
          <w:tcPr>
            <w:tcW w:w="8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Disbursements of Monies from Payment Account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210</w:t>
            </w:r>
          </w:p>
        </w:tc>
      </w:tr>
      <w:tr>
        <w:trPr>
          <w:trHeight w:val="518"/>
        </w:trPr>
        <w:tc>
          <w:tcPr>
            <w:tcW w:w="1260" w:type="dxa"/>
            <w:vAlign w:val="bottom"/>
          </w:tcPr>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iv</w:t>
            </w:r>
            <w:r>
              <w:rPr>
                <w:rFonts w:ascii="MS PGothic" w:cs="MS PGothic" w:eastAsia="MS PGothic" w:hAnsi="MS PGothic"/>
                <w:sz w:val="22"/>
                <w:szCs w:val="22"/>
                <w:color w:val="auto"/>
              </w:rPr>
              <w:t>‑</w:t>
            </w:r>
          </w:p>
        </w:tc>
        <w:tc>
          <w:tcPr>
            <w:tcW w:w="87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81"/>
        </w:trPr>
        <w:tc>
          <w:tcPr>
            <w:tcW w:w="1260" w:type="dxa"/>
            <w:vAlign w:val="bottom"/>
            <w:tcBorders>
              <w:bottom w:val="single" w:sz="8" w:color="9A9A9A"/>
            </w:tcBorders>
          </w:tcPr>
          <w:p>
            <w:pPr>
              <w:spacing w:after="0"/>
              <w:rPr>
                <w:sz w:val="24"/>
                <w:szCs w:val="24"/>
                <w:color w:val="auto"/>
              </w:rPr>
            </w:pPr>
          </w:p>
        </w:tc>
        <w:tc>
          <w:tcPr>
            <w:tcW w:w="87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8" w:name="page9"/>
    <w:bookmarkEnd w:id="8"/>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1240" w:type="dxa"/>
            <w:vAlign w:val="bottom"/>
          </w:tcPr>
          <w:p>
            <w:pPr>
              <w:spacing w:after="0"/>
              <w:rPr>
                <w:sz w:val="24"/>
                <w:szCs w:val="24"/>
                <w:color w:val="auto"/>
              </w:rPr>
            </w:pPr>
          </w:p>
        </w:tc>
        <w:tc>
          <w:tcPr>
            <w:tcW w:w="846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7"/>
              </w:rPr>
              <w:t>ARTICLE XII</w:t>
            </w:r>
          </w:p>
        </w:tc>
        <w:tc>
          <w:tcPr>
            <w:tcW w:w="1500" w:type="dxa"/>
            <w:vAlign w:val="bottom"/>
          </w:tcPr>
          <w:p>
            <w:pPr>
              <w:spacing w:after="0"/>
              <w:rPr>
                <w:sz w:val="24"/>
                <w:szCs w:val="24"/>
                <w:color w:val="auto"/>
              </w:rPr>
            </w:pPr>
          </w:p>
        </w:tc>
      </w:tr>
      <w:tr>
        <w:trPr>
          <w:trHeight w:val="447"/>
        </w:trPr>
        <w:tc>
          <w:tcPr>
            <w:tcW w:w="1240" w:type="dxa"/>
            <w:vAlign w:val="bottom"/>
          </w:tcPr>
          <w:p>
            <w:pPr>
              <w:spacing w:after="0"/>
              <w:rPr>
                <w:sz w:val="24"/>
                <w:szCs w:val="24"/>
                <w:color w:val="auto"/>
              </w:rPr>
            </w:pPr>
          </w:p>
        </w:tc>
        <w:tc>
          <w:tcPr>
            <w:tcW w:w="846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auto"/>
                <w:w w:val="98"/>
              </w:rPr>
              <w:t>SALE OF COLLATERAL OBLIGATIONS;</w:t>
            </w:r>
          </w:p>
        </w:tc>
        <w:tc>
          <w:tcPr>
            <w:tcW w:w="1500" w:type="dxa"/>
            <w:vAlign w:val="bottom"/>
          </w:tcPr>
          <w:p>
            <w:pPr>
              <w:spacing w:after="0"/>
              <w:rPr>
                <w:sz w:val="24"/>
                <w:szCs w:val="24"/>
                <w:color w:val="auto"/>
              </w:rPr>
            </w:pPr>
          </w:p>
        </w:tc>
      </w:tr>
      <w:tr>
        <w:trPr>
          <w:trHeight w:val="282"/>
        </w:trPr>
        <w:tc>
          <w:tcPr>
            <w:tcW w:w="1240" w:type="dxa"/>
            <w:vAlign w:val="bottom"/>
          </w:tcPr>
          <w:p>
            <w:pPr>
              <w:spacing w:after="0"/>
              <w:rPr>
                <w:sz w:val="24"/>
                <w:szCs w:val="24"/>
                <w:color w:val="auto"/>
              </w:rPr>
            </w:pPr>
          </w:p>
        </w:tc>
        <w:tc>
          <w:tcPr>
            <w:tcW w:w="8460" w:type="dxa"/>
            <w:vAlign w:val="bottom"/>
          </w:tcPr>
          <w:p>
            <w:pPr>
              <w:jc w:val="center"/>
              <w:ind w:left="152"/>
              <w:spacing w:after="0"/>
              <w:rPr>
                <w:sz w:val="20"/>
                <w:szCs w:val="20"/>
                <w:color w:val="auto"/>
              </w:rPr>
            </w:pPr>
            <w:r>
              <w:rPr>
                <w:rFonts w:ascii="Times New Roman" w:cs="Times New Roman" w:eastAsia="Times New Roman" w:hAnsi="Times New Roman"/>
                <w:sz w:val="22"/>
                <w:szCs w:val="22"/>
                <w:color w:val="auto"/>
                <w:w w:val="98"/>
              </w:rPr>
              <w:t>PURCHASE OF ADDITIONAL COLLATERAL OBLIGATIONS</w:t>
            </w:r>
          </w:p>
        </w:tc>
        <w:tc>
          <w:tcPr>
            <w:tcW w:w="1500" w:type="dxa"/>
            <w:vAlign w:val="bottom"/>
          </w:tcPr>
          <w:p>
            <w:pPr>
              <w:spacing w:after="0"/>
              <w:rPr>
                <w:sz w:val="24"/>
                <w:szCs w:val="24"/>
                <w:color w:val="auto"/>
              </w:rPr>
            </w:pPr>
          </w:p>
        </w:tc>
      </w:tr>
      <w:tr>
        <w:trPr>
          <w:trHeight w:val="420"/>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12.1</w:t>
            </w:r>
          </w:p>
        </w:tc>
        <w:tc>
          <w:tcPr>
            <w:tcW w:w="8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Sales of Collateral Obligations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217</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12.2</w:t>
            </w:r>
          </w:p>
        </w:tc>
        <w:tc>
          <w:tcPr>
            <w:tcW w:w="8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Purchase of Additional Collateral Obligations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219</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12.3</w:t>
            </w:r>
          </w:p>
        </w:tc>
        <w:tc>
          <w:tcPr>
            <w:tcW w:w="8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Optional Repurchase or Substitution of Collateral Obligations.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222</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12.4</w:t>
            </w:r>
          </w:p>
        </w:tc>
        <w:tc>
          <w:tcPr>
            <w:tcW w:w="8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Conditions Applicable to All Sale and Purchase Transactions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224</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12.5</w:t>
            </w:r>
          </w:p>
        </w:tc>
        <w:tc>
          <w:tcPr>
            <w:tcW w:w="8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225</w:t>
            </w: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12.6</w:t>
            </w:r>
          </w:p>
        </w:tc>
        <w:tc>
          <w:tcPr>
            <w:tcW w:w="8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Acquisition of Restructured Assets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226</w:t>
            </w:r>
          </w:p>
        </w:tc>
      </w:tr>
      <w:tr>
        <w:trPr>
          <w:trHeight w:val="567"/>
        </w:trPr>
        <w:tc>
          <w:tcPr>
            <w:tcW w:w="1240" w:type="dxa"/>
            <w:vAlign w:val="bottom"/>
          </w:tcPr>
          <w:p>
            <w:pPr>
              <w:spacing w:after="0"/>
              <w:rPr>
                <w:sz w:val="24"/>
                <w:szCs w:val="24"/>
                <w:color w:val="auto"/>
              </w:rPr>
            </w:pPr>
          </w:p>
        </w:tc>
        <w:tc>
          <w:tcPr>
            <w:tcW w:w="846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8"/>
              </w:rPr>
              <w:t>ARTICLE XIII</w:t>
            </w:r>
          </w:p>
        </w:tc>
        <w:tc>
          <w:tcPr>
            <w:tcW w:w="1500" w:type="dxa"/>
            <w:vAlign w:val="bottom"/>
          </w:tcPr>
          <w:p>
            <w:pPr>
              <w:spacing w:after="0"/>
              <w:rPr>
                <w:sz w:val="24"/>
                <w:szCs w:val="24"/>
                <w:color w:val="auto"/>
              </w:rPr>
            </w:pPr>
          </w:p>
        </w:tc>
      </w:tr>
      <w:tr>
        <w:trPr>
          <w:trHeight w:val="486"/>
        </w:trPr>
        <w:tc>
          <w:tcPr>
            <w:tcW w:w="1240" w:type="dxa"/>
            <w:vAlign w:val="bottom"/>
          </w:tcPr>
          <w:p>
            <w:pPr>
              <w:spacing w:after="0"/>
              <w:rPr>
                <w:sz w:val="24"/>
                <w:szCs w:val="24"/>
                <w:color w:val="auto"/>
              </w:rPr>
            </w:pPr>
          </w:p>
        </w:tc>
        <w:tc>
          <w:tcPr>
            <w:tcW w:w="846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8"/>
              </w:rPr>
              <w:t>NOTEHOLDERS' RELATIONS</w:t>
            </w:r>
          </w:p>
        </w:tc>
        <w:tc>
          <w:tcPr>
            <w:tcW w:w="1500" w:type="dxa"/>
            <w:vAlign w:val="bottom"/>
          </w:tcPr>
          <w:p>
            <w:pPr>
              <w:spacing w:after="0"/>
              <w:rPr>
                <w:sz w:val="24"/>
                <w:szCs w:val="24"/>
                <w:color w:val="auto"/>
              </w:rPr>
            </w:pPr>
          </w:p>
        </w:tc>
      </w:tr>
      <w:tr>
        <w:trPr>
          <w:trHeight w:val="420"/>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13.1</w:t>
            </w:r>
          </w:p>
        </w:tc>
        <w:tc>
          <w:tcPr>
            <w:tcW w:w="8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Subordination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226</w:t>
            </w: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13.2</w:t>
            </w:r>
          </w:p>
        </w:tc>
        <w:tc>
          <w:tcPr>
            <w:tcW w:w="8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Standard of Conduct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227</w:t>
            </w:r>
          </w:p>
        </w:tc>
      </w:tr>
      <w:tr>
        <w:trPr>
          <w:trHeight w:val="567"/>
        </w:trPr>
        <w:tc>
          <w:tcPr>
            <w:tcW w:w="1240" w:type="dxa"/>
            <w:vAlign w:val="bottom"/>
          </w:tcPr>
          <w:p>
            <w:pPr>
              <w:spacing w:after="0"/>
              <w:rPr>
                <w:sz w:val="24"/>
                <w:szCs w:val="24"/>
                <w:color w:val="auto"/>
              </w:rPr>
            </w:pPr>
          </w:p>
        </w:tc>
        <w:tc>
          <w:tcPr>
            <w:tcW w:w="8460" w:type="dxa"/>
            <w:vAlign w:val="bottom"/>
          </w:tcPr>
          <w:p>
            <w:pPr>
              <w:jc w:val="center"/>
              <w:ind w:left="152"/>
              <w:spacing w:after="0"/>
              <w:rPr>
                <w:sz w:val="20"/>
                <w:szCs w:val="20"/>
                <w:color w:val="auto"/>
              </w:rPr>
            </w:pPr>
            <w:r>
              <w:rPr>
                <w:rFonts w:ascii="Times New Roman" w:cs="Times New Roman" w:eastAsia="Times New Roman" w:hAnsi="Times New Roman"/>
                <w:sz w:val="22"/>
                <w:szCs w:val="22"/>
                <w:color w:val="auto"/>
                <w:w w:val="98"/>
              </w:rPr>
              <w:t>ARTICLE XIV</w:t>
            </w:r>
          </w:p>
        </w:tc>
        <w:tc>
          <w:tcPr>
            <w:tcW w:w="1500" w:type="dxa"/>
            <w:vAlign w:val="bottom"/>
          </w:tcPr>
          <w:p>
            <w:pPr>
              <w:spacing w:after="0"/>
              <w:rPr>
                <w:sz w:val="24"/>
                <w:szCs w:val="24"/>
                <w:color w:val="auto"/>
              </w:rPr>
            </w:pPr>
          </w:p>
        </w:tc>
      </w:tr>
      <w:tr>
        <w:trPr>
          <w:trHeight w:val="486"/>
        </w:trPr>
        <w:tc>
          <w:tcPr>
            <w:tcW w:w="1240" w:type="dxa"/>
            <w:vAlign w:val="bottom"/>
          </w:tcPr>
          <w:p>
            <w:pPr>
              <w:spacing w:after="0"/>
              <w:rPr>
                <w:sz w:val="24"/>
                <w:szCs w:val="24"/>
                <w:color w:val="auto"/>
              </w:rPr>
            </w:pPr>
          </w:p>
        </w:tc>
        <w:tc>
          <w:tcPr>
            <w:tcW w:w="8460" w:type="dxa"/>
            <w:vAlign w:val="bottom"/>
          </w:tcPr>
          <w:p>
            <w:pPr>
              <w:jc w:val="center"/>
              <w:ind w:left="152"/>
              <w:spacing w:after="0"/>
              <w:rPr>
                <w:sz w:val="20"/>
                <w:szCs w:val="20"/>
                <w:color w:val="auto"/>
              </w:rPr>
            </w:pPr>
            <w:r>
              <w:rPr>
                <w:rFonts w:ascii="Times New Roman" w:cs="Times New Roman" w:eastAsia="Times New Roman" w:hAnsi="Times New Roman"/>
                <w:sz w:val="22"/>
                <w:szCs w:val="22"/>
                <w:color w:val="auto"/>
                <w:w w:val="98"/>
              </w:rPr>
              <w:t>MISCELLANEOUS</w:t>
            </w:r>
          </w:p>
        </w:tc>
        <w:tc>
          <w:tcPr>
            <w:tcW w:w="1500" w:type="dxa"/>
            <w:vAlign w:val="bottom"/>
          </w:tcPr>
          <w:p>
            <w:pPr>
              <w:spacing w:after="0"/>
              <w:rPr>
                <w:sz w:val="24"/>
                <w:szCs w:val="24"/>
                <w:color w:val="auto"/>
              </w:rPr>
            </w:pPr>
          </w:p>
        </w:tc>
      </w:tr>
      <w:tr>
        <w:trPr>
          <w:trHeight w:val="420"/>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14.1</w:t>
            </w:r>
          </w:p>
        </w:tc>
        <w:tc>
          <w:tcPr>
            <w:tcW w:w="8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Form of Documents Delivered to Collateral Trustee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227</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14.2</w:t>
            </w:r>
          </w:p>
        </w:tc>
        <w:tc>
          <w:tcPr>
            <w:tcW w:w="8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Acts of Holders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228</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14.3</w:t>
            </w:r>
          </w:p>
        </w:tc>
        <w:tc>
          <w:tcPr>
            <w:tcW w:w="8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Notices, etc</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229</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14.4</w:t>
            </w:r>
          </w:p>
        </w:tc>
        <w:tc>
          <w:tcPr>
            <w:tcW w:w="8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Notices to Holders; Waiver</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231</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14.5</w:t>
            </w:r>
          </w:p>
        </w:tc>
        <w:tc>
          <w:tcPr>
            <w:tcW w:w="8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Effect of Headings and Table of Contents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232</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14.6</w:t>
            </w:r>
          </w:p>
        </w:tc>
        <w:tc>
          <w:tcPr>
            <w:tcW w:w="8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Successors and Assigns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233</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14.7</w:t>
            </w:r>
          </w:p>
        </w:tc>
        <w:tc>
          <w:tcPr>
            <w:tcW w:w="8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233</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14.8</w:t>
            </w:r>
          </w:p>
        </w:tc>
        <w:tc>
          <w:tcPr>
            <w:tcW w:w="8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Benefits of Indenture</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233</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14.9</w:t>
            </w:r>
          </w:p>
        </w:tc>
        <w:tc>
          <w:tcPr>
            <w:tcW w:w="8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233</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14.10</w:t>
            </w:r>
          </w:p>
        </w:tc>
        <w:tc>
          <w:tcPr>
            <w:tcW w:w="8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Governing Law</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233</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14.11</w:t>
            </w:r>
          </w:p>
        </w:tc>
        <w:tc>
          <w:tcPr>
            <w:tcW w:w="8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Submission to Jurisdiction</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233</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14.12</w:t>
            </w:r>
          </w:p>
        </w:tc>
        <w:tc>
          <w:tcPr>
            <w:tcW w:w="8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WAIVER OF JURY TRIAL</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233</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14.13</w:t>
            </w:r>
          </w:p>
        </w:tc>
        <w:tc>
          <w:tcPr>
            <w:tcW w:w="8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Counterparts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234</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14.14</w:t>
            </w:r>
          </w:p>
        </w:tc>
        <w:tc>
          <w:tcPr>
            <w:tcW w:w="8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Acts of Issuer</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234</w:t>
            </w: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14.15</w:t>
            </w:r>
          </w:p>
        </w:tc>
        <w:tc>
          <w:tcPr>
            <w:tcW w:w="8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Confidential Information</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234</w:t>
            </w:r>
          </w:p>
        </w:tc>
      </w:tr>
      <w:tr>
        <w:trPr>
          <w:trHeight w:val="216"/>
        </w:trPr>
        <w:tc>
          <w:tcPr>
            <w:tcW w:w="12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 14.16</w:t>
            </w:r>
          </w:p>
        </w:tc>
        <w:tc>
          <w:tcPr>
            <w:tcW w:w="846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[Reserved].</w:t>
            </w:r>
          </w:p>
        </w:tc>
        <w:tc>
          <w:tcPr>
            <w:tcW w:w="15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236</w:t>
            </w:r>
          </w:p>
        </w:tc>
      </w:tr>
      <w:tr>
        <w:trPr>
          <w:trHeight w:val="28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14.17</w:t>
            </w:r>
          </w:p>
        </w:tc>
        <w:tc>
          <w:tcPr>
            <w:tcW w:w="8460" w:type="dxa"/>
            <w:vAlign w:val="bottom"/>
          </w:tcPr>
          <w:p>
            <w:pPr>
              <w:ind w:left="60"/>
              <w:spacing w:after="0" w:line="253" w:lineRule="exact"/>
              <w:rPr>
                <w:sz w:val="20"/>
                <w:szCs w:val="20"/>
                <w:color w:val="auto"/>
              </w:rPr>
            </w:pPr>
            <w:r>
              <w:rPr>
                <w:rFonts w:ascii="Times New Roman" w:cs="Times New Roman" w:eastAsia="Times New Roman" w:hAnsi="Times New Roman"/>
                <w:sz w:val="22"/>
                <w:szCs w:val="22"/>
                <w:color w:val="auto"/>
              </w:rPr>
              <w:t>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Information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236</w:t>
            </w: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Section 14.18</w:t>
            </w:r>
          </w:p>
        </w:tc>
        <w:tc>
          <w:tcPr>
            <w:tcW w:w="8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Escheat.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238</w:t>
            </w:r>
          </w:p>
        </w:tc>
      </w:tr>
    </w:tbl>
    <w:p>
      <w:pPr>
        <w:spacing w:after="0" w:line="15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v</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XV</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ASSIGNMENT OF CERTAIN AGREEMENTS</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8280" w:type="dxa"/>
            <w:vAlign w:val="bottom"/>
          </w:tcPr>
          <w:p>
            <w:pPr>
              <w:spacing w:after="0"/>
              <w:rPr>
                <w:sz w:val="20"/>
                <w:szCs w:val="20"/>
                <w:color w:val="auto"/>
              </w:rPr>
            </w:pPr>
            <w:r>
              <w:rPr>
                <w:rFonts w:ascii="Times New Roman" w:cs="Times New Roman" w:eastAsia="Times New Roman" w:hAnsi="Times New Roman"/>
                <w:sz w:val="22"/>
                <w:szCs w:val="22"/>
                <w:color w:val="auto"/>
              </w:rPr>
              <w:t>Section 15.1  Assignment of Collateral Management Agreement</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238</w:t>
            </w:r>
          </w:p>
        </w:tc>
      </w:tr>
    </w:tbl>
    <w:p>
      <w:pPr>
        <w:spacing w:after="0" w:line="15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vi</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EXHIBITS AND SCHEDULES</w:t>
      </w:r>
    </w:p>
    <w:p>
      <w:pPr>
        <w:spacing w:after="0" w:line="21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Forms of Notes</w:t>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A-1 Form of Global Secured Note</w:t>
      </w:r>
    </w:p>
    <w:p>
      <w:pPr>
        <w:ind w:left="900"/>
        <w:spacing w:after="0" w:line="230" w:lineRule="auto"/>
        <w:rPr>
          <w:sz w:val="20"/>
          <w:szCs w:val="20"/>
          <w:color w:val="auto"/>
        </w:rPr>
      </w:pPr>
      <w:r>
        <w:rPr>
          <w:rFonts w:ascii="Times New Roman" w:cs="Times New Roman" w:eastAsia="Times New Roman" w:hAnsi="Times New Roman"/>
          <w:sz w:val="22"/>
          <w:szCs w:val="22"/>
          <w:color w:val="auto"/>
        </w:rPr>
        <w:t>A-2 Form of Certificated Secured Note</w:t>
      </w:r>
    </w:p>
    <w:p>
      <w:pPr>
        <w:ind w:left="900"/>
        <w:spacing w:after="0" w:line="231" w:lineRule="auto"/>
        <w:rPr>
          <w:sz w:val="20"/>
          <w:szCs w:val="20"/>
          <w:color w:val="auto"/>
        </w:rPr>
      </w:pPr>
      <w:r>
        <w:rPr>
          <w:rFonts w:ascii="Times New Roman" w:cs="Times New Roman" w:eastAsia="Times New Roman" w:hAnsi="Times New Roman"/>
          <w:sz w:val="22"/>
          <w:szCs w:val="22"/>
          <w:color w:val="auto"/>
        </w:rPr>
        <w:t>A-3 Form of Rule 144A Global Subordinated Note</w:t>
      </w:r>
    </w:p>
    <w:p>
      <w:pPr>
        <w:ind w:left="900"/>
        <w:spacing w:after="0"/>
        <w:rPr>
          <w:sz w:val="20"/>
          <w:szCs w:val="20"/>
          <w:color w:val="auto"/>
        </w:rPr>
      </w:pPr>
      <w:r>
        <w:rPr>
          <w:rFonts w:ascii="Times New Roman" w:cs="Times New Roman" w:eastAsia="Times New Roman" w:hAnsi="Times New Roman"/>
          <w:sz w:val="22"/>
          <w:szCs w:val="22"/>
          <w:color w:val="auto"/>
        </w:rPr>
        <w:t>A-4 Form of Certificated Subordinated Note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Forms of Transfer and Exchange Certificates</w:t>
      </w:r>
    </w:p>
    <w:p>
      <w:pPr>
        <w:spacing w:after="0" w:line="20" w:lineRule="exact"/>
        <w:rPr>
          <w:sz w:val="20"/>
          <w:szCs w:val="20"/>
          <w:color w:val="auto"/>
        </w:rPr>
      </w:pPr>
    </w:p>
    <w:p>
      <w:pPr>
        <w:ind w:left="1680" w:right="20" w:hanging="765"/>
        <w:spacing w:after="0" w:line="249" w:lineRule="exact"/>
        <w:rPr>
          <w:sz w:val="20"/>
          <w:szCs w:val="20"/>
          <w:color w:val="auto"/>
        </w:rPr>
      </w:pPr>
      <w:r>
        <w:rPr>
          <w:rFonts w:ascii="Times New Roman" w:cs="Times New Roman" w:eastAsia="Times New Roman" w:hAnsi="Times New Roman"/>
          <w:sz w:val="22"/>
          <w:szCs w:val="22"/>
          <w:color w:val="auto"/>
        </w:rPr>
        <w:t>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Form of Transferor Certificate for Transfer of Rule 144A Global Secured Note or Certificated Secured Note to Regulation S Global Secured Note</w:t>
      </w:r>
    </w:p>
    <w:p>
      <w:pPr>
        <w:spacing w:after="0" w:line="2" w:lineRule="exact"/>
        <w:rPr>
          <w:sz w:val="20"/>
          <w:szCs w:val="20"/>
          <w:color w:val="auto"/>
        </w:rPr>
      </w:pPr>
    </w:p>
    <w:p>
      <w:pPr>
        <w:ind w:left="900"/>
        <w:spacing w:after="0" w:line="253" w:lineRule="exact"/>
        <w:rPr>
          <w:sz w:val="20"/>
          <w:szCs w:val="20"/>
          <w:color w:val="auto"/>
        </w:rPr>
      </w:pPr>
      <w:r>
        <w:rPr>
          <w:rFonts w:ascii="Times New Roman" w:cs="Times New Roman" w:eastAsia="Times New Roman" w:hAnsi="Times New Roman"/>
          <w:sz w:val="22"/>
          <w:szCs w:val="22"/>
          <w:color w:val="auto"/>
        </w:rPr>
        <w:t>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 Form of Purchaser Representation Letter for Certificated Notes</w:t>
      </w:r>
    </w:p>
    <w:p>
      <w:pPr>
        <w:spacing w:after="0" w:line="4" w:lineRule="exact"/>
        <w:rPr>
          <w:sz w:val="20"/>
          <w:szCs w:val="20"/>
          <w:color w:val="auto"/>
        </w:rPr>
      </w:pPr>
    </w:p>
    <w:p>
      <w:pPr>
        <w:ind w:left="1680" w:right="20" w:hanging="765"/>
        <w:spacing w:after="0" w:line="249" w:lineRule="exact"/>
        <w:rPr>
          <w:sz w:val="20"/>
          <w:szCs w:val="20"/>
          <w:color w:val="auto"/>
        </w:rPr>
      </w:pPr>
      <w:r>
        <w:rPr>
          <w:rFonts w:ascii="Times New Roman" w:cs="Times New Roman" w:eastAsia="Times New Roman" w:hAnsi="Times New Roman"/>
          <w:sz w:val="22"/>
          <w:szCs w:val="22"/>
          <w:color w:val="auto"/>
        </w:rPr>
        <w:t>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Form of Transferor Certificate for Transfer of Regulation S Global Secured Note or Certificated Secured Note to Rule 144A Global Secured Note</w:t>
      </w:r>
    </w:p>
    <w:p>
      <w:pPr>
        <w:spacing w:after="0" w:line="2" w:lineRule="exact"/>
        <w:rPr>
          <w:sz w:val="20"/>
          <w:szCs w:val="20"/>
          <w:color w:val="auto"/>
        </w:rPr>
      </w:pPr>
    </w:p>
    <w:p>
      <w:pPr>
        <w:ind w:left="900" w:right="3540"/>
        <w:spacing w:after="0" w:line="248" w:lineRule="exact"/>
        <w:rPr>
          <w:sz w:val="20"/>
          <w:szCs w:val="20"/>
          <w:color w:val="auto"/>
        </w:rPr>
      </w:pPr>
      <w:r>
        <w:rPr>
          <w:rFonts w:ascii="Times New Roman" w:cs="Times New Roman" w:eastAsia="Times New Roman" w:hAnsi="Times New Roman"/>
          <w:sz w:val="22"/>
          <w:szCs w:val="22"/>
          <w:color w:val="auto"/>
        </w:rPr>
        <w:t>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 Form of Transferee Certificate for Rule 144A Global Secured Note 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Form of Transferee Certificate for Regulation S Global Secured Note B-6 Form of Transferor Certificate for Rule 144A Global Subordinated Notes B-7 Form of Transferee Certificate for Rule 144A Global Subordinated Notes</w:t>
      </w:r>
    </w:p>
    <w:p>
      <w:pPr>
        <w:spacing w:after="0" w:line="3" w:lineRule="exact"/>
        <w:rPr>
          <w:sz w:val="20"/>
          <w:szCs w:val="20"/>
          <w:color w:val="auto"/>
        </w:rPr>
      </w:pPr>
    </w:p>
    <w:p>
      <w:pPr>
        <w:ind w:left="900" w:right="3180" w:hanging="66"/>
        <w:spacing w:after="0" w:line="237" w:lineRule="auto"/>
        <w:rPr>
          <w:sz w:val="20"/>
          <w:szCs w:val="20"/>
          <w:color w:val="auto"/>
        </w:rPr>
      </w:pPr>
      <w:r>
        <w:rPr>
          <w:rFonts w:ascii="Times New Roman" w:cs="Times New Roman" w:eastAsia="Times New Roman" w:hAnsi="Times New Roman"/>
          <w:sz w:val="22"/>
          <w:szCs w:val="22"/>
          <w:color w:val="auto"/>
        </w:rPr>
        <w:t>B-8 Form of Transferor Certificate for Transfer to Certificated Subordinated Notes B-9 Form of Transferee Certificate for Certificated Subordinated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Form of Securities Account Control Agreement</w:t>
      </w:r>
    </w:p>
    <w:p>
      <w:pPr>
        <w:spacing w:after="0" w:line="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Form of Beneficial Ownership Certificate</w:t>
      </w:r>
    </w:p>
    <w:p>
      <w:pPr>
        <w:ind w:right="5560"/>
        <w:spacing w:after="0" w:line="237" w:lineRule="auto"/>
        <w:rPr>
          <w:sz w:val="20"/>
          <w:szCs w:val="20"/>
          <w:color w:val="auto"/>
        </w:rPr>
      </w:pPr>
      <w:r>
        <w:rPr>
          <w:rFonts w:ascii="Times New Roman" w:cs="Times New Roman" w:eastAsia="Times New Roman" w:hAnsi="Times New Roman"/>
          <w:sz w:val="22"/>
          <w:szCs w:val="22"/>
          <w:color w:val="auto"/>
        </w:rPr>
        <w:t>Exhibit E Form of Weighted Average S&amp;P Recovery Rate Notice Exhibit F Form of Notice of Substitution or Repurchase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Schedule 1</w:t>
            </w:r>
          </w:p>
        </w:tc>
        <w:tc>
          <w:tcPr>
            <w:tcW w:w="101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Schedule of Collateral Obligations</w:t>
            </w: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2</w:t>
            </w:r>
          </w:p>
        </w:tc>
        <w:tc>
          <w:tcPr>
            <w:tcW w:w="101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Calculation of S&amp;P Equivalent Diversity Score</w:t>
            </w: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3</w:t>
            </w:r>
          </w:p>
        </w:tc>
        <w:tc>
          <w:tcPr>
            <w:tcW w:w="101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S&amp;P Industry Classifications</w:t>
            </w: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4</w:t>
            </w:r>
          </w:p>
        </w:tc>
        <w:tc>
          <w:tcPr>
            <w:tcW w:w="101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Moody's Rating Definitions</w:t>
            </w: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5</w:t>
            </w:r>
          </w:p>
        </w:tc>
        <w:tc>
          <w:tcPr>
            <w:tcW w:w="101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S&amp;P Recovery Rate Tables</w:t>
            </w: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6</w:t>
            </w:r>
          </w:p>
        </w:tc>
        <w:tc>
          <w:tcPr>
            <w:tcW w:w="101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[Reserved]</w:t>
            </w: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Schedule 7</w:t>
            </w:r>
          </w:p>
        </w:tc>
        <w:tc>
          <w:tcPr>
            <w:tcW w:w="101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S&amp;P CDO Monitor Formula Definitions</w:t>
            </w:r>
          </w:p>
        </w:tc>
      </w:tr>
      <w:tr>
        <w:trPr>
          <w:trHeight w:val="734"/>
        </w:trPr>
        <w:tc>
          <w:tcPr>
            <w:tcW w:w="1140" w:type="dxa"/>
            <w:vAlign w:val="bottom"/>
          </w:tcPr>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vii</w:t>
            </w:r>
            <w:r>
              <w:rPr>
                <w:rFonts w:ascii="MS PGothic" w:cs="MS PGothic" w:eastAsia="MS PGothic" w:hAnsi="MS PGothic"/>
                <w:sz w:val="22"/>
                <w:szCs w:val="22"/>
                <w:color w:val="auto"/>
              </w:rPr>
              <w:t>‑</w:t>
            </w:r>
          </w:p>
        </w:tc>
        <w:tc>
          <w:tcPr>
            <w:tcW w:w="10100" w:type="dxa"/>
            <w:vAlign w:val="bottom"/>
          </w:tcPr>
          <w:p>
            <w:pPr>
              <w:spacing w:after="0"/>
              <w:rPr>
                <w:sz w:val="24"/>
                <w:szCs w:val="24"/>
                <w:color w:val="auto"/>
              </w:rPr>
            </w:pPr>
          </w:p>
        </w:tc>
      </w:tr>
      <w:tr>
        <w:trPr>
          <w:trHeight w:val="881"/>
        </w:trPr>
        <w:tc>
          <w:tcPr>
            <w:tcW w:w="1140" w:type="dxa"/>
            <w:vAlign w:val="bottom"/>
            <w:tcBorders>
              <w:bottom w:val="single" w:sz="8" w:color="9A9A9A"/>
            </w:tcBorders>
          </w:tcPr>
          <w:p>
            <w:pPr>
              <w:spacing w:after="0"/>
              <w:rPr>
                <w:sz w:val="24"/>
                <w:szCs w:val="24"/>
                <w:color w:val="auto"/>
              </w:rPr>
            </w:pPr>
          </w:p>
        </w:tc>
        <w:tc>
          <w:tcPr>
            <w:tcW w:w="10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1"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INDENTURE AND SECURITY AGREEMENT</w:t>
      </w:r>
      <w:r>
        <w:rPr>
          <w:rFonts w:ascii="Times New Roman" w:cs="Times New Roman" w:eastAsia="Times New Roman" w:hAnsi="Times New Roman"/>
          <w:sz w:val="22"/>
          <w:szCs w:val="22"/>
          <w:color w:val="auto"/>
        </w:rPr>
        <w:t>, dated as of February 20, 2025, between PennantPark CLO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11, LLC, a limited liability company formed under the laws of the State of Delaware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and Western Alliance Trust Company, N.A. in its capacity as collateral trustee (herein, together with its permitted successors and assigns in the trusts hereunder, the "</w:t>
      </w:r>
      <w:r>
        <w:rPr>
          <w:rFonts w:ascii="Times New Roman" w:cs="Times New Roman" w:eastAsia="Times New Roman" w:hAnsi="Times New Roman"/>
          <w:sz w:val="22"/>
          <w:szCs w:val="22"/>
          <w:u w:val="single" w:color="auto"/>
          <w:color w:val="auto"/>
        </w:rPr>
        <w:t>Collateral Trustee</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PRELIMINARY STATEMENT</w:t>
      </w:r>
    </w:p>
    <w:p>
      <w:pPr>
        <w:spacing w:after="0" w:line="21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The Issuer is duly authorized to execute and deliver this Indenture to provide for the Notes issuable as provided herein and to incur the Class A-1L-A Loans pursuant to the Class A-1L-A Credit Agreement, dated as of the Closing Date, among the Issuer, as borrower, the Class A-1L-A Loan Agent, the Collateral Trustee and the lenders party thereto from time to time (the "</w:t>
      </w:r>
      <w:r>
        <w:rPr>
          <w:rFonts w:ascii="Times New Roman" w:cs="Times New Roman" w:eastAsia="Times New Roman" w:hAnsi="Times New Roman"/>
          <w:sz w:val="22"/>
          <w:szCs w:val="22"/>
          <w:u w:val="single" w:color="auto"/>
          <w:color w:val="auto"/>
        </w:rPr>
        <w:t>Class A-1L-A Credit Agreement</w:t>
      </w:r>
      <w:r>
        <w:rPr>
          <w:rFonts w:ascii="Times New Roman" w:cs="Times New Roman" w:eastAsia="Times New Roman" w:hAnsi="Times New Roman"/>
          <w:sz w:val="22"/>
          <w:szCs w:val="22"/>
          <w:color w:val="auto"/>
        </w:rPr>
        <w:t>") and the Class A-1L-B Loans pursuant to the Class A-1L-B Credit Agreement, dated as of the Closing Date, among the Issuer, as borrower, the Class A-1L-B Loan Agent, the Collateral Trustee and the lenders party thereto from time to time (the "</w:t>
      </w:r>
      <w:r>
        <w:rPr>
          <w:rFonts w:ascii="Times New Roman" w:cs="Times New Roman" w:eastAsia="Times New Roman" w:hAnsi="Times New Roman"/>
          <w:sz w:val="22"/>
          <w:szCs w:val="22"/>
          <w:u w:val="single" w:color="auto"/>
          <w:color w:val="auto"/>
        </w:rPr>
        <w:t>Class A-1L-B Credit Agreement</w:t>
      </w:r>
      <w:r>
        <w:rPr>
          <w:rFonts w:ascii="Times New Roman" w:cs="Times New Roman" w:eastAsia="Times New Roman" w:hAnsi="Times New Roman"/>
          <w:sz w:val="22"/>
          <w:szCs w:val="22"/>
          <w:color w:val="auto"/>
        </w:rPr>
        <w:t>"). Except as otherwise provided herein, all covenants and agreements made by the Issuer herein are for the benefit and security of the Secured Parties. The Issuer and the Collateral Trustee are entering into this Indenture and accepting the agreements established hereby, for good and valuable consideration, the receipt and sufficiency of which are hereby acknowledged.</w:t>
      </w:r>
    </w:p>
    <w:p>
      <w:pPr>
        <w:spacing w:after="0" w:line="18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All things necessary to make this Indenture a valid agreement of the Issuer in accordance with the agreement's terms have been done.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GRANTING CLAUSES</w:t>
      </w:r>
    </w:p>
    <w:p>
      <w:pPr>
        <w:spacing w:after="0" w:line="210" w:lineRule="exact"/>
        <w:rPr>
          <w:sz w:val="20"/>
          <w:szCs w:val="20"/>
          <w:color w:val="auto"/>
        </w:rPr>
      </w:pPr>
    </w:p>
    <w:p>
      <w:pPr>
        <w:jc w:val="both"/>
        <w:ind w:firstLine="1497"/>
        <w:spacing w:after="0" w:line="247" w:lineRule="exact"/>
        <w:rPr>
          <w:sz w:val="20"/>
          <w:szCs w:val="20"/>
          <w:color w:val="auto"/>
        </w:rPr>
      </w:pPr>
      <w:r>
        <w:rPr>
          <w:rFonts w:ascii="Times New Roman" w:cs="Times New Roman" w:eastAsia="Times New Roman" w:hAnsi="Times New Roman"/>
          <w:sz w:val="22"/>
          <w:szCs w:val="22"/>
          <w:color w:val="auto"/>
        </w:rPr>
        <w:t>The Issuer hereby Grants to the Collateral Trustee, for the benefit and security of the Holders of the Secured Debt, the Collateral Trustee, the Collateral Manager, the Loan Agent, the Posting Agent, the Transferor, the Collateral Administrator and the Custodian (collectively, the "</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xml:space="preserve">"), all of its right, title and interest in, to and under, in each case, whether now owned or existing, or hereafter acquired or arising, (a) the Collateral Obligations (listed, as of the Closing Date, in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to this Indenture) and all payments thereon or with respect thereto, (b) each of the Accounts, and any Eligible Investments on deposit in any of the Accounts, and all income from the investment of funds therein, (c) the Collateral Management Agreement as set forth in </w:t>
      </w:r>
      <w:r>
        <w:rPr>
          <w:rFonts w:ascii="Times New Roman" w:cs="Times New Roman" w:eastAsia="Times New Roman" w:hAnsi="Times New Roman"/>
          <w:sz w:val="22"/>
          <w:szCs w:val="22"/>
          <w:u w:val="single" w:color="auto"/>
          <w:color w:val="auto"/>
        </w:rPr>
        <w:t>Article XV</w:t>
      </w:r>
      <w:r>
        <w:rPr>
          <w:rFonts w:ascii="Times New Roman" w:cs="Times New Roman" w:eastAsia="Times New Roman" w:hAnsi="Times New Roman"/>
          <w:sz w:val="22"/>
          <w:szCs w:val="22"/>
          <w:color w:val="auto"/>
        </w:rPr>
        <w:t xml:space="preserve"> hereof, the Securities Account Control Agreement, the Collateral Administration Agreement, the Master Loan Sale Agreement and the Credit Agreements, (d) all Cash or Money owned by the Issuer, (e) any Equity Securities received by the Issuer, (f) all accounts, chattel paper, deposit accounts, financial assets, general intangibles, instruments, investment property, letter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credit rights, documents, goods and other supporting obligations relating to the foregoing (in each case as defined in the UCC), (g) any other property of the Issuer and (h) all proceeds with respect to the foregoing (the assets referred to in (a) through (h) are collectively referred to as the "</w:t>
      </w:r>
      <w:r>
        <w:rPr>
          <w:rFonts w:ascii="Times New Roman" w:cs="Times New Roman" w:eastAsia="Times New Roman" w:hAnsi="Times New Roman"/>
          <w:sz w:val="22"/>
          <w:szCs w:val="22"/>
          <w:u w:val="single" w:color="auto"/>
          <w:color w:val="auto"/>
        </w:rPr>
        <w:t>Assets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Grants shall not include Margin Stock. For the avoidance of doubt, Margin Stock shall not be included in the above grants, but shall be included in the term "Assets" for all other purposes under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5"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color w:val="auto"/>
        </w:rPr>
        <w:t xml:space="preserve">The above Grant is made in trust to secure the Secured Debt and certain other amounts payable by the Issuer as described herein. Except as set forth in the Priority of Payments and </w:t>
      </w:r>
      <w:r>
        <w:rPr>
          <w:rFonts w:ascii="Times New Roman" w:cs="Times New Roman" w:eastAsia="Times New Roman" w:hAnsi="Times New Roman"/>
          <w:sz w:val="21"/>
          <w:szCs w:val="21"/>
          <w:u w:val="single" w:color="auto"/>
          <w:color w:val="auto"/>
        </w:rPr>
        <w:t>Article XIII</w:t>
      </w:r>
      <w:r>
        <w:rPr>
          <w:rFonts w:ascii="Times New Roman" w:cs="Times New Roman" w:eastAsia="Times New Roman" w:hAnsi="Times New Roman"/>
          <w:sz w:val="21"/>
          <w:szCs w:val="21"/>
          <w:color w:val="auto"/>
        </w:rPr>
        <w:t xml:space="preserve"> of this Indenture, the Secured Debt is secured by the Grant equally and ratably without prejudice, priority or distinction between any Note, Class A-1L-A Loan or Class A-1L-B Loan on one hand and any other Note, Class A-1L-A Loan or Class A-1L-B Loan on the other by reason of difference in time of issuance or otherwise. The Grant is made to secure, in accordance with the priorities set forth in the Priority of Payments and </w:t>
      </w:r>
      <w:r>
        <w:rPr>
          <w:rFonts w:ascii="Times New Roman" w:cs="Times New Roman" w:eastAsia="Times New Roman" w:hAnsi="Times New Roman"/>
          <w:sz w:val="21"/>
          <w:szCs w:val="21"/>
          <w:u w:val="single" w:color="auto"/>
          <w:color w:val="auto"/>
        </w:rPr>
        <w:t>Article XIII</w:t>
      </w:r>
      <w:r>
        <w:rPr>
          <w:rFonts w:ascii="Times New Roman" w:cs="Times New Roman" w:eastAsia="Times New Roman" w:hAnsi="Times New Roman"/>
          <w:sz w:val="21"/>
          <w:szCs w:val="21"/>
          <w:color w:val="auto"/>
        </w:rPr>
        <w:t xml:space="preserve"> of this Indenture, (i) the payment of all amounts due on the Secured Debt in accordance with their respective terms,</w:t>
      </w:r>
    </w:p>
    <w:p>
      <w:pPr>
        <w:spacing w:after="0" w:line="3" w:lineRule="exact"/>
        <w:rPr>
          <w:sz w:val="20"/>
          <w:szCs w:val="20"/>
          <w:color w:val="auto"/>
        </w:rPr>
      </w:pPr>
    </w:p>
    <w:p>
      <w:pPr>
        <w:jc w:val="both"/>
        <w:ind w:firstLine="8"/>
        <w:spacing w:after="0" w:line="244" w:lineRule="auto"/>
        <w:tabs>
          <w:tab w:leader="none" w:pos="319"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 of all other sums (other than in respect of the Subordinated Notes) payable under this Indenture, (iii) the payment of amounts owing by the Issuer under the Collateral Management Agreement, the Collateral Administration Agreement, the Securities Account Control Agreement, the Master Loan Sale Agreement, the Credit Agreements and the Administration Agreement and (iv) compliance with the provisions of this Indenture, all as provided herein. The foregoing Grant shall, for the purpose of determining the property subject to the lien of the Collateral Trustee, be deemed to include any securities and any investments granted to the Collateral Trustee by or on behalf of the Issuer, whether or not such securities or investments satisfy the criteria set forth in the definitions of "Collateral Obligation" or "Eligible Investments," as the case may be.</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The Collateral Trustee acknowledges such Grant and agrees to perform the duties herein in accordance with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hereof.</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jc w:val="both"/>
        <w:ind w:firstLine="1497"/>
        <w:spacing w:after="0" w:line="246" w:lineRule="exact"/>
        <w:rPr>
          <w:sz w:val="20"/>
          <w:szCs w:val="20"/>
          <w:color w:val="auto"/>
        </w:rPr>
      </w:pPr>
      <w:r>
        <w:rPr>
          <w:rFonts w:ascii="Times New Roman" w:cs="Times New Roman" w:eastAsia="Times New Roman" w:hAnsi="Times New Roman"/>
          <w:sz w:val="22"/>
          <w:szCs w:val="22"/>
          <w:u w:val="single" w:color="auto"/>
          <w:color w:val="auto"/>
        </w:rPr>
        <w:t>Section 1.1 Definitions</w:t>
      </w:r>
      <w:r>
        <w:rPr>
          <w:rFonts w:ascii="Times New Roman" w:cs="Times New Roman" w:eastAsia="Times New Roman" w:hAnsi="Times New Roman"/>
          <w:sz w:val="22"/>
          <w:szCs w:val="22"/>
          <w:color w:val="auto"/>
        </w:rPr>
        <w:t xml:space="preserve"> . Except as otherwise specified herein or as the context may otherwise require, the following terms have the respective meanings set forth below for all purposes of this Indenture, and the definitions of such terms are equally applicable both to the singular and plural forms of such terms and to the masculine, feminine and neuter genders of such terms. The word "including" shall mean "including without limitation". All references herein to designated "Articles," "Sections," "subsections" and other subdivisions are to the designated articles, sections,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sections and other subdivisions of this Indenture. The words "herein," "hereof," "hereunder" and other words of similar import refer to this Indenture as a whole and not to any particular article, section, subsection or other subdivision. Any reference to "execute", "executed", "sign", "signed", "signature" or any other like term hereunder shall include execution by electronic signature (including, without limitation, any .pdf file, .jpeg file, or any other electronic or image file, or any "electronic signature" as defined under the U.S. Electronic Signatures in Global and National Commerce Act ("</w:t>
      </w:r>
      <w:r>
        <w:rPr>
          <w:rFonts w:ascii="Times New Roman" w:cs="Times New Roman" w:eastAsia="Times New Roman" w:hAnsi="Times New Roman"/>
          <w:sz w:val="22"/>
          <w:szCs w:val="22"/>
          <w:u w:val="single" w:color="auto"/>
          <w:color w:val="auto"/>
        </w:rPr>
        <w:t>E-SIGN</w:t>
      </w:r>
      <w:r>
        <w:rPr>
          <w:rFonts w:ascii="Times New Roman" w:cs="Times New Roman" w:eastAsia="Times New Roman" w:hAnsi="Times New Roman"/>
          <w:sz w:val="22"/>
          <w:szCs w:val="22"/>
          <w:color w:val="auto"/>
        </w:rPr>
        <w:t>") or the New York Electronic Signatures and Records Act ("</w:t>
      </w:r>
      <w:r>
        <w:rPr>
          <w:rFonts w:ascii="Times New Roman" w:cs="Times New Roman" w:eastAsia="Times New Roman" w:hAnsi="Times New Roman"/>
          <w:sz w:val="22"/>
          <w:szCs w:val="22"/>
          <w:u w:val="single" w:color="auto"/>
          <w:color w:val="auto"/>
        </w:rPr>
        <w:t>ESRA</w:t>
      </w:r>
      <w:r>
        <w:rPr>
          <w:rFonts w:ascii="Times New Roman" w:cs="Times New Roman" w:eastAsia="Times New Roman" w:hAnsi="Times New Roman"/>
          <w:sz w:val="22"/>
          <w:szCs w:val="22"/>
          <w:color w:val="auto"/>
        </w:rPr>
        <w:t>"), which includes any electronic signature provided using Orbit, Adobe Sign, Adobe Fill &amp; Sign, DocuSign, or any other similar platform identified by the Issuer and reasonably available at no undue burden or expense to the Collateral Trustee), except to the extent the Collateral Trustee requests otherwise. Any such electronic signatures shall be valid, effective and legally binding as if such electronic signatures were handwritten signatures and shall be deemed to have been duly and validly delivered for all purposes hereunder.</w:t>
      </w:r>
    </w:p>
    <w:p>
      <w:pPr>
        <w:spacing w:after="0" w:line="156"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17g</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5 Information</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14.17(a)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50" w:lineRule="exact"/>
        <w:rPr>
          <w:sz w:val="20"/>
          <w:szCs w:val="20"/>
          <w:color w:val="auto"/>
        </w:rPr>
      </w:pPr>
    </w:p>
    <w:p>
      <w:pPr>
        <w:jc w:val="both"/>
        <w:ind w:firstLine="1497"/>
        <w:spacing w:after="0" w:line="28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17g</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5 Website</w:t>
      </w:r>
      <w:r>
        <w:rPr>
          <w:rFonts w:ascii="Times New Roman" w:cs="Times New Roman" w:eastAsia="Times New Roman" w:hAnsi="Times New Roman"/>
          <w:sz w:val="22"/>
          <w:szCs w:val="22"/>
          <w:color w:val="auto"/>
        </w:rPr>
        <w:t>": A password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protected website which shall initially be located at https://17g5.com. Any change of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 shall only occur after notice has been delivered by the Issuer to the Information Agent, the Collateral Trustee, the Loan Agent, the Collateral Administrator, the Collateral Manager, the Placement Agent, and the Rating Agency setting the date of change and new location of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w:t>
      </w:r>
    </w:p>
    <w:p>
      <w:pPr>
        <w:spacing w:after="0" w:line="14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1940 Act</w:t>
      </w:r>
      <w:r>
        <w:rPr>
          <w:rFonts w:ascii="Times New Roman" w:cs="Times New Roman" w:eastAsia="Times New Roman" w:hAnsi="Times New Roman"/>
          <w:sz w:val="22"/>
          <w:szCs w:val="22"/>
          <w:color w:val="auto"/>
        </w:rPr>
        <w:t>": The United States Investment Company Act of 1940, as amended from time to time.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25% Limitation</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Accountants' Certificate</w:t>
      </w:r>
      <w:r>
        <w:rPr>
          <w:rFonts w:ascii="Times New Roman" w:cs="Times New Roman" w:eastAsia="Times New Roman" w:hAnsi="Times New Roman"/>
          <w:sz w:val="22"/>
          <w:szCs w:val="22"/>
          <w:color w:val="auto"/>
        </w:rPr>
        <w:t xml:space="preserve">": The meaning set forth in </w:t>
      </w:r>
      <w:r>
        <w:rPr>
          <w:rFonts w:ascii="Times New Roman" w:cs="Times New Roman" w:eastAsia="Times New Roman" w:hAnsi="Times New Roman"/>
          <w:sz w:val="22"/>
          <w:szCs w:val="22"/>
          <w:u w:val="single" w:color="auto"/>
          <w:color w:val="auto"/>
        </w:rPr>
        <w:t>Section 7.18(d)</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1497"/>
        <w:spacing w:after="0" w:line="272"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(i) The Payment Account, (ii) the Collection Account, (iii) the Ramp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Up Account, (iv) the Revolver Funding Account, (v) the Expense Reserve Account, (vi) the Interest Reserve Account, (vii) the Contribution Account and (viii) the Custodial Account.</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 Test</w:t>
      </w:r>
      <w:r>
        <w:rPr>
          <w:rFonts w:ascii="Times New Roman" w:cs="Times New Roman" w:eastAsia="Times New Roman" w:hAnsi="Times New Roman"/>
          <w:sz w:val="22"/>
          <w:szCs w:val="22"/>
          <w:color w:val="auto"/>
        </w:rPr>
        <w:t>": A test that is satisfied, as determined by the Collateral Manager, in connection with and at the time of the purchase by the Issuer of any Collateral Obligation that is not an Affiliate Originated Collateral Obligation, if, after taking into account any such proposed acquisition, the aggregate outstanding principal amount of Affiliate Originated Collateral Obligations then owned by the Issuer is more than fifty percent (50%) of the aggregate outstanding principal amount of all Collateral Obligations then owned by the Issuer.</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Act of Holders</w:t>
      </w:r>
      <w:r>
        <w:rPr>
          <w:rFonts w:ascii="Times New Roman" w:cs="Times New Roman" w:eastAsia="Times New Roman" w:hAnsi="Times New Roman"/>
          <w:sz w:val="22"/>
          <w:szCs w:val="22"/>
          <w:color w:val="auto"/>
        </w:rPr>
        <w:t xml:space="preserve">": The meanings specified in </w:t>
      </w:r>
      <w:r>
        <w:rPr>
          <w:rFonts w:ascii="Times New Roman" w:cs="Times New Roman" w:eastAsia="Times New Roman" w:hAnsi="Times New Roman"/>
          <w:sz w:val="22"/>
          <w:szCs w:val="22"/>
          <w:u w:val="single" w:color="auto"/>
          <w:color w:val="auto"/>
        </w:rPr>
        <w:t>Section 14.2(a)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Collateral Principal Amount</w:t>
      </w:r>
      <w:r>
        <w:rPr>
          <w:rFonts w:ascii="Times New Roman" w:cs="Times New Roman" w:eastAsia="Times New Roman" w:hAnsi="Times New Roman"/>
          <w:sz w:val="22"/>
          <w:szCs w:val="22"/>
          <w:color w:val="auto"/>
        </w:rPr>
        <w:t>": As of any date of determination, (a) the Aggregate Principal Balance of the Collateral Obligations (other than Defaulted Obligations,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Dated Obligations, Deferring Obligations and Discount Obligations),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without duplication, the amounts on deposit in the Collection Account and the Ramp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Up Account (including Eligible Investments therein) representing Principal Proceeds,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(c) the aggregate of the Defaulted Obligation Balances for each Defaulted Obligation,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(d) (1) for each Long-Dated Obligation with a stated maturity less than or equal to 12 months after the Stated Maturity of the Secured Debt, as follows: the lower of (i) its Market Value and (ii)(A) for each Long-Dated Obligation with a stated maturity less than or equal to six months after the Stated Maturity of the Secured Debt, 90% multiplied by its Principal Balance or (B) for each Long-Dated Obligation with a stated maturity greater than six months but less than or equal to 12 months after the Stated Maturity of the Secured Debt, 80% multiplied by its Principal Balance, (2) for each Long-Dated Obligation with a stated maturity greater than 12 months but less than or equal to 24 months after the Stated Maturity of the Secured Debt, 70% multiplied by its Principal Balance and (3) for each Long-Dated Obligation with a stated maturity greater than 24 months after the Stated Maturity of the Secured Debt, zero;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(e) for each Deferring Obligation, its S&amp;P Collateral Value;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(f) the aggregate of the purchase prices for each Discount Obligation, excluding accrued interest, expressed as a percentage of par and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the Principal Balance thereof, for such Discount Obligation,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(g) the Excess CCC Adjustment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Collateral Obligation that satisfies more than one of the definitions of Defaulted Obligation,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Dated Obligation, Deferring Obligation and Discount Obligation, or any asset that falls into</w:t>
      </w:r>
    </w:p>
    <w:p>
      <w:pPr>
        <w:spacing w:after="0" w:line="173"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Excess CCC Adjustment Amount, such Collateral Obligation shall, for the purposes of this definition, be treated as belonging to the category of Collateral Obligations to which it otherwise belongs and which results in the lowest Adjusted Collateral Principal Amount on any date of determination.</w:t>
      </w:r>
    </w:p>
    <w:p>
      <w:pPr>
        <w:spacing w:after="0" w:line="173" w:lineRule="exact"/>
        <w:rPr>
          <w:sz w:val="20"/>
          <w:szCs w:val="20"/>
          <w:color w:val="auto"/>
        </w:rPr>
      </w:pPr>
    </w:p>
    <w:p>
      <w:pPr>
        <w:jc w:val="both"/>
        <w:ind w:firstLine="1497"/>
        <w:spacing w:after="0" w:line="251"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Expense Cap</w:t>
      </w:r>
      <w:r>
        <w:rPr>
          <w:rFonts w:ascii="Times New Roman" w:cs="Times New Roman" w:eastAsia="Times New Roman" w:hAnsi="Times New Roman"/>
          <w:sz w:val="21"/>
          <w:szCs w:val="21"/>
          <w:color w:val="auto"/>
        </w:rPr>
        <w:t xml:space="preserve">": An amount equal on any Payment Date (when taken together with any Administrative Expenses paid during the period since the preceding Payment Date or in the case of the first Payment Date, the period since the Closing Date) to the sum of (a) 0.03%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(prorated for the related Interest Accrual Period on the basis of a 360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day year and the actual number of days elapsed) of the Fee Basis Amount on the related Determination Date and (b) U.S.$250,000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(prorated for the related Interest Accrual Period on the basis of a 360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day year consisting of twelve 30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day months);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(1) in respect of any Payment Date after the third Payment Date following the Closing Date, if the aggregate amount of Administrative Expenses paid pursuant to </w:t>
      </w:r>
      <w:r>
        <w:rPr>
          <w:rFonts w:ascii="Times New Roman" w:cs="Times New Roman" w:eastAsia="Times New Roman" w:hAnsi="Times New Roman"/>
          <w:sz w:val="21"/>
          <w:szCs w:val="21"/>
          <w:u w:val="single" w:color="auto"/>
          <w:color w:val="auto"/>
        </w:rPr>
        <w:t>Section 11.1(a)(i)(A)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11.1(a)(ii)(A)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11.1(a)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(iii)(A)</w:t>
      </w:r>
      <w:r>
        <w:rPr>
          <w:rFonts w:ascii="Times New Roman" w:cs="Times New Roman" w:eastAsia="Times New Roman" w:hAnsi="Times New Roman"/>
          <w:sz w:val="21"/>
          <w:szCs w:val="21"/>
          <w:color w:val="auto"/>
        </w:rPr>
        <w:t xml:space="preserve"> (including any excess applied in accordance with this proviso) on the three immediately preceding Payment Dates and during the related Collection Periods is less than the stated Administrative Expense Cap (without regard to any excess applied in accordance with this proviso) in the aggregate for such three preceding Payment Dates, then the excess may be applied to the Administrative Expense Cap with respect to the then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current Payment Date; and (2) in respect of the third Payment Date following the Closing Date, such excess amount shall be calculated based on the Payment Dates preceding such Payment Date.</w:t>
      </w:r>
    </w:p>
    <w:p>
      <w:pPr>
        <w:spacing w:after="0" w:line="180"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Expenses</w:t>
      </w:r>
      <w:r>
        <w:rPr>
          <w:rFonts w:ascii="Times New Roman" w:cs="Times New Roman" w:eastAsia="Times New Roman" w:hAnsi="Times New Roman"/>
          <w:sz w:val="21"/>
          <w:szCs w:val="21"/>
          <w:color w:val="auto"/>
        </w:rPr>
        <w:t xml:space="preserve">": The fees, expenses and indemnities and other amounts due or accrued with respect to any Payment Date (including, with respect to any Payment Date, any such amounts that were due and not paid on any prior Payment Date in accordance with the Priority of Payments) and payable in the following order by the Issuer: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on a pari passu basis (a), to the Collateral Trustee and the Loan Agent for their respective fees, expenses and indemnities in each of their capacities hereto and pursuant to </w:t>
      </w:r>
      <w:r>
        <w:rPr>
          <w:rFonts w:ascii="Times New Roman" w:cs="Times New Roman" w:eastAsia="Times New Roman" w:hAnsi="Times New Roman"/>
          <w:sz w:val="21"/>
          <w:szCs w:val="21"/>
          <w:u w:val="single" w:color="auto"/>
          <w:color w:val="auto"/>
        </w:rPr>
        <w:t>Section 6.7</w:t>
      </w:r>
      <w:r>
        <w:rPr>
          <w:rFonts w:ascii="Times New Roman" w:cs="Times New Roman" w:eastAsia="Times New Roman" w:hAnsi="Times New Roman"/>
          <w:sz w:val="21"/>
          <w:szCs w:val="21"/>
          <w:color w:val="auto"/>
        </w:rPr>
        <w:t xml:space="preserve"> and the other provisions of this Indenture and the other Transaction Documents (including the Credit Agreements), and (b), to the Collateral Administrator pursuant to the Collateral Administration Agreement and to the Bank in any of its other capacities under the Transaction Documents including as Posting Agent,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the following amounts (excluding indemnities) to the following parties: (i) the Independent Review Party, Independent accountants, agents (other than the Collateral Manager) and counsel of the Issuer for fees and expenses; (ii) the Rating Agencies for fees and expenses (including any annual fee, amendment fees and surveillance fees) in connection with any rating of the Secured Debt or in connection with the rating of (or provision of credit estimates in respect of) any Collateral Obligations; (iii) the Collateral Manager under this Indenture and the Collateral Management Agreement, including without limitation reasonable expenses of the Collateral Manager (including fees for its accountants, agents and counsel) incurred in connection with the purchase or sale of any Collateral Obligations, any other expenses incurred in connection with the Collateral Obligations and any other amounts payable pursuant to the Collateral Management Agreement but excluding the Aggregate Collateral Management Fee; (iv) the independent manager of the Issuer for fees and expenses; (v) any other Person in connection with satisfying the requirements of the Securitization Regulations; and (vi) any other Person in respect of any other fees or expenses permitted under this Indenture, the Credit Agreements, the Debt and the documents delivered pursuant to or in connection with this Indenture (including any expenses or costs related to the Issuer complying with the tax laws, the payment of facility rating fees, the</w:t>
      </w:r>
    </w:p>
    <w:p>
      <w:pPr>
        <w:spacing w:after="0" w:line="16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85" w:lineRule="exact"/>
        <w:rPr>
          <w:sz w:val="20"/>
          <w:szCs w:val="20"/>
          <w:color w:val="auto"/>
        </w:rPr>
      </w:pPr>
    </w:p>
    <w:p>
      <w:pPr>
        <w:jc w:val="both"/>
        <w:spacing w:after="0" w:line="248" w:lineRule="exact"/>
        <w:rPr>
          <w:sz w:val="20"/>
          <w:szCs w:val="20"/>
          <w:color w:val="auto"/>
        </w:rPr>
      </w:pPr>
      <w:r>
        <w:rPr>
          <w:rFonts w:ascii="Times New Roman" w:cs="Times New Roman" w:eastAsia="Times New Roman" w:hAnsi="Times New Roman"/>
          <w:sz w:val="22"/>
          <w:szCs w:val="22"/>
          <w:color w:val="auto"/>
        </w:rPr>
        <w:t>payment to any website providers and all legal and other fees and expenses incurred in connection with the purchase or sale of any Collateral Obligations and any other expenses incurred in connection with the Collateral Obligations) and the Debt, including but not limited to, any amounts due in respect of the listing of the Notes on any securities exchange or trading system, any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Pricing, redemption, Refinancing or additional issuance of Debt, and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indemnities payable to any Person pursuant to any Transaction Document not otherwise provided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amounts due in respect of actions taken on or before the Closing Date shall not be payable as Administrative Expenses but shall be payable only from the Expense Reserve Account pursuant to </w:t>
      </w:r>
      <w:r>
        <w:rPr>
          <w:rFonts w:ascii="Times New Roman" w:cs="Times New Roman" w:eastAsia="Times New Roman" w:hAnsi="Times New Roman"/>
          <w:sz w:val="22"/>
          <w:szCs w:val="22"/>
          <w:u w:val="single" w:color="auto"/>
          <w:color w:val="auto"/>
        </w:rPr>
        <w:t>Section 10.3(d)</w:t>
      </w:r>
      <w:r>
        <w:rPr>
          <w:rFonts w:ascii="Times New Roman" w:cs="Times New Roman" w:eastAsia="Times New Roman" w:hAnsi="Times New Roman"/>
          <w:sz w:val="22"/>
          <w:szCs w:val="22"/>
          <w:color w:val="auto"/>
        </w:rPr>
        <w:t xml:space="preserve"> and (y) for the avoidance of doubt, amounts that are expressly payable to any Person under the Priority of Payments in respect of an amount that is stated to be payable as an amount other than as Administrative Expenses (including, without limitation, interest and principal in respect of the Secured Debt and distributions on the Subordinated Notes) shall not constitute Administrative Expenses.</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Service Provider</w:t>
      </w:r>
      <w:r>
        <w:rPr>
          <w:rFonts w:ascii="Times New Roman" w:cs="Times New Roman" w:eastAsia="Times New Roman" w:hAnsi="Times New Roman"/>
          <w:sz w:val="22"/>
          <w:szCs w:val="22"/>
          <w:color w:val="auto"/>
        </w:rPr>
        <w:t>": PennantPark Investment Administration, LLC, a Delaware limited liability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Class</w:t>
      </w:r>
      <w:r>
        <w:rPr>
          <w:rFonts w:ascii="Times New Roman" w:cs="Times New Roman" w:eastAsia="Times New Roman" w:hAnsi="Times New Roman"/>
          <w:sz w:val="22"/>
          <w:szCs w:val="22"/>
          <w:color w:val="auto"/>
        </w:rPr>
        <w:t>": Any Class of Secured Debt that, as a result of the occurrence of a Tax Event, has not received 100% of the aggregate amount of principal and interest that would otherwise be due and payable to such Class on any Payment Date.</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With respect to a Person, (i) any other Person who, directly or indirectly, is in control of, or controlled by, or is under common control with, such Person or (ii) any other Person who is a director, Officer, employee or general partner (a) of such Person, (b) of any subsidiary or parent company of such Person or (c) of any Person described in clause (i) above. For the purposes of this definition, "control" of a Person shall mean the power, direct or indirect, (x) to vote more than 50% of the securities having ordinary voting power for the election of directors of such Persons or (y) to direct or cause the direction of the management and policies of such Person whether by contract or otherwise.</w:t>
      </w:r>
    </w:p>
    <w:p>
      <w:pPr>
        <w:spacing w:after="0" w:line="18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 Originated Collateral Obligation</w:t>
      </w:r>
      <w:r>
        <w:rPr>
          <w:rFonts w:ascii="Times New Roman" w:cs="Times New Roman" w:eastAsia="Times New Roman" w:hAnsi="Times New Roman"/>
          <w:sz w:val="22"/>
          <w:szCs w:val="22"/>
          <w:color w:val="auto"/>
        </w:rPr>
        <w:t>": Any Collateral Obligation with respect to which the Transferor, either itself or through related entities (including without limitation the Issuer), directly or indirectly, was involved in the original agreement which created such Collateral Obligation.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 Members</w:t>
      </w:r>
      <w:r>
        <w:rPr>
          <w:rFonts w:ascii="Times New Roman" w:cs="Times New Roman" w:eastAsia="Times New Roman" w:hAnsi="Times New Roman"/>
          <w:sz w:val="22"/>
          <w:szCs w:val="22"/>
          <w:color w:val="auto"/>
        </w:rPr>
        <w:t>": Members of, or participants in, DTC, Euroclear or Clearstream.</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Collateral Management Fee</w:t>
      </w:r>
      <w:r>
        <w:rPr>
          <w:rFonts w:ascii="Times New Roman" w:cs="Times New Roman" w:eastAsia="Times New Roman" w:hAnsi="Times New Roman"/>
          <w:sz w:val="22"/>
          <w:szCs w:val="22"/>
          <w:color w:val="auto"/>
        </w:rPr>
        <w:t>": All accrued and unpaid Collateral Management Fees, Current Deferred Management Fees and Cumulative Deferred Management Fees, excluding any Waived Collateral Management Fee.</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Coupon</w:t>
      </w:r>
      <w:r>
        <w:rPr>
          <w:rFonts w:ascii="Times New Roman" w:cs="Times New Roman" w:eastAsia="Times New Roman" w:hAnsi="Times New Roman"/>
          <w:sz w:val="22"/>
          <w:szCs w:val="22"/>
          <w:color w:val="auto"/>
        </w:rPr>
        <w:t>": As of any Measurement Date, the sum of the products obtained by multiplying, in the case of each Fixed Rate Obligation (including, for any Deferrable Obligation or Partial Deferrable Obligation, only the required current cash interest required by the Underlying Documents thereon and excluding the unfunded portion of any Delayed Drawdown Collateral Obligation and Revolving Collateral Obligation), (i) the stated coupon payable in cash on such Collateral Obligation expressed as a percentage and (ii) the Principal Balance of such</w:t>
      </w:r>
    </w:p>
    <w:p>
      <w:pPr>
        <w:spacing w:after="0" w:line="15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 xml:space="preserve">Collateral Obligation;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for purposes of this definition, the interest in respect of a fixed rate Step-Down Obligation shall be deemed to be the lowest possible coupon for the purposes of this definition.</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Funded Spread</w:t>
      </w:r>
      <w:r>
        <w:rPr>
          <w:rFonts w:ascii="Times New Roman" w:cs="Times New Roman" w:eastAsia="Times New Roman" w:hAnsi="Times New Roman"/>
          <w:sz w:val="22"/>
          <w:szCs w:val="22"/>
          <w:color w:val="auto"/>
        </w:rPr>
        <w:t>": As of any Measurement Date, the sum of:</w:t>
      </w:r>
    </w:p>
    <w:p>
      <w:pPr>
        <w:spacing w:after="0" w:line="206" w:lineRule="exact"/>
        <w:rPr>
          <w:sz w:val="20"/>
          <w:szCs w:val="20"/>
          <w:color w:val="auto"/>
        </w:rPr>
      </w:pPr>
    </w:p>
    <w:p>
      <w:pPr>
        <w:jc w:val="both"/>
        <w:ind w:left="760" w:firstLine="745"/>
        <w:spacing w:after="0" w:line="234" w:lineRule="auto"/>
        <w:tabs>
          <w:tab w:leader="none" w:pos="194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each Floating Rate Obligation (other than a Defaulted Obligation) that bears interest based on the Benchmark for the Floating Rate Debt (including, for any Deferrable Obligation or Partial Deferrable Obligation, only the excess of the required current cash pay interest required by the Underlying Documents thereon over the applicable index and excluding the unfunded portion of any Delayed Drawdown Collateral Obligation and Revolving Collateral Obligation), (i) the stated interest rate spread payable in Cash on such Collateral Obligation above such index </w:t>
      </w:r>
      <w:r>
        <w:rPr>
          <w:rFonts w:ascii="Times New Roman" w:cs="Times New Roman" w:eastAsia="Times New Roman" w:hAnsi="Times New Roman"/>
          <w:sz w:val="22"/>
          <w:szCs w:val="22"/>
          <w:i w:val="1"/>
          <w:iCs w:val="1"/>
          <w:color w:val="auto"/>
        </w:rPr>
        <w:t xml:space="preserve">multiplied by </w:t>
      </w:r>
      <w:r>
        <w:rPr>
          <w:rFonts w:ascii="Times New Roman" w:cs="Times New Roman" w:eastAsia="Times New Roman" w:hAnsi="Times New Roman"/>
          <w:sz w:val="22"/>
          <w:szCs w:val="22"/>
          <w:color w:val="auto"/>
        </w:rPr>
        <w:t>(ii) the outstanding Principal Balance of such Collateral Obligation;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with respect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Benchmark Floor Obligation, the stated interest rate spread payable in Cash on such Collateral Obligation over the applicable index shall be deemed to be equal to the sum of (x) the stated interest rate spread payable in Cash over the applicable index and (y) the excess, if any, of the specified "floor" rate relating to such Collateral Obligation over the applicable index; and</w:t>
      </w:r>
    </w:p>
    <w:p>
      <w:pPr>
        <w:spacing w:after="0" w:line="179"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each Floating Rate Obligation (other than a Defaulted Obligation) that bears interest at a spread over an index other than the Benchmark for the Floating Rate Debt (including, for any Deferrable Obligation or Partial Deferrable Obligation, only the required current cash pay interest required by the Underlying Documents thereon and excluding the unfunded portion of any Delayed Drawdown Collateral Obligation and Revolving Collateral Obligation), (i) the excess of the sum of such spread and such index payable in Cash over the Benchmark for the Secured Debt as of the immediately preceding Interest Determination Date (which spread or excess may be expressed as a negative percentage)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outstanding Principal Balance of each such Collateral Obligation;</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for purposes of this definition, the interest over the applicable index in respect of a floating rate Step-Down Obligation shall be deemed to be the lowest possible interest spread over such index under the Underlying Documents relating to such Step-Down Obligation.</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Outstanding Amount</w:t>
      </w:r>
      <w:r>
        <w:rPr>
          <w:rFonts w:ascii="Times New Roman" w:cs="Times New Roman" w:eastAsia="Times New Roman" w:hAnsi="Times New Roman"/>
          <w:sz w:val="22"/>
          <w:szCs w:val="22"/>
          <w:color w:val="auto"/>
        </w:rPr>
        <w:t>": (i) With respect to any of the Secured Debt as of any date, the aggregate unpaid principal amount of such Secured Debt Outstanding on such date and (ii) with respect to the Subordinated Notes, the Outstanding amount of such Subordinated Notes on such date.</w:t>
      </w:r>
    </w:p>
    <w:p>
      <w:pPr>
        <w:spacing w:after="0" w:line="17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Aggregate Principal Balance</w:t>
      </w:r>
      <w:r>
        <w:rPr>
          <w:rFonts w:ascii="Times New Roman" w:cs="Times New Roman" w:eastAsia="Times New Roman" w:hAnsi="Times New Roman"/>
          <w:sz w:val="22"/>
          <w:szCs w:val="22"/>
          <w:color w:val="auto"/>
        </w:rPr>
        <w:t>": When used with respect to all or a portion of the Collateral Obligations or the Assets, the sum of the Principal Balances of all or of such portion of the Collateral Obligations or Assets, respectively.</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Unfunded Spread</w:t>
      </w:r>
      <w:r>
        <w:rPr>
          <w:rFonts w:ascii="Times New Roman" w:cs="Times New Roman" w:eastAsia="Times New Roman" w:hAnsi="Times New Roman"/>
          <w:sz w:val="22"/>
          <w:szCs w:val="22"/>
          <w:color w:val="auto"/>
        </w:rPr>
        <w:t xml:space="preserve">": As of any Measurement Date, the sum of the products obtained by </w:t>
      </w:r>
      <w:r>
        <w:rPr>
          <w:rFonts w:ascii="Times New Roman" w:cs="Times New Roman" w:eastAsia="Times New Roman" w:hAnsi="Times New Roman"/>
          <w:sz w:val="22"/>
          <w:szCs w:val="22"/>
          <w:i w:val="1"/>
          <w:iCs w:val="1"/>
          <w:color w:val="auto"/>
        </w:rPr>
        <w:t>multiplying</w:t>
      </w:r>
    </w:p>
    <w:p>
      <w:pPr>
        <w:spacing w:after="0" w:line="18" w:lineRule="exact"/>
        <w:rPr>
          <w:sz w:val="20"/>
          <w:szCs w:val="20"/>
          <w:color w:val="auto"/>
        </w:rPr>
      </w:pPr>
    </w:p>
    <w:p>
      <w:pPr>
        <w:ind w:right="20" w:firstLine="8"/>
        <w:spacing w:after="0" w:line="237" w:lineRule="auto"/>
        <w:tabs>
          <w:tab w:leader="none" w:pos="27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Delayed Drawdown Collateral Obligation and Revolving Collateral Obligation (other than Defaulted Obligations), the related commitment fee</w:t>
      </w:r>
    </w:p>
    <w:p>
      <w:pPr>
        <w:spacing w:after="0" w:line="15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rate then in effect as of such date and (ii) the undrawn commitments of each such Delayed Drawdown Collateral Obligation and Revolving Collateral Obligation as of such date.</w:t>
      </w:r>
    </w:p>
    <w:p>
      <w:pPr>
        <w:spacing w:after="0" w:line="124" w:lineRule="exact"/>
        <w:rPr>
          <w:sz w:val="20"/>
          <w:szCs w:val="20"/>
          <w:color w:val="auto"/>
        </w:rPr>
      </w:pPr>
    </w:p>
    <w:p>
      <w:pPr>
        <w:jc w:val="both"/>
        <w:ind w:firstLine="1497"/>
        <w:spacing w:after="0" w:line="27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backed Commercial Paper</w:t>
      </w:r>
      <w:r>
        <w:rPr>
          <w:rFonts w:ascii="Times New Roman" w:cs="Times New Roman" w:eastAsia="Times New Roman" w:hAnsi="Times New Roman"/>
          <w:sz w:val="22"/>
          <w:szCs w:val="22"/>
          <w:color w:val="auto"/>
        </w:rPr>
        <w:t>": Commercial paper or other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obligations of a program that primarily issues externally rated commercial paper backed by assets or exposures held in a bankruptcy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remote, special purpose entity.</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Assets</w:t>
      </w:r>
      <w:r>
        <w:rPr>
          <w:rFonts w:ascii="Times New Roman" w:cs="Times New Roman" w:eastAsia="Times New Roman" w:hAnsi="Times New Roman"/>
          <w:sz w:val="22"/>
          <w:szCs w:val="22"/>
          <w:color w:val="auto"/>
        </w:rPr>
        <w:t>": The meaning specified in the Granting Clauses hereof.</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Assumed Reinvestment Rate</w:t>
      </w:r>
      <w:r>
        <w:rPr>
          <w:rFonts w:ascii="Times New Roman" w:cs="Times New Roman" w:eastAsia="Times New Roman" w:hAnsi="Times New Roman"/>
          <w:sz w:val="22"/>
          <w:szCs w:val="22"/>
          <w:color w:val="auto"/>
        </w:rPr>
        <w:t xml:space="preserve">": The Benchmark (as determined on the most recent Interest Determination Date relating to an Interest Accrual Period beginning on a Payment Date or the Closing Date)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0.25%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Assumed Reinvestment Rate shall not be less than 0.00%.</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Authenticating Agent</w:t>
      </w:r>
      <w:r>
        <w:rPr>
          <w:rFonts w:ascii="Times New Roman" w:cs="Times New Roman" w:eastAsia="Times New Roman" w:hAnsi="Times New Roman"/>
          <w:sz w:val="22"/>
          <w:szCs w:val="22"/>
          <w:color w:val="auto"/>
        </w:rPr>
        <w:t xml:space="preserve">": With respect to the Notes or a Class of the Notes, the Person designated by the Collateral Trustee to authenticate such Notes on behalf of the Collateral Trustee pursuant to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hereof.</w:t>
      </w:r>
    </w:p>
    <w:p>
      <w:pPr>
        <w:spacing w:after="0" w:line="158" w:lineRule="exact"/>
        <w:rPr>
          <w:sz w:val="20"/>
          <w:szCs w:val="20"/>
          <w:color w:val="auto"/>
        </w:rPr>
      </w:pPr>
    </w:p>
    <w:p>
      <w:pPr>
        <w:jc w:val="both"/>
        <w:ind w:firstLine="1497"/>
        <w:spacing w:after="0" w:line="26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Balance</w:t>
      </w:r>
      <w:r>
        <w:rPr>
          <w:rFonts w:ascii="Times New Roman" w:cs="Times New Roman" w:eastAsia="Times New Roman" w:hAnsi="Times New Roman"/>
          <w:sz w:val="22"/>
          <w:szCs w:val="22"/>
          <w:color w:val="auto"/>
        </w:rPr>
        <w:t>": On any date, with respect to Cash or Eligible Investments in any Account, the aggregate of the (i) current balance of Cash, demand deposits, time deposits, certificates of deposit and federal funds; (ii) principal amount of interest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bearing corporate and government securities, money market accounts and repurchase obligations; and (iii) purchase price (but not greater than the face amount) of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interest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bearing government and corporate securities and commercial paper.</w:t>
      </w:r>
    </w:p>
    <w:p>
      <w:pPr>
        <w:spacing w:after="0" w:line="14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w:t>
      </w:r>
      <w:r>
        <w:rPr>
          <w:rFonts w:ascii="Times New Roman" w:cs="Times New Roman" w:eastAsia="Times New Roman" w:hAnsi="Times New Roman"/>
          <w:sz w:val="22"/>
          <w:szCs w:val="22"/>
          <w:color w:val="auto"/>
        </w:rPr>
        <w:t>": Western Alliance Trust Company, N.A., in its individual capacity and not as Collateral Trustee, or any successor thereto.</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The United States federal Bankruptcy Code, Title 11 of the United States Code, as amended from time to time, and any successor statute or any other applicable federal or state bankruptcy law or similar law.</w:t>
      </w:r>
    </w:p>
    <w:p>
      <w:pPr>
        <w:spacing w:after="0" w:line="15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Exchange</w:t>
      </w:r>
      <w:r>
        <w:rPr>
          <w:rFonts w:ascii="Times New Roman" w:cs="Times New Roman" w:eastAsia="Times New Roman" w:hAnsi="Times New Roman"/>
          <w:sz w:val="22"/>
          <w:szCs w:val="22"/>
          <w:color w:val="auto"/>
        </w:rPr>
        <w:t>": The exchange of a Defaulted Obligation (without the payment of any additional funds other than reasonable and customary transfer costs) for another debt obligation issued by another Obligor which, but for the fact that such debt obligation is a Defaulted Obligation or a Credit Risk Obligation, would otherwise qualify as a Collateral Obligation and (i) in the Collateral Manager's reasonable business judgment, at the time of the exchange, such debt obligation received on exchange has a better likelihood of recovery than the Defaulted Obligation to be exchanged, (ii) as determined by the Collateral Manager, at the time of the exchange, the debt obligation received on exchange is not less senior in right of payment vis-à-vis such Obligor's other outstanding indebtedness than the Defaulted Obligation to be exchanged vis-à-vis its Obligor's other outstanding indebtedness, (iii) as determined by the Collateral Manager, both prior to and after giving effect to such exchange, each of the Coverage Tests is satisfied or, if any Coverage Test was not satisfied prior to such exchange, the coverage ratio relating to such test shall be at least as close to being satisfied after giving effect to such exchange as it was before giving effect to such exchange, (iv) as determined by the Collateral Manager, both prior to and after giving effect to such exchange, not more than 5.0% of the Collateral Principal Amount consists of obligations received in a Bankruptcy Exchange, (v) the period for which the</w:t>
      </w:r>
    </w:p>
    <w:p>
      <w:pPr>
        <w:spacing w:after="0" w:line="161"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Issuer held the Defaulted Obligation to be exchanged shall be included for all purposes in this Indenture when determining the period for which the Issuer holds the debt obligation received on exchange, (vi) the Bankruptcy Exchange Test is satisfied, (vii) the Aggregate Principal Balance of the obligations received in Bankruptcy Exchanges since the Closing Date is not more than 10.0% of the Target Initial Par Amount and (viii) if the debt obligation received on exchange is a Credit Risk Obligation, it has an S&amp;P Rating.</w:t>
      </w:r>
    </w:p>
    <w:p>
      <w:pPr>
        <w:spacing w:after="0" w:line="17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Exchange Test</w:t>
      </w:r>
      <w:r>
        <w:rPr>
          <w:rFonts w:ascii="Times New Roman" w:cs="Times New Roman" w:eastAsia="Times New Roman" w:hAnsi="Times New Roman"/>
          <w:sz w:val="22"/>
          <w:szCs w:val="22"/>
          <w:color w:val="auto"/>
        </w:rPr>
        <w:t xml:space="preserve">": A test that is satisfied if, in the Collateral Manager's reasonable business judgment, the projected internal rate of return of the obligation obtained as a result of a Bankruptcy Exchange is greater than the projected internal rate of return of the Defaulted Obligation exchanged in a Bankruptcy Exchange, calculated by the Collateral Manager by aggregating all Cash and the Market Value of any Collateral Obligation subject to a Bankruptcy Exchange at the time of each Bankruptcy Exchange;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calculation shall not be required for any Bankruptcy Exchange prior to and including the occurrence of the third Bankruptcy Exchange.</w:t>
      </w:r>
    </w:p>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Modifier</w:t>
      </w:r>
      <w:r>
        <w:rPr>
          <w:rFonts w:ascii="Times New Roman" w:cs="Times New Roman" w:eastAsia="Times New Roman" w:hAnsi="Times New Roman"/>
          <w:sz w:val="22"/>
          <w:szCs w:val="22"/>
          <w:color w:val="auto"/>
        </w:rPr>
        <w:t>": A modifier, determined by the Collateral Manager, applied to a reference or base rate in order to cause such rate to be comparable to the three-month Term SOFR Rate, which modifier is recognized or acknowledged as being the industry standard by the LSTA or the ARRC and which modifier may include an addition or subtraction to such unadjusted rate. For the avoidance of doubt, to the extent the Base Rate Modifier does not exist, it will be zero for purposes of this definition.</w:t>
      </w:r>
    </w:p>
    <w:p>
      <w:pPr>
        <w:spacing w:after="0" w:line="17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With respect to the Secured Debt, initially, the Term SOFR Rate;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Term SOFR Reference Rate component of the Term SOFR Rate or the then-current Benchmark is unavailable or no longer reported, as determined by the Collateral Manager on any date of determination, then upon written notice from the Collateral Manager to the Issuer, the Calculation Agent, the Collateral Administrator and the Collateral Trustee of such event and the designation of a Fallback Rate, then "Benchmark" means such Fallback Rate for all purposes relating to the Secured Debt in respect of such determination on such date and all determinations on all subsequent dates;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with respect to any Class of Secured Debt, the Benchmark will be no less than zero. With respect to any Collateral Obligation, when used in the context of such Collateral Obligation, "Benchmark" or "Benchmark-based index" means the London interbank offered rate, the forward-looking term rate based on SOFR or the applicable benchmark rate currently in effect for such floating rate Collateral Obligation and determined in accordance with the related Underlying Document.</w:t>
      </w:r>
    </w:p>
    <w:p>
      <w:pPr>
        <w:spacing w:after="0" w:line="18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Floor Obligation</w:t>
      </w:r>
      <w:r>
        <w:rPr>
          <w:rFonts w:ascii="Times New Roman" w:cs="Times New Roman" w:eastAsia="Times New Roman" w:hAnsi="Times New Roman"/>
          <w:sz w:val="22"/>
          <w:szCs w:val="22"/>
          <w:color w:val="auto"/>
        </w:rPr>
        <w:t>": As of any date, a Floating Rate Obligation (a) for which the related Underlying Documents allow an interest rate option based on the Benchmark, (b) that provides that such rate is (in effect) calculated as the greater of (i) a specified "floor" rate per annum and (ii) the Benchmark for the applicable interest period for such Collateral Obligation and (c) that, as of such date, bears interest based on the Benchmark, but only if as of such date the Benchmark for the applicable interest period is less than such floor rate.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14.2(e)</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85"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 Investor</w:t>
      </w:r>
      <w:r>
        <w:rPr>
          <w:rFonts w:ascii="Times New Roman" w:cs="Times New Roman" w:eastAsia="Times New Roman" w:hAnsi="Times New Roman"/>
          <w:sz w:val="22"/>
          <w:szCs w:val="22"/>
          <w:color w:val="auto"/>
        </w:rPr>
        <w:t>": Any of the following (i) a "benefit plan investor" as defined in the Plan Asset Regulation, which includes an employee benefit plan (as defined in Section 3(3) of ERISA) that is subject to the fiduciary responsibility provisions of Title I of ERISA, (ii) any plan to which Section 4975 of the Code applies or (iii) an entity whose underlying assets include "plan assets" by reason of such an employee benefit plan's or a plan's investment in such entity within the meaning of the Plan Asset Regulation.</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 Value</w:t>
      </w:r>
      <w:r>
        <w:rPr>
          <w:rFonts w:ascii="Times New Roman" w:cs="Times New Roman" w:eastAsia="Times New Roman" w:hAnsi="Times New Roman"/>
          <w:sz w:val="22"/>
          <w:szCs w:val="22"/>
          <w:color w:val="auto"/>
        </w:rPr>
        <w:t>": "Book value" within the meaning of Treasury Regulations section 1.704 1(b)(2)(iv), adjusted (to the extent permitted under Treasury Regulations section 1.704 1(b)(2)(iv)(f)) as necessary to reflect the relative economic interests of the beneficial owners of the Subordinated Notes (as determined for U.S. federal income tax purposes).</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Bridge Loan</w:t>
      </w:r>
      <w:r>
        <w:rPr>
          <w:rFonts w:ascii="Times New Roman" w:cs="Times New Roman" w:eastAsia="Times New Roman" w:hAnsi="Times New Roman"/>
          <w:sz w:val="22"/>
          <w:szCs w:val="22"/>
          <w:color w:val="auto"/>
        </w:rPr>
        <w:t>": Any secured loan that (x) is incurred in connection with a merger, acquisition, consolidation, or sale of all or substantially all of the assets of a Person or similar transaction and (y) by its terms, is required to be repaid within one year of the incurrence thereof with proceeds from additional borrowings or other refinancings (it being understood that any such loan or debt security that has a nominal maturity date of one year or less from the incurrence thereof but has a term-out or other provision whereby (automatically or at the sole option of the Obligor thereof) the maturity of the indebtedness thereunder may be extended to a later date is not a Bridge Loan).</w:t>
      </w:r>
    </w:p>
    <w:p>
      <w:pPr>
        <w:spacing w:after="0" w:line="181"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Any day other than (i) a Saturday or a Sunday or (ii) a day on which commercial banks are authorized or required by applicable law, regulation or executive order to close in New York, New York or in the city in which the Corporate Trust Office of the Collateral Trustee or the Loan Agent is located or, for any final payment of principal, in the relevant place of presentation.</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Calculation Agent</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7.16(a)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Such money (as defined in Section 1-201(b)(24) of the UCC) and funds denominated in currency of the United States of America as at the time shall be legal tender for payment of all public and private debts, including funds standing to the credit of an Account.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Contribution</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CCC Collateral Obligation</w:t>
      </w:r>
      <w:r>
        <w:rPr>
          <w:rFonts w:ascii="Times New Roman" w:cs="Times New Roman" w:eastAsia="Times New Roman" w:hAnsi="Times New Roman"/>
          <w:sz w:val="22"/>
          <w:szCs w:val="22"/>
          <w:color w:val="auto"/>
        </w:rPr>
        <w:t>": A Collateral Obligation (other than a Defaulted Obligation) with an S&amp;P Rating of "CCC+" or lower.</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CCC Excess</w:t>
      </w:r>
      <w:r>
        <w:rPr>
          <w:rFonts w:ascii="Times New Roman" w:cs="Times New Roman" w:eastAsia="Times New Roman" w:hAnsi="Times New Roman"/>
          <w:sz w:val="22"/>
          <w:szCs w:val="22"/>
          <w:color w:val="auto"/>
        </w:rPr>
        <w:t xml:space="preserve">": The amount equal to the excess of the Principal Balance of all CCC Collateral Obligations over an amount equal to 20.0% of the Collateral Principal Amount as of such date of determination;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determining which of the CCC Collateral Obligations shall be included in the CCC Excess, the CCC Collateral Obligations with the lowest Market Value (expressed as a percentage of the outstanding Principal Balance of such Collateral Obligations as of such date of determination) shall be deemed to constitute such CCC Excess.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Authentication</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Certificated Note</w:t>
      </w:r>
      <w:r>
        <w:rPr>
          <w:rFonts w:ascii="Times New Roman" w:cs="Times New Roman" w:eastAsia="Times New Roman" w:hAnsi="Times New Roman"/>
          <w:sz w:val="22"/>
          <w:szCs w:val="22"/>
          <w:color w:val="auto"/>
        </w:rPr>
        <w:t>": Each Certificated Secured Note and each Certificated Subordinated Note.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Certificated Secured Note</w:t>
      </w:r>
      <w:r>
        <w:rPr>
          <w:rFonts w:ascii="Times New Roman" w:cs="Times New Roman" w:eastAsia="Times New Roman" w:hAnsi="Times New Roman"/>
          <w:sz w:val="22"/>
          <w:szCs w:val="22"/>
          <w:color w:val="auto"/>
        </w:rPr>
        <w:t xml:space="preserve">": The meaning set forth in </w:t>
      </w:r>
      <w:r>
        <w:rPr>
          <w:rFonts w:ascii="Times New Roman" w:cs="Times New Roman" w:eastAsia="Times New Roman" w:hAnsi="Times New Roman"/>
          <w:sz w:val="22"/>
          <w:szCs w:val="22"/>
          <w:u w:val="single" w:color="auto"/>
          <w:color w:val="auto"/>
        </w:rPr>
        <w:t>Section 2.2(b)(iii)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Certificated Security</w:t>
      </w:r>
      <w:r>
        <w:rPr>
          <w:rFonts w:ascii="Times New Roman" w:cs="Times New Roman" w:eastAsia="Times New Roman" w:hAnsi="Times New Roman"/>
          <w:sz w:val="22"/>
          <w:szCs w:val="22"/>
          <w:color w:val="auto"/>
        </w:rPr>
        <w:t>": The meaning specified in Section 8-102(a)(4) of the UCC.</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Certificated Subordinated Note</w:t>
      </w:r>
      <w:r>
        <w:rPr>
          <w:rFonts w:ascii="Times New Roman" w:cs="Times New Roman" w:eastAsia="Times New Roman" w:hAnsi="Times New Roman"/>
          <w:sz w:val="22"/>
          <w:szCs w:val="22"/>
          <w:color w:val="auto"/>
        </w:rPr>
        <w:t xml:space="preserve">": The meaning set forth in </w:t>
      </w:r>
      <w:r>
        <w:rPr>
          <w:rFonts w:ascii="Times New Roman" w:cs="Times New Roman" w:eastAsia="Times New Roman" w:hAnsi="Times New Roman"/>
          <w:sz w:val="22"/>
          <w:szCs w:val="22"/>
          <w:u w:val="single" w:color="auto"/>
          <w:color w:val="auto"/>
        </w:rPr>
        <w:t>Section 2.2(b)(iii)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xml:space="preserve">": (a) In the case of the Secured Debt, all Secured Debt having the same Interest Rate, Stated Maturity and class designation;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Class A-1 Notes, the Class A-1L-A Loans and the Class A-1L-B Loans will be treated as a single Class of Secured Debt except as otherwise expressly described herein or as the context otherwise requires;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for purposes of calculating the Interest Coverage Ratio and the Overcollateralization Ratio, the Class A-1 Debt, the Class A-2 Notes and the Class B Notes will be treated as a single Class; and (b) in the case of the Subordinated Notes, all of the Subordinated Notes.</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A-1 Debt</w:t>
      </w:r>
      <w:r>
        <w:rPr>
          <w:rFonts w:ascii="Times New Roman" w:cs="Times New Roman" w:eastAsia="Times New Roman" w:hAnsi="Times New Roman"/>
          <w:sz w:val="22"/>
          <w:szCs w:val="22"/>
          <w:color w:val="auto"/>
        </w:rPr>
        <w:t>": Collectively, the Class A-1 Notes and the Class A-1 Loans.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A-1 Lender</w:t>
      </w:r>
      <w:r>
        <w:rPr>
          <w:rFonts w:ascii="Times New Roman" w:cs="Times New Roman" w:eastAsia="Times New Roman" w:hAnsi="Times New Roman"/>
          <w:sz w:val="22"/>
          <w:szCs w:val="22"/>
          <w:color w:val="auto"/>
        </w:rPr>
        <w:t>": Collectively, the Class A-1L-A Lenders and the Class A-1L-B Lenders.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A-1 Loans</w:t>
      </w:r>
      <w:r>
        <w:rPr>
          <w:rFonts w:ascii="Times New Roman" w:cs="Times New Roman" w:eastAsia="Times New Roman" w:hAnsi="Times New Roman"/>
          <w:sz w:val="22"/>
          <w:szCs w:val="22"/>
          <w:color w:val="auto"/>
        </w:rPr>
        <w:t>": Collectively, the Class A-1L-A Loans and the Class A-1L-B loans.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A-1L-A Credit Agreement</w:t>
      </w:r>
      <w:r>
        <w:rPr>
          <w:rFonts w:ascii="Times New Roman" w:cs="Times New Roman" w:eastAsia="Times New Roman" w:hAnsi="Times New Roman"/>
          <w:sz w:val="22"/>
          <w:szCs w:val="22"/>
          <w:color w:val="auto"/>
        </w:rPr>
        <w:t>": The meaning set forth in the Preliminary Statement.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A-1L-A Lender</w:t>
      </w:r>
      <w:r>
        <w:rPr>
          <w:rFonts w:ascii="Times New Roman" w:cs="Times New Roman" w:eastAsia="Times New Roman" w:hAnsi="Times New Roman"/>
          <w:sz w:val="22"/>
          <w:szCs w:val="22"/>
          <w:color w:val="auto"/>
        </w:rPr>
        <w:t>” Each lender party to the Class A-1L-A Credit Agreement.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A-1L-A Loan Agent</w:t>
      </w:r>
      <w:r>
        <w:rPr>
          <w:rFonts w:ascii="Times New Roman" w:cs="Times New Roman" w:eastAsia="Times New Roman" w:hAnsi="Times New Roman"/>
          <w:sz w:val="22"/>
          <w:szCs w:val="22"/>
          <w:color w:val="auto"/>
        </w:rPr>
        <w:t>” Western Alliance Trust Company, N.A., in its capacity as loan agent pursuant to the Class A-1L-A Credit Agreement, unless and until a successor Person shall have become the loan agent pursuant to the provisions thereof, and thereafter, the "Class A-1L-A Loan Agent" shall mean such successor person.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A-1L-A Loans</w:t>
      </w:r>
      <w:r>
        <w:rPr>
          <w:rFonts w:ascii="Times New Roman" w:cs="Times New Roman" w:eastAsia="Times New Roman" w:hAnsi="Times New Roman"/>
          <w:sz w:val="21"/>
          <w:szCs w:val="21"/>
          <w:color w:val="auto"/>
        </w:rPr>
        <w:t>” The Class A-1L-A Senior Secured Loans incurred pursuant to the Class A-1L-A Credit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A-1L-B Credit Agreement</w:t>
      </w:r>
      <w:r>
        <w:rPr>
          <w:rFonts w:ascii="Times New Roman" w:cs="Times New Roman" w:eastAsia="Times New Roman" w:hAnsi="Times New Roman"/>
          <w:sz w:val="22"/>
          <w:szCs w:val="22"/>
          <w:color w:val="auto"/>
        </w:rPr>
        <w:t>": The meaning set forth in the Preliminary Statement.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A-1L-B Lender</w:t>
      </w:r>
      <w:r>
        <w:rPr>
          <w:rFonts w:ascii="Times New Roman" w:cs="Times New Roman" w:eastAsia="Times New Roman" w:hAnsi="Times New Roman"/>
          <w:sz w:val="22"/>
          <w:szCs w:val="22"/>
          <w:color w:val="auto"/>
        </w:rPr>
        <w:t>” Each lender party to the Class A-1L-B Credit Agreement.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A-1L-B Loan Agent</w:t>
      </w:r>
      <w:r>
        <w:rPr>
          <w:rFonts w:ascii="Times New Roman" w:cs="Times New Roman" w:eastAsia="Times New Roman" w:hAnsi="Times New Roman"/>
          <w:sz w:val="22"/>
          <w:szCs w:val="22"/>
          <w:color w:val="auto"/>
        </w:rPr>
        <w:t>” Western Alliance Trust Company, N.A., in its capacity as loan agent pursuant to the Class A-1L-B Credit Agreement, unless and until a successor Person shall have become the loan agent pursuant to the provisions thereof, and thereafter, the "Class A-1L-B Loan Agent" shall mean such successor person.</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A-1L-B Loans</w:t>
      </w:r>
      <w:r>
        <w:rPr>
          <w:rFonts w:ascii="Times New Roman" w:cs="Times New Roman" w:eastAsia="Times New Roman" w:hAnsi="Times New Roman"/>
          <w:sz w:val="22"/>
          <w:szCs w:val="22"/>
          <w:color w:val="auto"/>
        </w:rPr>
        <w:t>” The Class A-1L-B Senior Secured Loans incurred pursuant to the Class A-1L-A Credit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A-1 Notes</w:t>
      </w:r>
      <w:r>
        <w:rPr>
          <w:rFonts w:ascii="Times New Roman" w:cs="Times New Roman" w:eastAsia="Times New Roman" w:hAnsi="Times New Roman"/>
          <w:sz w:val="22"/>
          <w:szCs w:val="22"/>
          <w:color w:val="auto"/>
        </w:rPr>
        <w:t xml:space="preserve">": The Class A-1 Senior Secured Floating Rate Notes issued pursuant to this Indenture and having the characteristics specified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A-2 Notes</w:t>
      </w:r>
      <w:r>
        <w:rPr>
          <w:rFonts w:ascii="Times New Roman" w:cs="Times New Roman" w:eastAsia="Times New Roman" w:hAnsi="Times New Roman"/>
          <w:sz w:val="22"/>
          <w:szCs w:val="22"/>
          <w:color w:val="auto"/>
        </w:rPr>
        <w:t xml:space="preserve">": The Class A-2 Senior Secured Floating Rate Notes issued pursuant to this Indenture and having the characteristics specified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 Coverage Tests</w:t>
      </w:r>
      <w:r>
        <w:rPr>
          <w:rFonts w:ascii="Times New Roman" w:cs="Times New Roman" w:eastAsia="Times New Roman" w:hAnsi="Times New Roman"/>
          <w:sz w:val="22"/>
          <w:szCs w:val="22"/>
          <w:color w:val="auto"/>
        </w:rPr>
        <w:t>": The Overcollateralization Ratio Test and the Interest Coverage Test, each as applied with respect to the Class A-1 Debt, the Class A-2 Notes and the Class B Notes.</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 Interest Coverage Test</w:t>
      </w:r>
      <w:r>
        <w:rPr>
          <w:rFonts w:ascii="Times New Roman" w:cs="Times New Roman" w:eastAsia="Times New Roman" w:hAnsi="Times New Roman"/>
          <w:sz w:val="22"/>
          <w:szCs w:val="22"/>
          <w:color w:val="auto"/>
        </w:rPr>
        <w:t>": The Interest Coverage Test, as applied with respect to the Class A-1 Debt, the Class A-2 Notes and the Class B Notes.</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 Overcollateralization Ratio Test</w:t>
      </w:r>
      <w:r>
        <w:rPr>
          <w:rFonts w:ascii="Times New Roman" w:cs="Times New Roman" w:eastAsia="Times New Roman" w:hAnsi="Times New Roman"/>
          <w:sz w:val="22"/>
          <w:szCs w:val="22"/>
          <w:color w:val="auto"/>
        </w:rPr>
        <w:t>": The Overcollateralization Ratio Test, as applied with respect to the Class A-1 Debt, the Class A-2 Notes and the Class B Notes.</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Class B Notes</w:t>
      </w:r>
      <w:r>
        <w:rPr>
          <w:rFonts w:ascii="Times New Roman" w:cs="Times New Roman" w:eastAsia="Times New Roman" w:hAnsi="Times New Roman"/>
          <w:sz w:val="22"/>
          <w:szCs w:val="22"/>
          <w:color w:val="auto"/>
        </w:rPr>
        <w:t xml:space="preserve">": The Class B Senior Secured Floating Rate Notes issued pursuant to this Indenture and having the characteristics specified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24" w:lineRule="exact"/>
        <w:rPr>
          <w:sz w:val="20"/>
          <w:szCs w:val="20"/>
          <w:color w:val="auto"/>
        </w:rPr>
      </w:pPr>
    </w:p>
    <w:p>
      <w:pPr>
        <w:jc w:val="both"/>
        <w:ind w:firstLine="1497"/>
        <w:spacing w:after="0" w:line="255"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Break</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even Default Rate</w:t>
      </w:r>
      <w:r>
        <w:rPr>
          <w:rFonts w:ascii="Times New Roman" w:cs="Times New Roman" w:eastAsia="Times New Roman" w:hAnsi="Times New Roman"/>
          <w:sz w:val="22"/>
          <w:szCs w:val="22"/>
          <w:color w:val="auto"/>
        </w:rPr>
        <w:t>": With respect to the most senior Class of Secured Debt then Outstanding (other than the Class A-1 Debt), the maximum percentage of defaults, at any time, that the Current Portfolio or the Proposed Portfolio, as applicable, can sustain, determined through application of the S&amp;P CDO Monitor, which, after giving effect to S&amp;P's assumptions on recoveries, defaults and timing and to the Priority of Payments, will result in sufficient funds remaining for the payment of such Class of Secured Debt in full. Prior to the S&amp;P CDO Monitor Switchover Date, S&amp;P will provide the Collateral Manager with the Class Break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even Default Rates for each S&amp;P CDO Monitor input file based upon the Weighted Average Floating Spread and the Weighted Average S&amp;P Recovery Rate to be associated with such S&amp;P CDO Monitor input file as selected by the Collateral Manager from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5</w:t>
      </w:r>
      <w:r>
        <w:rPr>
          <w:rFonts w:ascii="Times New Roman" w:cs="Times New Roman" w:eastAsia="Times New Roman" w:hAnsi="Times New Roman"/>
          <w:sz w:val="22"/>
          <w:szCs w:val="22"/>
          <w:color w:val="auto"/>
        </w:rPr>
        <w:t xml:space="preserve"> or any other Weighted Average Floating Spread and Weighted Average S&amp;P Recovery Rate selected by the Collateral Manager from time to time.</w:t>
      </w:r>
    </w:p>
    <w:p>
      <w:pPr>
        <w:spacing w:after="0" w:line="17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Coverage Tests</w:t>
      </w:r>
      <w:r>
        <w:rPr>
          <w:rFonts w:ascii="Times New Roman" w:cs="Times New Roman" w:eastAsia="Times New Roman" w:hAnsi="Times New Roman"/>
          <w:sz w:val="22"/>
          <w:szCs w:val="22"/>
          <w:color w:val="auto"/>
        </w:rPr>
        <w:t>": The Overcollateralization Ratio Test and the Interest Coverage Test, each as applied with respect to the Class C Notes.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Interest Coverage Test</w:t>
      </w:r>
      <w:r>
        <w:rPr>
          <w:rFonts w:ascii="Times New Roman" w:cs="Times New Roman" w:eastAsia="Times New Roman" w:hAnsi="Times New Roman"/>
          <w:sz w:val="22"/>
          <w:szCs w:val="22"/>
          <w:color w:val="auto"/>
        </w:rPr>
        <w:t>": The Interest Coverage Test, as applied with respect to the Class C Notes.</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Notes</w:t>
      </w:r>
      <w:r>
        <w:rPr>
          <w:rFonts w:ascii="Times New Roman" w:cs="Times New Roman" w:eastAsia="Times New Roman" w:hAnsi="Times New Roman"/>
          <w:sz w:val="22"/>
          <w:szCs w:val="22"/>
          <w:color w:val="auto"/>
        </w:rPr>
        <w:t xml:space="preserve">": The Class C Secured Deferrable Floating Rate Notes issued pursuant to this Indenture and having the characteristics specified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C Overcollateralization Ratio Test</w:t>
      </w:r>
      <w:r>
        <w:rPr>
          <w:rFonts w:ascii="Times New Roman" w:cs="Times New Roman" w:eastAsia="Times New Roman" w:hAnsi="Times New Roman"/>
          <w:sz w:val="21"/>
          <w:szCs w:val="21"/>
          <w:color w:val="auto"/>
        </w:rPr>
        <w:t>": The Overcollateralization Ratio Test, as applied with respect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C Notes.</w:t>
      </w:r>
    </w:p>
    <w:p>
      <w:pPr>
        <w:spacing w:after="0" w:line="161"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85"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Coverage Tests</w:t>
      </w:r>
      <w:r>
        <w:rPr>
          <w:rFonts w:ascii="Times New Roman" w:cs="Times New Roman" w:eastAsia="Times New Roman" w:hAnsi="Times New Roman"/>
          <w:sz w:val="22"/>
          <w:szCs w:val="22"/>
          <w:color w:val="auto"/>
        </w:rPr>
        <w:t>": The Overcollateralization Ratio Test and the Interest Coverage Test, each as applied with respect to the Class D Notes.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Interest Coverage Test</w:t>
      </w:r>
      <w:r>
        <w:rPr>
          <w:rFonts w:ascii="Times New Roman" w:cs="Times New Roman" w:eastAsia="Times New Roman" w:hAnsi="Times New Roman"/>
          <w:sz w:val="22"/>
          <w:szCs w:val="22"/>
          <w:color w:val="auto"/>
        </w:rPr>
        <w:t>": The Interest Coverage Test, as applied with respect to the Class D Notes.</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Notes</w:t>
      </w:r>
      <w:r>
        <w:rPr>
          <w:rFonts w:ascii="Times New Roman" w:cs="Times New Roman" w:eastAsia="Times New Roman" w:hAnsi="Times New Roman"/>
          <w:sz w:val="22"/>
          <w:szCs w:val="22"/>
          <w:color w:val="auto"/>
        </w:rPr>
        <w:t xml:space="preserve">": The Class D Secured Deferrable Floating Rate Notes issued pursuant to this Indenture and having the characteristics specified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D Overcollateralization Ratio Test</w:t>
      </w:r>
      <w:r>
        <w:rPr>
          <w:rFonts w:ascii="Times New Roman" w:cs="Times New Roman" w:eastAsia="Times New Roman" w:hAnsi="Times New Roman"/>
          <w:sz w:val="21"/>
          <w:szCs w:val="21"/>
          <w:color w:val="auto"/>
        </w:rPr>
        <w:t>": The Overcollateralization Ratio Test, as applied with respect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D Notes.</w:t>
      </w:r>
    </w:p>
    <w:p>
      <w:pPr>
        <w:spacing w:after="0" w:line="182" w:lineRule="exact"/>
        <w:rPr>
          <w:sz w:val="20"/>
          <w:szCs w:val="20"/>
          <w:color w:val="auto"/>
        </w:rPr>
      </w:pPr>
    </w:p>
    <w:p>
      <w:pPr>
        <w:jc w:val="both"/>
        <w:ind w:firstLine="1497"/>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Default Differential</w:t>
      </w:r>
      <w:r>
        <w:rPr>
          <w:rFonts w:ascii="Times New Roman" w:cs="Times New Roman" w:eastAsia="Times New Roman" w:hAnsi="Times New Roman"/>
          <w:sz w:val="22"/>
          <w:szCs w:val="22"/>
          <w:color w:val="auto"/>
        </w:rPr>
        <w:t>": With respect to the most senior Class of Secured Debt then Outstanding (other than the Class A-1 Debt), (i) prior to the S&amp;P CDO Monitor Switchover Date, the rate calculated by subtracting (x) the Class Scenario Default Rate at such time for such Class from (y) the Class Break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even Default Rate, and (ii) on and after the S&amp;P CDO Monitor Switchover Date, the rate calculated by subtracting (x) the S&amp;P CDO Monitor SDR at such time for such Class from (y) the S&amp;P CDO Monitor Adjusted BDR for such Class of Secured Debt.</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Scenario Default Rate</w:t>
      </w:r>
      <w:r>
        <w:rPr>
          <w:rFonts w:ascii="Times New Roman" w:cs="Times New Roman" w:eastAsia="Times New Roman" w:hAnsi="Times New Roman"/>
          <w:sz w:val="22"/>
          <w:szCs w:val="22"/>
          <w:color w:val="auto"/>
        </w:rPr>
        <w:t>": With respect to the most senior Class of Secured Debt then Outstanding (other than the Class A-1 Debt), an estimate of the cumulative default rate for the Current Portfolio or the Proposed Portfolio, as applicable, consistent with S&amp;P's Initial Rating of such Class, determined by the Collateral Manager (which determination shall be made solely by application of the S&amp;P CDO Monitor at such time).</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Clean-Up Call Redemption</w:t>
      </w:r>
      <w:r>
        <w:rPr>
          <w:rFonts w:ascii="Times New Roman" w:cs="Times New Roman" w:eastAsia="Times New Roman" w:hAnsi="Times New Roman"/>
          <w:sz w:val="22"/>
          <w:szCs w:val="22"/>
          <w:color w:val="auto"/>
        </w:rPr>
        <w:t xml:space="preserve">": A redemption of the Secured Debt in accordance with </w:t>
      </w:r>
      <w:r>
        <w:rPr>
          <w:rFonts w:ascii="Times New Roman" w:cs="Times New Roman" w:eastAsia="Times New Roman" w:hAnsi="Times New Roman"/>
          <w:sz w:val="22"/>
          <w:szCs w:val="22"/>
          <w:u w:val="single" w:color="auto"/>
          <w:color w:val="auto"/>
        </w:rPr>
        <w:t>Section 9.8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Clearing Agency</w:t>
      </w:r>
      <w:r>
        <w:rPr>
          <w:rFonts w:ascii="Times New Roman" w:cs="Times New Roman" w:eastAsia="Times New Roman" w:hAnsi="Times New Roman"/>
          <w:sz w:val="21"/>
          <w:szCs w:val="21"/>
          <w:color w:val="auto"/>
        </w:rPr>
        <w:t>": An organization registered as a "clearing agency" pursuant to Section 17A of the Exchange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w:t>
      </w:r>
    </w:p>
    <w:p>
      <w:pPr>
        <w:spacing w:after="0" w:line="182" w:lineRule="exact"/>
        <w:rPr>
          <w:sz w:val="20"/>
          <w:szCs w:val="20"/>
          <w:color w:val="auto"/>
        </w:rPr>
      </w:pPr>
    </w:p>
    <w:p>
      <w:pPr>
        <w:jc w:val="both"/>
        <w:ind w:right="20" w:firstLine="1497"/>
        <w:spacing w:after="0" w:line="285"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Clearing Corporation</w:t>
      </w:r>
      <w:r>
        <w:rPr>
          <w:rFonts w:ascii="Times New Roman" w:cs="Times New Roman" w:eastAsia="Times New Roman" w:hAnsi="Times New Roman"/>
          <w:sz w:val="22"/>
          <w:szCs w:val="22"/>
          <w:color w:val="auto"/>
        </w:rPr>
        <w:t>": (i) Clearstream, (ii) DTC, (iii) Euroclear and (iv) any entity included within the meaning of "clearing corporation" under Section 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102(a)(5) of the UCC.</w:t>
      </w:r>
    </w:p>
    <w:p>
      <w:pPr>
        <w:spacing w:after="0" w:line="14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Clearing Corporation Security</w:t>
      </w:r>
      <w:r>
        <w:rPr>
          <w:rFonts w:ascii="Times New Roman" w:cs="Times New Roman" w:eastAsia="Times New Roman" w:hAnsi="Times New Roman"/>
          <w:sz w:val="22"/>
          <w:szCs w:val="22"/>
          <w:color w:val="auto"/>
        </w:rPr>
        <w:t>": Securities which are in the custody of or maintained on the books of a Clearing Corporation or a nominee subject to the control of a Clearing Corporation and, if they are Certificated Securities in registered form, properly endorsed to or registered in the name of the Clearing Corporation or such nominee.</w:t>
      </w:r>
    </w:p>
    <w:p>
      <w:pPr>
        <w:spacing w:after="0" w:line="169"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Clearstream</w:t>
      </w:r>
      <w:r>
        <w:rPr>
          <w:rFonts w:ascii="Times New Roman" w:cs="Times New Roman" w:eastAsia="Times New Roman" w:hAnsi="Times New Roman"/>
          <w:sz w:val="22"/>
          <w:szCs w:val="22"/>
          <w:color w:val="auto"/>
        </w:rPr>
        <w:t xml:space="preserve">": Clearstream Banking, </w:t>
      </w:r>
      <w:r>
        <w:rPr>
          <w:rFonts w:ascii="Times New Roman" w:cs="Times New Roman" w:eastAsia="Times New Roman" w:hAnsi="Times New Roman"/>
          <w:sz w:val="22"/>
          <w:szCs w:val="22"/>
          <w:i w:val="1"/>
          <w:iCs w:val="1"/>
          <w:color w:val="auto"/>
        </w:rPr>
        <w:t>société anonyme</w:t>
      </w:r>
      <w:r>
        <w:rPr>
          <w:rFonts w:ascii="Times New Roman" w:cs="Times New Roman" w:eastAsia="Times New Roman" w:hAnsi="Times New Roman"/>
          <w:sz w:val="22"/>
          <w:szCs w:val="22"/>
          <w:color w:val="auto"/>
        </w:rPr>
        <w:t xml:space="preserve">, a corporation organized under the laws of the Duchy of Luxembourg (formerly known as Cedelbank, </w:t>
      </w:r>
      <w:r>
        <w:rPr>
          <w:rFonts w:ascii="Times New Roman" w:cs="Times New Roman" w:eastAsia="Times New Roman" w:hAnsi="Times New Roman"/>
          <w:sz w:val="22"/>
          <w:szCs w:val="22"/>
          <w:i w:val="1"/>
          <w:iCs w:val="1"/>
          <w:color w:val="auto"/>
        </w:rPr>
        <w:t>société anonyme</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February 20, 2025.</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Participation Interests</w:t>
      </w:r>
      <w:r>
        <w:rPr>
          <w:rFonts w:ascii="Times New Roman" w:cs="Times New Roman" w:eastAsia="Times New Roman" w:hAnsi="Times New Roman"/>
          <w:sz w:val="22"/>
          <w:szCs w:val="22"/>
          <w:color w:val="auto"/>
        </w:rPr>
        <w:t>": Any Participation Interest in an asset conveyed to the Issuer on the Closing Date pursuant to the Master Loan Sale Agreement until elevated by assignment, which may be settled directly into the Issuer pursuant to such applicable</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agreement. For the avoidance of doubt, the failure to elevate any Closing Date Participation Interest will not result or be deemed to result in a Default or Event of Default under this Indenture or any other Transaction Document.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The United States Internal Revenue Code of 1986, as amended.</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Administration Agreement</w:t>
      </w:r>
      <w:r>
        <w:rPr>
          <w:rFonts w:ascii="Times New Roman" w:cs="Times New Roman" w:eastAsia="Times New Roman" w:hAnsi="Times New Roman"/>
          <w:sz w:val="22"/>
          <w:szCs w:val="22"/>
          <w:color w:val="auto"/>
        </w:rPr>
        <w:t>": An agreement dated as of the Closing Date among the Issuer, the Collateral Manager and the Collateral Administrator, as amended from time to time in accordance with the terms thereof.</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Administrator</w:t>
      </w:r>
      <w:r>
        <w:rPr>
          <w:rFonts w:ascii="Times New Roman" w:cs="Times New Roman" w:eastAsia="Times New Roman" w:hAnsi="Times New Roman"/>
          <w:sz w:val="22"/>
          <w:szCs w:val="22"/>
          <w:color w:val="auto"/>
        </w:rPr>
        <w:t>": Western Alliance Trust Company, N.A., in its capacity as collateral administrator under the Collateral Administration Agreement, and any successor thereto.</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Interest Amount</w:t>
      </w:r>
      <w:r>
        <w:rPr>
          <w:rFonts w:ascii="Times New Roman" w:cs="Times New Roman" w:eastAsia="Times New Roman" w:hAnsi="Times New Roman"/>
          <w:sz w:val="22"/>
          <w:szCs w:val="22"/>
          <w:color w:val="auto"/>
        </w:rPr>
        <w:t>": As of any date of determination, without duplication, the aggregate amount of Interest Proceeds that has been received or that is expected to be received (other than Interest Proceeds expected to be received from Defaulted Obligations, but including Interest Proceeds actually received from Defaulted Obligations), in each case during the Collection Period in which such date of determination occurs (or after such Collection Period but on or prior to the related Payment Date if such Interest Proceeds would be treated as Interest Proceeds with respect to such Collection Period).</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Management Agreement</w:t>
      </w:r>
      <w:r>
        <w:rPr>
          <w:rFonts w:ascii="Times New Roman" w:cs="Times New Roman" w:eastAsia="Times New Roman" w:hAnsi="Times New Roman"/>
          <w:sz w:val="22"/>
          <w:szCs w:val="22"/>
          <w:color w:val="auto"/>
        </w:rPr>
        <w:t>": The agreement dated as of the Closing Date, between the Issuer and the Collateral Manager relating to the management of the Collateral Obligations and the other Assets by the Collateral Manager on behalf of the Issuer, as amended from time to time in accordance with the terms thereof.</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Management Fee</w:t>
      </w:r>
      <w:r>
        <w:rPr>
          <w:rFonts w:ascii="Times New Roman" w:cs="Times New Roman" w:eastAsia="Times New Roman" w:hAnsi="Times New Roman"/>
          <w:sz w:val="22"/>
          <w:szCs w:val="22"/>
          <w:color w:val="auto"/>
        </w:rPr>
        <w:t xml:space="preserve">": The fee payable to the Collateral Manger in arrears on each Payment Date (prorated for the related Interest Accrual Period) pursuant to Section 8(a) of the Collateral Management Agreement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w:t>
      </w:r>
      <w:r>
        <w:rPr>
          <w:rFonts w:ascii="Times New Roman" w:cs="Times New Roman" w:eastAsia="Times New Roman" w:hAnsi="Times New Roman"/>
          <w:sz w:val="22"/>
          <w:szCs w:val="22"/>
          <w:color w:val="auto"/>
        </w:rPr>
        <w:t xml:space="preserve"> of this Indenture, in an amount equal to 0.15%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(calculated on the basis of the actual number of days in the applicable Interest Accrual Period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360) of the Fee Basis Amount at the beginning of the Collection Period relating to such Payment Date.</w:t>
      </w:r>
    </w:p>
    <w:p>
      <w:pPr>
        <w:spacing w:after="0" w:line="17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Management Fee Shortfall Amount</w:t>
      </w:r>
      <w:r>
        <w:rPr>
          <w:rFonts w:ascii="Times New Roman" w:cs="Times New Roman" w:eastAsia="Times New Roman" w:hAnsi="Times New Roman"/>
          <w:sz w:val="22"/>
          <w:szCs w:val="22"/>
          <w:color w:val="auto"/>
        </w:rPr>
        <w:t>": To the extent all or a portion of the Collateral Management Fee is not paid on a Payment Date due to insufficient Interest Proceeds or Principal Proceeds (and such fee was not voluntarily deferred or waived by the Collateral Manager), the Collateral Management Fee due on such Payment Date (or the unpaid portion thereof, as applicable). Such amount is automatically deferred for payment on the succeeding Payment Dates, with interest at the rate specified in the Collateral Management Agreement, as certified to the Collateral Trustee (with a copy to the Collateral Administrator) by the Collateral Manager, in accordance with the Priority of Payments.</w:t>
      </w:r>
    </w:p>
    <w:p>
      <w:pPr>
        <w:spacing w:after="0" w:line="18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Collateral Manager</w:t>
      </w:r>
      <w:r>
        <w:rPr>
          <w:rFonts w:ascii="Times New Roman" w:cs="Times New Roman" w:eastAsia="Times New Roman" w:hAnsi="Times New Roman"/>
          <w:sz w:val="22"/>
          <w:szCs w:val="22"/>
          <w:color w:val="auto"/>
        </w:rPr>
        <w:t>": PennantPark Investment Advisers, LLC, a Delaware limited liability company, until such time, if any, as a successor Person shall have become the Collateral Manager pursuant to the provisions of the Collateral Management Agreement, and thereafter "Collateral Manager" shall mean such successor Person.</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85"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Manager Notes</w:t>
      </w:r>
      <w:r>
        <w:rPr>
          <w:rFonts w:ascii="Times New Roman" w:cs="Times New Roman" w:eastAsia="Times New Roman" w:hAnsi="Times New Roman"/>
          <w:sz w:val="22"/>
          <w:szCs w:val="22"/>
          <w:color w:val="auto"/>
        </w:rPr>
        <w:t>": Any Notes owned by the Collateral Manager, the Administrative Service Provider, an Affiliate thereof, or any account, fund, client or portfolio established and controlled by the Collateral Manager, the Administrative Service Provider or an Affiliate thereof or for which the Collateral Manager, the Administrative Service Provider or an Affiliate thereof acts as the investment adviser or with respect to which the Collateral Manager, the Administrative Service Provider or an Affiliate thereof exercises discretionary control thereover.</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Manager Standard</w:t>
      </w:r>
      <w:r>
        <w:rPr>
          <w:rFonts w:ascii="Times New Roman" w:cs="Times New Roman" w:eastAsia="Times New Roman" w:hAnsi="Times New Roman"/>
          <w:sz w:val="22"/>
          <w:szCs w:val="22"/>
          <w:color w:val="auto"/>
        </w:rPr>
        <w:t>": The meaning specified in the Collateral Management Agreement.</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Obligation</w:t>
      </w:r>
      <w:r>
        <w:rPr>
          <w:rFonts w:ascii="Times New Roman" w:cs="Times New Roman" w:eastAsia="Times New Roman" w:hAnsi="Times New Roman"/>
          <w:sz w:val="22"/>
          <w:szCs w:val="22"/>
          <w:color w:val="auto"/>
        </w:rPr>
        <w:t>": A debt obligation that is a Senior Secured Loan (including, but not limited to, interests in middle market loans acquired by way of a purchase or assignment), a Second Lien Loan, a Senior Secured Note or a DIP Collateral Obligation (or a Participation Interest in any of the foregoing), that as of the date the Issuer commits to acquire such Asset (or, in the case of a Collateral Restructured Asset, as of any date on or after the date of acquisition thereof):</w:t>
      </w:r>
    </w:p>
    <w:p>
      <w:pPr>
        <w:spacing w:after="0" w:line="180" w:lineRule="exact"/>
        <w:rPr>
          <w:sz w:val="20"/>
          <w:szCs w:val="20"/>
          <w:color w:val="auto"/>
        </w:rPr>
      </w:pPr>
    </w:p>
    <w:p>
      <w:pPr>
        <w:ind w:left="1500" w:right="20" w:firstLine="1024"/>
        <w:spacing w:after="0" w:line="258" w:lineRule="auto"/>
        <w:tabs>
          <w:tab w:leader="none" w:pos="29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U.S. Dollar denominated and is neither convertible by the Obligor thereof into, nor payable in, any other currency;</w:t>
      </w:r>
    </w:p>
    <w:p>
      <w:pPr>
        <w:spacing w:after="0" w:line="158" w:lineRule="exact"/>
        <w:rPr>
          <w:rFonts w:ascii="Times New Roman" w:cs="Times New Roman" w:eastAsia="Times New Roman" w:hAnsi="Times New Roman"/>
          <w:sz w:val="22"/>
          <w:szCs w:val="22"/>
          <w:color w:val="auto"/>
        </w:rPr>
      </w:pPr>
    </w:p>
    <w:p>
      <w:pPr>
        <w:ind w:left="1500" w:right="20" w:firstLine="1024"/>
        <w:spacing w:after="0" w:line="258" w:lineRule="auto"/>
        <w:tabs>
          <w:tab w:leader="none" w:pos="29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 a Defaulted Obligation (unless such obligation is being acquired in connection with a Bankruptcy Exchange or is a Collateral Restructured Asset) or (B) a Credit Risk Obligation;</w:t>
      </w:r>
    </w:p>
    <w:p>
      <w:pPr>
        <w:spacing w:after="0" w:line="158" w:lineRule="exact"/>
        <w:rPr>
          <w:rFonts w:ascii="Times New Roman" w:cs="Times New Roman" w:eastAsia="Times New Roman" w:hAnsi="Times New Roman"/>
          <w:sz w:val="22"/>
          <w:szCs w:val="22"/>
          <w:color w:val="auto"/>
        </w:rPr>
      </w:pPr>
    </w:p>
    <w:p>
      <w:pPr>
        <w:ind w:left="2960" w:hanging="436"/>
        <w:spacing w:after="0"/>
        <w:tabs>
          <w:tab w:leader="none" w:pos="2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 lease;</w:t>
      </w:r>
    </w:p>
    <w:p>
      <w:pPr>
        <w:spacing w:after="0" w:line="206" w:lineRule="exact"/>
        <w:rPr>
          <w:rFonts w:ascii="Times New Roman" w:cs="Times New Roman" w:eastAsia="Times New Roman" w:hAnsi="Times New Roman"/>
          <w:sz w:val="22"/>
          <w:szCs w:val="22"/>
          <w:color w:val="auto"/>
        </w:rPr>
      </w:pPr>
    </w:p>
    <w:p>
      <w:pPr>
        <w:jc w:val="both"/>
        <w:ind w:left="1500" w:firstLine="1024"/>
        <w:spacing w:after="0" w:line="239" w:lineRule="auto"/>
        <w:tabs>
          <w:tab w:leader="none" w:pos="29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it is (A) a Deferrable Obligation, it is not deferring payment of any accrued and unpaid interest which would have otherwise been due and continues to remain unpaid or (B) a Partial Deferrable Obligation, it is not in default with respect to the portion of the interest due thereon to be paid in cash on each payment date with respect thereto;</w:t>
      </w:r>
    </w:p>
    <w:p>
      <w:pPr>
        <w:spacing w:after="0" w:line="180" w:lineRule="exact"/>
        <w:rPr>
          <w:rFonts w:ascii="Times New Roman" w:cs="Times New Roman" w:eastAsia="Times New Roman" w:hAnsi="Times New Roman"/>
          <w:sz w:val="22"/>
          <w:szCs w:val="22"/>
          <w:color w:val="auto"/>
        </w:rPr>
      </w:pPr>
    </w:p>
    <w:p>
      <w:pPr>
        <w:ind w:left="1500" w:firstLine="1024"/>
        <w:spacing w:after="0" w:line="258" w:lineRule="auto"/>
        <w:tabs>
          <w:tab w:leader="none" w:pos="29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for a fixed amount of principal payable in Cash on scheduled payment dates and/or at maturity and does not by its terms provide for earlier amortization or prepayment at a price of less than par;</w:t>
      </w:r>
    </w:p>
    <w:p>
      <w:pPr>
        <w:spacing w:after="0" w:line="158" w:lineRule="exact"/>
        <w:rPr>
          <w:rFonts w:ascii="Times New Roman" w:cs="Times New Roman" w:eastAsia="Times New Roman" w:hAnsi="Times New Roman"/>
          <w:sz w:val="22"/>
          <w:szCs w:val="22"/>
          <w:color w:val="auto"/>
        </w:rPr>
      </w:pPr>
    </w:p>
    <w:p>
      <w:pPr>
        <w:ind w:left="2960" w:hanging="436"/>
        <w:spacing w:after="0"/>
        <w:tabs>
          <w:tab w:leader="none" w:pos="2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constitute Margin Stock;</w:t>
      </w:r>
    </w:p>
    <w:p>
      <w:pPr>
        <w:spacing w:after="0" w:line="206" w:lineRule="exact"/>
        <w:rPr>
          <w:rFonts w:ascii="Times New Roman" w:cs="Times New Roman" w:eastAsia="Times New Roman" w:hAnsi="Times New Roman"/>
          <w:sz w:val="22"/>
          <w:szCs w:val="22"/>
          <w:color w:val="auto"/>
        </w:rPr>
      </w:pPr>
    </w:p>
    <w:p>
      <w:pPr>
        <w:jc w:val="both"/>
        <w:ind w:left="1500" w:firstLine="1024"/>
        <w:spacing w:after="0" w:line="239" w:lineRule="auto"/>
        <w:tabs>
          <w:tab w:leader="none" w:pos="29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for payments that do not, at the time the obligation was acquired, subject the Issuer to withholding tax unless the related Obligor is required to make additional payments so that the net amount received by the Issuer after satisfaction of such tax is the amount due to the Issuer before the imposition of any withholding tax;</w:t>
      </w:r>
    </w:p>
    <w:p>
      <w:pPr>
        <w:spacing w:after="0" w:line="180" w:lineRule="exact"/>
        <w:rPr>
          <w:rFonts w:ascii="Times New Roman" w:cs="Times New Roman" w:eastAsia="Times New Roman" w:hAnsi="Times New Roman"/>
          <w:sz w:val="22"/>
          <w:szCs w:val="22"/>
          <w:color w:val="auto"/>
        </w:rPr>
      </w:pPr>
    </w:p>
    <w:p>
      <w:pPr>
        <w:ind w:left="3380" w:hanging="856"/>
        <w:spacing w:after="0"/>
        <w:tabs>
          <w:tab w:leader="none" w:pos="3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an S&amp;P Rating (unless such obligation is a Collateral Restructured Asset);</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50" w:lineRule="exact"/>
        <w:rPr>
          <w:sz w:val="20"/>
          <w:szCs w:val="20"/>
          <w:color w:val="auto"/>
        </w:rPr>
      </w:pPr>
    </w:p>
    <w:p>
      <w:pPr>
        <w:ind w:left="1500" w:right="40" w:firstLine="1024"/>
        <w:spacing w:after="0" w:line="287" w:lineRule="exact"/>
        <w:tabs>
          <w:tab w:leader="none" w:pos="295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 debt obligation whose repayment is subject to substantial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credit related risk as determined by the Collateral Manager;</w:t>
      </w:r>
    </w:p>
    <w:p>
      <w:pPr>
        <w:spacing w:after="0" w:line="176" w:lineRule="exact"/>
        <w:rPr>
          <w:rFonts w:ascii="Times New Roman" w:cs="Times New Roman" w:eastAsia="Times New Roman" w:hAnsi="Times New Roman"/>
          <w:sz w:val="22"/>
          <w:szCs w:val="22"/>
          <w:color w:val="auto"/>
        </w:rPr>
      </w:pPr>
    </w:p>
    <w:p>
      <w:pPr>
        <w:jc w:val="both"/>
        <w:ind w:left="1500" w:firstLine="1024"/>
        <w:spacing w:after="0" w:line="251" w:lineRule="auto"/>
        <w:tabs>
          <w:tab w:leader="none" w:pos="295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for Delayed Drawdown Collateral Obligations and Revolving Collateral Obligations, is not an obligation pursuant to which any future advances or payments to the borrower or the Obligor thereof may be required to be made by the Issuer;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Issuer may be required, as a lender under the Underlying Document, to make customary protective advances or provide customary indemnities to the agent of the Collateral Obligation (for which the Issuer may receive a participation interest or other right of payment);</w:t>
      </w:r>
    </w:p>
    <w:p>
      <w:pPr>
        <w:spacing w:after="0" w:line="168" w:lineRule="exact"/>
        <w:rPr>
          <w:rFonts w:ascii="Times New Roman" w:cs="Times New Roman" w:eastAsia="Times New Roman" w:hAnsi="Times New Roman"/>
          <w:sz w:val="21"/>
          <w:szCs w:val="21"/>
          <w:color w:val="auto"/>
        </w:rPr>
      </w:pPr>
    </w:p>
    <w:p>
      <w:pPr>
        <w:ind w:left="1500" w:right="40" w:firstLine="1024"/>
        <w:spacing w:after="0" w:line="258" w:lineRule="auto"/>
        <w:tabs>
          <w:tab w:leader="none" w:pos="295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have an "f," "p," "sf" or "t" subscript assigned to the rating by S&amp;P, or an "sf" subscript assigned to the rating by Moody's;</w:t>
      </w:r>
    </w:p>
    <w:p>
      <w:pPr>
        <w:spacing w:after="0" w:line="158" w:lineRule="exact"/>
        <w:rPr>
          <w:rFonts w:ascii="Times New Roman" w:cs="Times New Roman" w:eastAsia="Times New Roman" w:hAnsi="Times New Roman"/>
          <w:sz w:val="22"/>
          <w:szCs w:val="22"/>
          <w:color w:val="auto"/>
        </w:rPr>
      </w:pPr>
    </w:p>
    <w:p>
      <w:pPr>
        <w:ind w:left="1500" w:right="20" w:firstLine="1024"/>
        <w:spacing w:after="0" w:line="258" w:lineRule="auto"/>
        <w:tabs>
          <w:tab w:leader="none" w:pos="295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 commodity forward contract, a bond, a Structured Finance Obligation or a note or any debt obligation that is not a loan (unless it is a Senior Secured Note);</w:t>
      </w:r>
    </w:p>
    <w:p>
      <w:pPr>
        <w:spacing w:after="0" w:line="158" w:lineRule="exact"/>
        <w:rPr>
          <w:rFonts w:ascii="Times New Roman" w:cs="Times New Roman" w:eastAsia="Times New Roman" w:hAnsi="Times New Roman"/>
          <w:sz w:val="22"/>
          <w:szCs w:val="22"/>
          <w:color w:val="auto"/>
        </w:rPr>
      </w:pPr>
    </w:p>
    <w:p>
      <w:pPr>
        <w:ind w:left="3380" w:hanging="856"/>
        <w:spacing w:after="0"/>
        <w:tabs>
          <w:tab w:leader="none" w:pos="338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 not require the Issuer or the pool of Assets to be registered as an investment company</w:t>
      </w:r>
    </w:p>
    <w:p>
      <w:pPr>
        <w:spacing w:after="0" w:line="25" w:lineRule="exact"/>
        <w:rPr>
          <w:rFonts w:ascii="Times New Roman" w:cs="Times New Roman" w:eastAsia="Times New Roman" w:hAnsi="Times New Roman"/>
          <w:sz w:val="21"/>
          <w:szCs w:val="21"/>
          <w:color w:val="auto"/>
        </w:rPr>
      </w:pPr>
    </w:p>
    <w:p>
      <w:pPr>
        <w:ind w:left="1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under the 1940 Act;</w:t>
      </w:r>
    </w:p>
    <w:p>
      <w:pPr>
        <w:spacing w:after="0" w:line="182" w:lineRule="exact"/>
        <w:rPr>
          <w:rFonts w:ascii="Times New Roman" w:cs="Times New Roman" w:eastAsia="Times New Roman" w:hAnsi="Times New Roman"/>
          <w:sz w:val="21"/>
          <w:szCs w:val="21"/>
          <w:color w:val="auto"/>
        </w:rPr>
      </w:pPr>
    </w:p>
    <w:p>
      <w:pPr>
        <w:ind w:left="1500" w:right="40" w:firstLine="1024"/>
        <w:spacing w:after="0" w:line="258" w:lineRule="auto"/>
        <w:tabs>
          <w:tab w:leader="none" w:pos="338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an Equity Security or by its terms convertible into or exchangeable for an Equity Security and does not have Equity Securities attached thereto as part of a unit;</w:t>
      </w:r>
    </w:p>
    <w:p>
      <w:pPr>
        <w:spacing w:after="0" w:line="158" w:lineRule="exact"/>
        <w:rPr>
          <w:rFonts w:ascii="Times New Roman" w:cs="Times New Roman" w:eastAsia="Times New Roman" w:hAnsi="Times New Roman"/>
          <w:sz w:val="22"/>
          <w:szCs w:val="22"/>
          <w:color w:val="auto"/>
        </w:rPr>
      </w:pPr>
    </w:p>
    <w:p>
      <w:pPr>
        <w:ind w:left="1500" w:right="20" w:firstLine="1024"/>
        <w:spacing w:after="0" w:line="258" w:lineRule="auto"/>
        <w:tabs>
          <w:tab w:leader="none" w:pos="295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the subject of an Offer of exchange, or tender by its Obligor, for cash, securities or any other type of consideration other than a Permitted Offer;</w:t>
      </w:r>
    </w:p>
    <w:p>
      <w:pPr>
        <w:spacing w:after="0" w:line="158" w:lineRule="exact"/>
        <w:rPr>
          <w:rFonts w:ascii="Times New Roman" w:cs="Times New Roman" w:eastAsia="Times New Roman" w:hAnsi="Times New Roman"/>
          <w:sz w:val="22"/>
          <w:szCs w:val="22"/>
          <w:color w:val="auto"/>
        </w:rPr>
      </w:pPr>
    </w:p>
    <w:p>
      <w:pPr>
        <w:ind w:left="1500" w:right="20" w:firstLine="1024"/>
        <w:spacing w:after="0" w:line="258" w:lineRule="auto"/>
        <w:tabs>
          <w:tab w:leader="none" w:pos="338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mature after the earliest Stated Maturity of any Outstanding Secured Debt (unless such obligation is a Collateral Restructured Asset);</w:t>
      </w:r>
    </w:p>
    <w:p>
      <w:pPr>
        <w:spacing w:after="0" w:line="158" w:lineRule="exact"/>
        <w:rPr>
          <w:rFonts w:ascii="Times New Roman" w:cs="Times New Roman" w:eastAsia="Times New Roman" w:hAnsi="Times New Roman"/>
          <w:sz w:val="22"/>
          <w:szCs w:val="22"/>
          <w:color w:val="auto"/>
        </w:rPr>
      </w:pPr>
    </w:p>
    <w:p>
      <w:pPr>
        <w:ind w:left="3380" w:hanging="856"/>
        <w:spacing w:after="0"/>
        <w:tabs>
          <w:tab w:leader="none" w:pos="3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Registered;</w:t>
      </w:r>
    </w:p>
    <w:p>
      <w:pPr>
        <w:spacing w:after="0" w:line="206" w:lineRule="exact"/>
        <w:rPr>
          <w:rFonts w:ascii="Times New Roman" w:cs="Times New Roman" w:eastAsia="Times New Roman" w:hAnsi="Times New Roman"/>
          <w:sz w:val="22"/>
          <w:szCs w:val="22"/>
          <w:color w:val="auto"/>
        </w:rPr>
      </w:pPr>
    </w:p>
    <w:p>
      <w:pPr>
        <w:ind w:left="3380" w:hanging="856"/>
        <w:spacing w:after="0"/>
        <w:tabs>
          <w:tab w:leader="none" w:pos="3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 Synthetic Security;</w:t>
      </w:r>
    </w:p>
    <w:p>
      <w:pPr>
        <w:spacing w:after="0" w:line="206" w:lineRule="exact"/>
        <w:rPr>
          <w:rFonts w:ascii="Times New Roman" w:cs="Times New Roman" w:eastAsia="Times New Roman" w:hAnsi="Times New Roman"/>
          <w:sz w:val="22"/>
          <w:szCs w:val="22"/>
          <w:color w:val="auto"/>
        </w:rPr>
      </w:pPr>
    </w:p>
    <w:p>
      <w:pPr>
        <w:ind w:left="3380" w:hanging="856"/>
        <w:spacing w:after="0"/>
        <w:tabs>
          <w:tab w:leader="none" w:pos="3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pay interest less frequently than semi-annually;</w:t>
      </w:r>
    </w:p>
    <w:p>
      <w:pPr>
        <w:spacing w:after="0" w:line="206" w:lineRule="exact"/>
        <w:rPr>
          <w:rFonts w:ascii="Times New Roman" w:cs="Times New Roman" w:eastAsia="Times New Roman" w:hAnsi="Times New Roman"/>
          <w:sz w:val="22"/>
          <w:szCs w:val="22"/>
          <w:color w:val="auto"/>
        </w:rPr>
      </w:pPr>
    </w:p>
    <w:p>
      <w:pPr>
        <w:ind w:left="2960" w:hanging="436"/>
        <w:spacing w:after="0"/>
        <w:tabs>
          <w:tab w:leader="none" w:pos="2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 letter of credit and does not support a letter of credit;</w:t>
      </w:r>
    </w:p>
    <w:p>
      <w:pPr>
        <w:spacing w:after="0" w:line="206" w:lineRule="exact"/>
        <w:rPr>
          <w:rFonts w:ascii="Times New Roman" w:cs="Times New Roman" w:eastAsia="Times New Roman" w:hAnsi="Times New Roman"/>
          <w:sz w:val="22"/>
          <w:szCs w:val="22"/>
          <w:color w:val="auto"/>
        </w:rPr>
      </w:pPr>
    </w:p>
    <w:p>
      <w:pPr>
        <w:ind w:left="3380" w:hanging="856"/>
        <w:spacing w:after="0"/>
        <w:tabs>
          <w:tab w:leader="none" w:pos="3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an interest in a grantor trust;</w:t>
      </w:r>
    </w:p>
    <w:p>
      <w:pPr>
        <w:spacing w:after="0" w:line="206" w:lineRule="exact"/>
        <w:rPr>
          <w:rFonts w:ascii="Times New Roman" w:cs="Times New Roman" w:eastAsia="Times New Roman" w:hAnsi="Times New Roman"/>
          <w:sz w:val="22"/>
          <w:szCs w:val="22"/>
          <w:color w:val="auto"/>
        </w:rPr>
      </w:pPr>
    </w:p>
    <w:p>
      <w:pPr>
        <w:ind w:left="3380" w:hanging="856"/>
        <w:spacing w:after="0"/>
        <w:tabs>
          <w:tab w:leader="none" w:pos="3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purchased at a price at least equal to 65% of its Principal Balance;</w:t>
      </w:r>
    </w:p>
    <w:p>
      <w:pPr>
        <w:spacing w:after="0" w:line="206" w:lineRule="exact"/>
        <w:rPr>
          <w:rFonts w:ascii="Times New Roman" w:cs="Times New Roman" w:eastAsia="Times New Roman" w:hAnsi="Times New Roman"/>
          <w:sz w:val="22"/>
          <w:szCs w:val="22"/>
          <w:color w:val="auto"/>
        </w:rPr>
      </w:pPr>
    </w:p>
    <w:p>
      <w:pPr>
        <w:jc w:val="both"/>
        <w:ind w:left="1500" w:firstLine="1024"/>
        <w:spacing w:after="0" w:line="244" w:lineRule="auto"/>
        <w:tabs>
          <w:tab w:leader="none" w:pos="338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issued by an Obligor Domiciled in (x) Greece, Italy, Portugal, Spain or Russia or (y) any country, territory or jurisdiction that is the target of subject to any sanctions enforced by the U.S. Government (including,</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5" w:lineRule="exact"/>
        <w:rPr>
          <w:sz w:val="20"/>
          <w:szCs w:val="20"/>
          <w:color w:val="auto"/>
        </w:rPr>
      </w:pPr>
    </w:p>
    <w:p>
      <w:pPr>
        <w:ind w:left="1500" w:right="20"/>
        <w:spacing w:after="0" w:line="258" w:lineRule="auto"/>
        <w:rPr>
          <w:sz w:val="20"/>
          <w:szCs w:val="20"/>
          <w:color w:val="auto"/>
        </w:rPr>
      </w:pPr>
      <w:r>
        <w:rPr>
          <w:rFonts w:ascii="Times New Roman" w:cs="Times New Roman" w:eastAsia="Times New Roman" w:hAnsi="Times New Roman"/>
          <w:sz w:val="22"/>
          <w:szCs w:val="22"/>
          <w:color w:val="auto"/>
        </w:rPr>
        <w:t>without limitation, the Office of Foreign Assets Control of the U.S. Department of the Treasury), the United Nations Security Council, the European Union, HM Treasury or any other relevant sanctions authority;</w:t>
      </w:r>
    </w:p>
    <w:p>
      <w:pPr>
        <w:spacing w:after="0" w:line="124" w:lineRule="exact"/>
        <w:rPr>
          <w:sz w:val="20"/>
          <w:szCs w:val="20"/>
          <w:color w:val="auto"/>
        </w:rPr>
      </w:pPr>
    </w:p>
    <w:p>
      <w:pPr>
        <w:ind w:left="1500" w:right="20" w:firstLine="1024"/>
        <w:spacing w:after="0" w:line="287" w:lineRule="exact"/>
        <w:tabs>
          <w:tab w:leader="none" w:pos="338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issued by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Emerging Market Obligor Domiciled in the United States, Canada, a Group I Country, a Group II Country, a Group III Country or a Tax Jurisdiction;</w:t>
      </w:r>
    </w:p>
    <w:p>
      <w:pPr>
        <w:spacing w:after="0" w:line="176" w:lineRule="exact"/>
        <w:rPr>
          <w:rFonts w:ascii="Times New Roman" w:cs="Times New Roman" w:eastAsia="Times New Roman" w:hAnsi="Times New Roman"/>
          <w:sz w:val="22"/>
          <w:szCs w:val="22"/>
          <w:color w:val="auto"/>
        </w:rPr>
      </w:pPr>
    </w:p>
    <w:p>
      <w:pPr>
        <w:ind w:left="1500" w:right="20" w:firstLine="1024"/>
        <w:spacing w:after="0" w:line="258" w:lineRule="auto"/>
        <w:tabs>
          <w:tab w:leader="none" w:pos="338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it is a Participation Interest (other than a Closing Date Participation Interest), the Third Party Credit Exposure Limits are satisfied with respect to the acquisition thereof;</w:t>
      </w:r>
    </w:p>
    <w:p>
      <w:pPr>
        <w:spacing w:after="0" w:line="158" w:lineRule="exact"/>
        <w:rPr>
          <w:rFonts w:ascii="Times New Roman" w:cs="Times New Roman" w:eastAsia="Times New Roman" w:hAnsi="Times New Roman"/>
          <w:sz w:val="22"/>
          <w:szCs w:val="22"/>
          <w:color w:val="auto"/>
        </w:rPr>
      </w:pPr>
    </w:p>
    <w:p>
      <w:pPr>
        <w:ind w:left="3380" w:hanging="856"/>
        <w:spacing w:after="0"/>
        <w:tabs>
          <w:tab w:leader="none" w:pos="3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an obligation of a Portfolio Company;</w:t>
      </w:r>
    </w:p>
    <w:p>
      <w:pPr>
        <w:spacing w:after="0" w:line="206" w:lineRule="exact"/>
        <w:rPr>
          <w:rFonts w:ascii="Times New Roman" w:cs="Times New Roman" w:eastAsia="Times New Roman" w:hAnsi="Times New Roman"/>
          <w:sz w:val="22"/>
          <w:szCs w:val="22"/>
          <w:color w:val="auto"/>
        </w:rPr>
      </w:pPr>
    </w:p>
    <w:p>
      <w:pPr>
        <w:ind w:left="3380" w:hanging="856"/>
        <w:spacing w:after="0"/>
        <w:tabs>
          <w:tab w:leader="none" w:pos="338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does not have attached equity warrants (unless such obligation is a Collateral Restructured</w:t>
      </w:r>
    </w:p>
    <w:p>
      <w:pPr>
        <w:spacing w:after="0" w:line="25" w:lineRule="exact"/>
        <w:rPr>
          <w:rFonts w:ascii="Times New Roman" w:cs="Times New Roman" w:eastAsia="Times New Roman" w:hAnsi="Times New Roman"/>
          <w:sz w:val="21"/>
          <w:szCs w:val="21"/>
          <w:color w:val="auto"/>
        </w:rPr>
      </w:pPr>
    </w:p>
    <w:p>
      <w:pPr>
        <w:ind w:left="1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Asset);</w:t>
      </w:r>
    </w:p>
    <w:p>
      <w:pPr>
        <w:spacing w:after="0" w:line="182" w:lineRule="exact"/>
        <w:rPr>
          <w:rFonts w:ascii="Times New Roman" w:cs="Times New Roman" w:eastAsia="Times New Roman" w:hAnsi="Times New Roman"/>
          <w:sz w:val="21"/>
          <w:szCs w:val="21"/>
          <w:color w:val="auto"/>
        </w:rPr>
      </w:pPr>
    </w:p>
    <w:p>
      <w:pPr>
        <w:ind w:left="3380" w:hanging="856"/>
        <w:spacing w:after="0"/>
        <w:tabs>
          <w:tab w:leader="none" w:pos="3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 warrant;</w:t>
      </w:r>
    </w:p>
    <w:p>
      <w:pPr>
        <w:spacing w:after="0" w:line="206" w:lineRule="exact"/>
        <w:rPr>
          <w:rFonts w:ascii="Times New Roman" w:cs="Times New Roman" w:eastAsia="Times New Roman" w:hAnsi="Times New Roman"/>
          <w:sz w:val="22"/>
          <w:szCs w:val="22"/>
          <w:color w:val="auto"/>
        </w:rPr>
      </w:pPr>
    </w:p>
    <w:p>
      <w:pPr>
        <w:ind w:left="3380" w:hanging="856"/>
        <w:spacing w:after="0"/>
        <w:tabs>
          <w:tab w:leader="none" w:pos="338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a Loan for which the underlying collateral consists primarily of real property owned</w:t>
      </w:r>
    </w:p>
    <w:p>
      <w:pPr>
        <w:spacing w:after="0" w:line="25" w:lineRule="exact"/>
        <w:rPr>
          <w:rFonts w:ascii="Times New Roman" w:cs="Times New Roman" w:eastAsia="Times New Roman" w:hAnsi="Times New Roman"/>
          <w:sz w:val="21"/>
          <w:szCs w:val="21"/>
          <w:color w:val="auto"/>
        </w:rPr>
      </w:pPr>
    </w:p>
    <w:p>
      <w:pPr>
        <w:ind w:left="1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by the obligor;</w:t>
      </w:r>
    </w:p>
    <w:p>
      <w:pPr>
        <w:spacing w:after="0" w:line="182" w:lineRule="exact"/>
        <w:rPr>
          <w:rFonts w:ascii="Times New Roman" w:cs="Times New Roman" w:eastAsia="Times New Roman" w:hAnsi="Times New Roman"/>
          <w:sz w:val="21"/>
          <w:szCs w:val="21"/>
          <w:color w:val="auto"/>
        </w:rPr>
      </w:pPr>
    </w:p>
    <w:p>
      <w:pPr>
        <w:jc w:val="both"/>
        <w:ind w:left="1500" w:firstLine="1024"/>
        <w:spacing w:after="0" w:line="244" w:lineRule="auto"/>
        <w:tabs>
          <w:tab w:leader="none" w:pos="338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case of a Recurring Revenue Loan, is not issued by an Obligor with an EBITDA (calculated in accordance with the related Underlying Documents as of the time of purchase by the Issuer) of less than U.S.$5,000,000;</w:t>
      </w:r>
    </w:p>
    <w:p>
      <w:pPr>
        <w:spacing w:after="0" w:line="173" w:lineRule="exact"/>
        <w:rPr>
          <w:rFonts w:ascii="Times New Roman" w:cs="Times New Roman" w:eastAsia="Times New Roman" w:hAnsi="Times New Roman"/>
          <w:sz w:val="22"/>
          <w:szCs w:val="22"/>
          <w:color w:val="auto"/>
        </w:rPr>
      </w:pPr>
    </w:p>
    <w:p>
      <w:pPr>
        <w:jc w:val="both"/>
        <w:ind w:left="1500" w:firstLine="1024"/>
        <w:spacing w:after="0" w:line="244" w:lineRule="auto"/>
        <w:tabs>
          <w:tab w:leader="none" w:pos="338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case of a Fixed Rate Obligation, accrues interest at a floating rate determined by reference to (a) the Dollar prime rate, federal funds rate or the Benchmark or (b) a similar interbank offered rate, commercial deposit rate or any other index; and</w:t>
      </w:r>
    </w:p>
    <w:p>
      <w:pPr>
        <w:spacing w:after="0" w:line="173" w:lineRule="exact"/>
        <w:rPr>
          <w:rFonts w:ascii="Times New Roman" w:cs="Times New Roman" w:eastAsia="Times New Roman" w:hAnsi="Times New Roman"/>
          <w:sz w:val="22"/>
          <w:szCs w:val="22"/>
          <w:color w:val="auto"/>
        </w:rPr>
      </w:pPr>
    </w:p>
    <w:p>
      <w:pPr>
        <w:ind w:left="3380" w:hanging="856"/>
        <w:spacing w:after="0"/>
        <w:tabs>
          <w:tab w:leader="none" w:pos="3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an ESG Prohibited Obligation.</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Principal Amount</w:t>
      </w:r>
      <w:r>
        <w:rPr>
          <w:rFonts w:ascii="Times New Roman" w:cs="Times New Roman" w:eastAsia="Times New Roman" w:hAnsi="Times New Roman"/>
          <w:sz w:val="22"/>
          <w:szCs w:val="22"/>
          <w:color w:val="auto"/>
        </w:rPr>
        <w:t xml:space="preserve">": As of any date of determination, the sum of (a) the Aggregate Principal Balance of the Collateral Obligations (other than Defaulted Obligations, except as otherwise expressly set forth herein) and (b) without duplication, the amounts on deposit in any Account (including Eligible Investments therein) representing Principal Proceeds;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calculating the Concentration Limitations, Defaulted Obligations shall be included in the Collateral Principal Amount with a Principal Balance equal to the Defaulted Obligation Balance thereof.</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Collateral Quality Test</w:t>
      </w:r>
      <w:r>
        <w:rPr>
          <w:rFonts w:ascii="Times New Roman" w:cs="Times New Roman" w:eastAsia="Times New Roman" w:hAnsi="Times New Roman"/>
          <w:sz w:val="22"/>
          <w:szCs w:val="22"/>
          <w:color w:val="auto"/>
        </w:rPr>
        <w:t>": A test satisfied as of the Effective Date and any other date thereafter on which such test is required to be determined hereunder if, in the aggregate, the Collateral Obligations owned (or in relation to a proposed purchase of a Collateral Obligation, proposed to be owned) by the Issuer satisfy each of the tests set forth below (or, after the Effective Date, if any such test is not satisfied at the time of reinvestment, the level of compliance with such test is maintained or improved as described in the Investment Criteria):</w:t>
      </w:r>
    </w:p>
    <w:p>
      <w:pPr>
        <w:spacing w:after="0" w:line="15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85" w:lineRule="exact"/>
        <w:rPr>
          <w:sz w:val="20"/>
          <w:szCs w:val="20"/>
          <w:color w:val="auto"/>
        </w:rPr>
      </w:pPr>
    </w:p>
    <w:p>
      <w:pPr>
        <w:ind w:left="2960" w:hanging="436"/>
        <w:spacing w:after="0"/>
        <w:tabs>
          <w:tab w:leader="none" w:pos="2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Minimum Floating Spread Test;</w:t>
      </w:r>
    </w:p>
    <w:p>
      <w:pPr>
        <w:spacing w:after="0" w:line="206" w:lineRule="exact"/>
        <w:rPr>
          <w:rFonts w:ascii="Times New Roman" w:cs="Times New Roman" w:eastAsia="Times New Roman" w:hAnsi="Times New Roman"/>
          <w:sz w:val="22"/>
          <w:szCs w:val="22"/>
          <w:color w:val="auto"/>
        </w:rPr>
      </w:pPr>
    </w:p>
    <w:p>
      <w:pPr>
        <w:ind w:left="2960" w:hanging="436"/>
        <w:spacing w:after="0"/>
        <w:tabs>
          <w:tab w:leader="none" w:pos="2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Minimum Weighted Average Coupon Test;</w:t>
      </w:r>
    </w:p>
    <w:p>
      <w:pPr>
        <w:spacing w:after="0" w:line="206" w:lineRule="exact"/>
        <w:rPr>
          <w:rFonts w:ascii="Times New Roman" w:cs="Times New Roman" w:eastAsia="Times New Roman" w:hAnsi="Times New Roman"/>
          <w:sz w:val="22"/>
          <w:szCs w:val="22"/>
          <w:color w:val="auto"/>
        </w:rPr>
      </w:pPr>
    </w:p>
    <w:p>
      <w:pPr>
        <w:ind w:left="2960" w:hanging="436"/>
        <w:spacing w:after="0"/>
        <w:tabs>
          <w:tab w:leader="none" w:pos="2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S&amp;P CDO Monitor Test;</w:t>
      </w:r>
    </w:p>
    <w:p>
      <w:pPr>
        <w:spacing w:after="0" w:line="206" w:lineRule="exact"/>
        <w:rPr>
          <w:rFonts w:ascii="Times New Roman" w:cs="Times New Roman" w:eastAsia="Times New Roman" w:hAnsi="Times New Roman"/>
          <w:sz w:val="22"/>
          <w:szCs w:val="22"/>
          <w:color w:val="auto"/>
        </w:rPr>
      </w:pPr>
    </w:p>
    <w:p>
      <w:pPr>
        <w:ind w:left="1500" w:right="60" w:firstLine="1024"/>
        <w:spacing w:after="0" w:line="258" w:lineRule="auto"/>
        <w:tabs>
          <w:tab w:leader="none" w:pos="295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S&amp;P CDO Monitor Switchover Date, the Minimum Weighted Average S&amp;P Recovery Rate Test;</w:t>
      </w:r>
    </w:p>
    <w:p>
      <w:pPr>
        <w:spacing w:after="0" w:line="158" w:lineRule="exact"/>
        <w:rPr>
          <w:rFonts w:ascii="Times New Roman" w:cs="Times New Roman" w:eastAsia="Times New Roman" w:hAnsi="Times New Roman"/>
          <w:sz w:val="22"/>
          <w:szCs w:val="22"/>
          <w:color w:val="auto"/>
        </w:rPr>
      </w:pPr>
    </w:p>
    <w:p>
      <w:pPr>
        <w:ind w:left="2960" w:hanging="436"/>
        <w:spacing w:after="0"/>
        <w:tabs>
          <w:tab w:leader="none" w:pos="2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Weighted Average Life Test; and</w:t>
      </w:r>
    </w:p>
    <w:p>
      <w:pPr>
        <w:spacing w:after="0" w:line="206" w:lineRule="exact"/>
        <w:rPr>
          <w:rFonts w:ascii="Times New Roman" w:cs="Times New Roman" w:eastAsia="Times New Roman" w:hAnsi="Times New Roman"/>
          <w:sz w:val="22"/>
          <w:szCs w:val="22"/>
          <w:color w:val="auto"/>
        </w:rPr>
      </w:pPr>
    </w:p>
    <w:p>
      <w:pPr>
        <w:ind w:left="2960" w:hanging="436"/>
        <w:spacing w:after="0"/>
        <w:tabs>
          <w:tab w:leader="none" w:pos="2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S&amp;P Equivalent Rating Factor Test.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Restructured Asset</w:t>
      </w:r>
      <w:r>
        <w:rPr>
          <w:rFonts w:ascii="Times New Roman" w:cs="Times New Roman" w:eastAsia="Times New Roman" w:hAnsi="Times New Roman"/>
          <w:sz w:val="22"/>
          <w:szCs w:val="22"/>
          <w:color w:val="auto"/>
        </w:rPr>
        <w:t xml:space="preserve"> ": Any Restructured Asset that is a Loan or other debt obligation and which (i) on or after the date of acquisition thereof by the Issuer, satisfies each of the requirements of the definition of "Collateral Obligation" (giving effect to the carve-outs for Collateral Restructured Assets set forth therein), (ii) ranks at least pari passu in right of payment to the Collateral Obligation in respect of which it was received and (iii) is designated as a "Collateral Restructured Asset" by the Collateral Manager by written notice to the Collateral Trustee and the Collateral Administrator.</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Trustee</w:t>
      </w:r>
      <w:r>
        <w:rPr>
          <w:rFonts w:ascii="Times New Roman" w:cs="Times New Roman" w:eastAsia="Times New Roman" w:hAnsi="Times New Roman"/>
          <w:sz w:val="22"/>
          <w:szCs w:val="22"/>
          <w:color w:val="auto"/>
        </w:rPr>
        <w:t>": The meaning specified in the first sentence of this Indenture.</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Account</w:t>
      </w:r>
      <w:r>
        <w:rPr>
          <w:rFonts w:ascii="Times New Roman" w:cs="Times New Roman" w:eastAsia="Times New Roman" w:hAnsi="Times New Roman"/>
          <w:sz w:val="22"/>
          <w:szCs w:val="22"/>
          <w:color w:val="auto"/>
        </w:rPr>
        <w:t xml:space="preserve">": The account established pursuant to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which consists of the Principal Collection Subaccount and the Interest Collection Subaccount.</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Period</w:t>
      </w:r>
      <w:r>
        <w:rPr>
          <w:rFonts w:ascii="Times New Roman" w:cs="Times New Roman" w:eastAsia="Times New Roman" w:hAnsi="Times New Roman"/>
          <w:sz w:val="22"/>
          <w:szCs w:val="22"/>
          <w:color w:val="auto"/>
        </w:rPr>
        <w:t>": (i) With respect to the first Payment Date, the period commencing on the Closing Date and ending at the close of business on the eighth Business Day prior to the first Payment Date; and (ii) with respect to any other Payment Date, the period commencing on the day immediately following the prior Collection Period and ending (a) in the case of the final Collection Period preceding the latest Stated Maturity of any Class of Debt, on the day of such Stated Maturity, (b) in the case of the final Collection Period preceding an Optional Redemption, Tax Redemption or Clean-Up Call Redemption in whole of the Secured Debt, on the Redemption Date and (c) in any other case, at the close of business on the eighth Business Day prior to such Payment Date.</w:t>
      </w:r>
    </w:p>
    <w:p>
      <w:pPr>
        <w:spacing w:after="0" w:line="18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Concentration Limitations</w:t>
      </w:r>
      <w:r>
        <w:rPr>
          <w:rFonts w:ascii="Times New Roman" w:cs="Times New Roman" w:eastAsia="Times New Roman" w:hAnsi="Times New Roman"/>
          <w:sz w:val="22"/>
          <w:szCs w:val="22"/>
          <w:color w:val="auto"/>
        </w:rPr>
        <w:t xml:space="preserve">": Limitations satisfied on each Measurement Date on or after the Effective Date and during the Reinvestment Period if, in the aggregate, the Collateral Obligations owned (or in relation to a proposed purchase of a Collateral Obligation, proposed to be owned) by the Issuer comply with all of the requirements set forth below (or in relation to a proposed purchase after the Effective Date, if not in compliance, the relevant requirements (excluding clause (vii)(B) of this definition) must be maintained or improved after giving effect to the purchase), calculated in each case as required by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herein:</w:t>
      </w:r>
    </w:p>
    <w:p>
      <w:pPr>
        <w:spacing w:after="0" w:line="181" w:lineRule="exact"/>
        <w:rPr>
          <w:sz w:val="20"/>
          <w:szCs w:val="20"/>
          <w:color w:val="auto"/>
        </w:rPr>
      </w:pPr>
    </w:p>
    <w:p>
      <w:pPr>
        <w:jc w:val="both"/>
        <w:ind w:left="1500" w:firstLine="1024"/>
        <w:spacing w:after="0" w:line="244" w:lineRule="auto"/>
        <w:tabs>
          <w:tab w:leader="none" w:pos="295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less than 95.0% of the Collateral Principal Amount may consist of Senior Secured Loans, Cash and Eligible Investments (assuming for purposes of these calculations that Eligible Investments representing Principal Proceeds are Senior Secured Loans);</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85" w:lineRule="exact"/>
        <w:rPr>
          <w:sz w:val="20"/>
          <w:szCs w:val="20"/>
          <w:color w:val="auto"/>
        </w:rPr>
      </w:pPr>
    </w:p>
    <w:p>
      <w:pPr>
        <w:jc w:val="both"/>
        <w:ind w:left="1500" w:firstLine="1024"/>
        <w:spacing w:after="0" w:line="257" w:lineRule="exact"/>
        <w:tabs>
          <w:tab w:leader="none" w:pos="295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more than 5.0% of the Collateral Principal Amount may, in the aggregate, consist of First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Lien Last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Out Loans, Second Lien Loans and Senior Secured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 more than 1.5% of the Collateral Principal Amount may consist of Second Lien Loans and First Lien Last Out Loans issued by a single Obligor and its Affiliates;</w:t>
      </w:r>
    </w:p>
    <w:p>
      <w:pPr>
        <w:spacing w:after="0" w:line="176" w:lineRule="exact"/>
        <w:rPr>
          <w:rFonts w:ascii="Times New Roman" w:cs="Times New Roman" w:eastAsia="Times New Roman" w:hAnsi="Times New Roman"/>
          <w:sz w:val="22"/>
          <w:szCs w:val="22"/>
          <w:color w:val="auto"/>
        </w:rPr>
      </w:pPr>
    </w:p>
    <w:p>
      <w:pPr>
        <w:jc w:val="both"/>
        <w:ind w:left="1500" w:firstLine="1024"/>
        <w:spacing w:after="0" w:line="238" w:lineRule="auto"/>
        <w:tabs>
          <w:tab w:leader="none" w:pos="295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more than 2.5% of the Collateral Principal Amount may consist of obligations issued by a single Obligor and its Affiliates, except that, without duplication, Senior Secured Loans issued by up to five obligors and their respective Affiliates may each constitute up to 3.0% of the Collateral Principal Amount;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one Obligor shall not be considered an Affiliate of another Obligor solely because they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controlled by the same financial sponsor;</w:t>
      </w:r>
    </w:p>
    <w:p>
      <w:pPr>
        <w:spacing w:after="0" w:line="176" w:lineRule="exact"/>
        <w:rPr>
          <w:rFonts w:ascii="Times New Roman" w:cs="Times New Roman" w:eastAsia="Times New Roman" w:hAnsi="Times New Roman"/>
          <w:sz w:val="22"/>
          <w:szCs w:val="22"/>
          <w:color w:val="auto"/>
        </w:rPr>
      </w:pPr>
    </w:p>
    <w:p>
      <w:pPr>
        <w:ind w:left="1500" w:right="20" w:firstLine="1024"/>
        <w:spacing w:after="0" w:line="258" w:lineRule="auto"/>
        <w:tabs>
          <w:tab w:leader="none" w:pos="295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more than 20.0% of the Collateral Principal Amount may consist of Collateral Obligations with an S&amp;P Rating of "CCC+" or below (other than Defaulted Obligations);</w:t>
      </w:r>
    </w:p>
    <w:p>
      <w:pPr>
        <w:spacing w:after="0" w:line="158" w:lineRule="exact"/>
        <w:rPr>
          <w:rFonts w:ascii="Times New Roman" w:cs="Times New Roman" w:eastAsia="Times New Roman" w:hAnsi="Times New Roman"/>
          <w:sz w:val="22"/>
          <w:szCs w:val="22"/>
          <w:color w:val="auto"/>
        </w:rPr>
      </w:pPr>
    </w:p>
    <w:p>
      <w:pPr>
        <w:ind w:left="2960" w:hanging="436"/>
        <w:spacing w:after="0"/>
        <w:tabs>
          <w:tab w:leader="none" w:pos="296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more than 5.0% of the Collateral Principal Amount may consist of Current Pay Obligations;</w:t>
      </w:r>
    </w:p>
    <w:p>
      <w:pPr>
        <w:spacing w:after="0" w:line="217" w:lineRule="exact"/>
        <w:rPr>
          <w:rFonts w:ascii="Times New Roman" w:cs="Times New Roman" w:eastAsia="Times New Roman" w:hAnsi="Times New Roman"/>
          <w:sz w:val="21"/>
          <w:szCs w:val="21"/>
          <w:color w:val="auto"/>
        </w:rPr>
      </w:pPr>
    </w:p>
    <w:p>
      <w:pPr>
        <w:jc w:val="both"/>
        <w:ind w:left="1500" w:right="20" w:firstLine="1024"/>
        <w:spacing w:after="0" w:line="244" w:lineRule="auto"/>
        <w:tabs>
          <w:tab w:leader="none" w:pos="295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more than 10.0% of the Collateral Principal Amount may consist, in the aggregate, of unfunded commitments under Delayed Drawdown Collateral Obligations and unfunded and funded commitments under Revolving Collateral Obligations;</w:t>
      </w:r>
    </w:p>
    <w:p>
      <w:pPr>
        <w:spacing w:after="0" w:line="173" w:lineRule="exact"/>
        <w:rPr>
          <w:rFonts w:ascii="Times New Roman" w:cs="Times New Roman" w:eastAsia="Times New Roman" w:hAnsi="Times New Roman"/>
          <w:sz w:val="22"/>
          <w:szCs w:val="22"/>
          <w:color w:val="auto"/>
        </w:rPr>
      </w:pPr>
    </w:p>
    <w:p>
      <w:pPr>
        <w:jc w:val="both"/>
        <w:ind w:left="1500" w:firstLine="1024"/>
        <w:spacing w:after="0" w:line="239" w:lineRule="auto"/>
        <w:tabs>
          <w:tab w:leader="none" w:pos="295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not more than 10.0% of the Collateral Principal Amount may consist of Participation Interests, and (B) the Third Party Credit Exposure Limits may not be exceeded with respect to any such Participation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Closing Date Participation Interests will be excluded for purposes of this clause (vii) for the first 90 days following the Closing Date;</w:t>
      </w:r>
    </w:p>
    <w:p>
      <w:pPr>
        <w:spacing w:after="0" w:line="180" w:lineRule="exact"/>
        <w:rPr>
          <w:rFonts w:ascii="Times New Roman" w:cs="Times New Roman" w:eastAsia="Times New Roman" w:hAnsi="Times New Roman"/>
          <w:sz w:val="22"/>
          <w:szCs w:val="22"/>
          <w:color w:val="auto"/>
        </w:rPr>
      </w:pPr>
    </w:p>
    <w:p>
      <w:pPr>
        <w:jc w:val="both"/>
        <w:ind w:left="1500" w:firstLine="1024"/>
        <w:spacing w:after="0" w:line="282" w:lineRule="auto"/>
        <w:tabs>
          <w:tab w:leader="none" w:pos="3382"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more than 10.0% of the Collateral Principal Amount may have an S&amp;P Rating derived from a Moody's Rating or a Fitch Rating as set forth in clause (iii)(a) of the definition of the term "S&amp;P Rating";</w:t>
      </w:r>
    </w:p>
    <w:p>
      <w:pPr>
        <w:spacing w:after="0" w:line="134" w:lineRule="exact"/>
        <w:rPr>
          <w:rFonts w:ascii="Times New Roman" w:cs="Times New Roman" w:eastAsia="Times New Roman" w:hAnsi="Times New Roman"/>
          <w:sz w:val="21"/>
          <w:szCs w:val="21"/>
          <w:color w:val="auto"/>
        </w:rPr>
      </w:pPr>
    </w:p>
    <w:p>
      <w:pPr>
        <w:ind w:left="1500" w:right="20" w:firstLine="1024"/>
        <w:spacing w:after="0" w:line="258" w:lineRule="auto"/>
        <w:tabs>
          <w:tab w:leader="none" w:pos="295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more than the percentage listed below of the Collateral Principal Amount may be issued by Obligors Domiciled in the country or countries set forth opposite such percentage:</w:t>
      </w:r>
    </w:p>
    <w:p>
      <w:pPr>
        <w:spacing w:after="0" w:line="353"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81" w:lineRule="exact"/>
        <w:rPr>
          <w:sz w:val="20"/>
          <w:szCs w:val="20"/>
          <w:color w:val="auto"/>
        </w:rPr>
      </w:pPr>
    </w:p>
    <w:tbl>
      <w:tblPr>
        <w:tblLayout w:type="fixed"/>
        <w:tblInd w:w="1580" w:type="dxa"/>
        <w:tblCellMar>
          <w:top w:w="0" w:type="dxa"/>
          <w:left w:w="0" w:type="dxa"/>
          <w:bottom w:w="0" w:type="dxa"/>
          <w:right w:w="0" w:type="dxa"/>
        </w:tblCellMar>
      </w:tblPr>
      <w:tr>
        <w:trPr>
          <w:trHeight w:val="287"/>
        </w:trPr>
        <w:tc>
          <w:tcPr>
            <w:tcW w:w="25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Limit</w:t>
            </w:r>
          </w:p>
        </w:tc>
        <w:tc>
          <w:tcPr>
            <w:tcW w:w="698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Country or Countries</w:t>
            </w:r>
          </w:p>
        </w:tc>
      </w:tr>
      <w:tr>
        <w:trPr>
          <w:trHeight w:val="20"/>
        </w:trPr>
        <w:tc>
          <w:tcPr>
            <w:tcW w:w="2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40" w:type="dxa"/>
            <w:vAlign w:val="bottom"/>
            <w:shd w:val="clear" w:color="auto" w:fill="000000"/>
          </w:tcPr>
          <w:p>
            <w:pPr>
              <w:spacing w:after="0" w:line="20" w:lineRule="exact"/>
              <w:rPr>
                <w:sz w:val="1"/>
                <w:szCs w:val="1"/>
                <w:color w:val="auto"/>
              </w:rPr>
            </w:pPr>
          </w:p>
        </w:tc>
      </w:tr>
      <w:tr>
        <w:trPr>
          <w:trHeight w:val="49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10.0%</w:t>
            </w:r>
          </w:p>
        </w:tc>
        <w:tc>
          <w:tcPr>
            <w:tcW w:w="69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All countries (in the aggregate) other than the United States;</w:t>
            </w:r>
          </w:p>
        </w:tc>
      </w:tr>
      <w:tr>
        <w:trPr>
          <w:trHeight w:val="486"/>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10.0%</w:t>
            </w:r>
          </w:p>
        </w:tc>
        <w:tc>
          <w:tcPr>
            <w:tcW w:w="69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Canada;</w:t>
            </w:r>
          </w:p>
        </w:tc>
      </w:tr>
      <w:tr>
        <w:trPr>
          <w:trHeight w:val="447"/>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5.0%</w:t>
            </w:r>
          </w:p>
        </w:tc>
        <w:tc>
          <w:tcPr>
            <w:tcW w:w="69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all countries (in the aggregate) other than the United States, Canada and the</w:t>
            </w:r>
          </w:p>
        </w:tc>
      </w:tr>
      <w:tr>
        <w:trPr>
          <w:trHeight w:val="282"/>
        </w:trPr>
        <w:tc>
          <w:tcPr>
            <w:tcW w:w="2540" w:type="dxa"/>
            <w:vAlign w:val="bottom"/>
          </w:tcPr>
          <w:p>
            <w:pPr>
              <w:spacing w:after="0"/>
              <w:rPr>
                <w:sz w:val="24"/>
                <w:szCs w:val="24"/>
                <w:color w:val="auto"/>
              </w:rPr>
            </w:pPr>
          </w:p>
        </w:tc>
        <w:tc>
          <w:tcPr>
            <w:tcW w:w="69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United Kingdom;</w:t>
            </w:r>
          </w:p>
        </w:tc>
      </w:tr>
      <w:tr>
        <w:trPr>
          <w:trHeight w:val="486"/>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2.5%</w:t>
            </w:r>
          </w:p>
        </w:tc>
        <w:tc>
          <w:tcPr>
            <w:tcW w:w="69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any individual Group I Country;</w:t>
            </w:r>
          </w:p>
        </w:tc>
      </w:tr>
      <w:tr>
        <w:trPr>
          <w:trHeight w:val="486"/>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2.0%</w:t>
            </w:r>
          </w:p>
        </w:tc>
        <w:tc>
          <w:tcPr>
            <w:tcW w:w="69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all Group II Countries in the aggregate;</w:t>
            </w:r>
          </w:p>
        </w:tc>
      </w:tr>
      <w:tr>
        <w:trPr>
          <w:trHeight w:val="486"/>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2.0%</w:t>
            </w:r>
          </w:p>
        </w:tc>
        <w:tc>
          <w:tcPr>
            <w:tcW w:w="69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any individual Group II Country;</w:t>
            </w:r>
          </w:p>
        </w:tc>
      </w:tr>
      <w:tr>
        <w:trPr>
          <w:trHeight w:val="486"/>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1.5%</w:t>
            </w:r>
          </w:p>
        </w:tc>
        <w:tc>
          <w:tcPr>
            <w:tcW w:w="69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all Group III Countries in the aggregate; and</w:t>
            </w:r>
          </w:p>
        </w:tc>
      </w:tr>
      <w:tr>
        <w:trPr>
          <w:trHeight w:val="486"/>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1.5%</w:t>
            </w:r>
          </w:p>
        </w:tc>
        <w:tc>
          <w:tcPr>
            <w:tcW w:w="69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all Tax Jurisdictions in the aggregate;</w:t>
            </w:r>
          </w:p>
        </w:tc>
      </w:tr>
    </w:tbl>
    <w:p>
      <w:pPr>
        <w:spacing w:after="0" w:line="200" w:lineRule="exact"/>
        <w:rPr>
          <w:sz w:val="20"/>
          <w:szCs w:val="20"/>
          <w:color w:val="auto"/>
        </w:rPr>
      </w:pPr>
    </w:p>
    <w:p>
      <w:pPr>
        <w:spacing w:after="0" w:line="220" w:lineRule="exact"/>
        <w:rPr>
          <w:sz w:val="20"/>
          <w:szCs w:val="20"/>
          <w:color w:val="auto"/>
        </w:rPr>
      </w:pPr>
    </w:p>
    <w:p>
      <w:pPr>
        <w:jc w:val="both"/>
        <w:ind w:left="1500" w:firstLine="1024"/>
        <w:spacing w:after="0" w:line="256" w:lineRule="exact"/>
        <w:tabs>
          <w:tab w:leader="none" w:pos="2950"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more than 12.0% of the Collateral Principal Amount may consist of Collateral Obligations that are issued by Obligors that belong to any single S&amp;P Industry Classification, except that (x) the largest S&amp;P Industry Classification may represent up to 20.0% of the Collateral Principal Amount; (y) the second</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largest S&amp;P Industry Classification may represent up to 17.5% of the Collateral Principal Amount; and</w:t>
      </w:r>
    </w:p>
    <w:p>
      <w:pPr>
        <w:ind w:left="1800" w:hanging="295"/>
        <w:spacing w:after="0" w:line="242" w:lineRule="exact"/>
        <w:tabs>
          <w:tab w:leader="none" w:pos="180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third</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largest S&amp;P Industry Classification may represent up to 15.0% of the Collateral Principal Amount;</w:t>
      </w:r>
    </w:p>
    <w:p>
      <w:pPr>
        <w:spacing w:after="0" w:line="194" w:lineRule="exact"/>
        <w:rPr>
          <w:sz w:val="20"/>
          <w:szCs w:val="20"/>
          <w:color w:val="auto"/>
        </w:rPr>
      </w:pPr>
    </w:p>
    <w:p>
      <w:pPr>
        <w:ind w:left="1500" w:right="20" w:firstLine="1024"/>
        <w:spacing w:after="0" w:line="258" w:lineRule="auto"/>
        <w:tabs>
          <w:tab w:leader="none" w:pos="295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more than 10.0% of the Collateral Principal Amount may consist of Collateral Obligations that are Deferrable Obligations;</w:t>
      </w:r>
    </w:p>
    <w:p>
      <w:pPr>
        <w:spacing w:after="0" w:line="158" w:lineRule="exact"/>
        <w:rPr>
          <w:rFonts w:ascii="Times New Roman" w:cs="Times New Roman" w:eastAsia="Times New Roman" w:hAnsi="Times New Roman"/>
          <w:sz w:val="22"/>
          <w:szCs w:val="22"/>
          <w:color w:val="auto"/>
        </w:rPr>
      </w:pPr>
    </w:p>
    <w:p>
      <w:pPr>
        <w:ind w:left="2960" w:hanging="436"/>
        <w:spacing w:after="0"/>
        <w:tabs>
          <w:tab w:leader="none" w:pos="2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more than 5.0% of the Collateral Principal Amount may consist of DIP Collateral</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w:t>
      </w:r>
    </w:p>
    <w:p>
      <w:pPr>
        <w:spacing w:after="0" w:line="147" w:lineRule="exact"/>
        <w:rPr>
          <w:rFonts w:ascii="Times New Roman" w:cs="Times New Roman" w:eastAsia="Times New Roman" w:hAnsi="Times New Roman"/>
          <w:sz w:val="22"/>
          <w:szCs w:val="22"/>
          <w:color w:val="auto"/>
        </w:rPr>
      </w:pPr>
    </w:p>
    <w:p>
      <w:pPr>
        <w:jc w:val="both"/>
        <w:ind w:left="1500" w:firstLine="1024"/>
        <w:spacing w:after="0" w:line="265" w:lineRule="exact"/>
        <w:tabs>
          <w:tab w:leader="none" w:pos="338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more than 15.0% of the Collateral Principal Amount may consist of Cov</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Lite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 more than 5.0% of the Collateral Principal Amount may consist of Cov-Lite Loans that are issued by an Obligor with a most recently calculated EBITDA (calculated in accordance with the related Underlying Documents at the time of purchase by the Issuer) of less than $20,000,000;</w:t>
      </w:r>
    </w:p>
    <w:p>
      <w:pPr>
        <w:spacing w:after="0" w:line="177" w:lineRule="exact"/>
        <w:rPr>
          <w:rFonts w:ascii="Times New Roman" w:cs="Times New Roman" w:eastAsia="Times New Roman" w:hAnsi="Times New Roman"/>
          <w:sz w:val="22"/>
          <w:szCs w:val="22"/>
          <w:color w:val="auto"/>
        </w:rPr>
      </w:pPr>
    </w:p>
    <w:p>
      <w:pPr>
        <w:ind w:left="1500" w:right="80" w:firstLine="1024"/>
        <w:spacing w:after="0" w:line="258" w:lineRule="auto"/>
        <w:tabs>
          <w:tab w:leader="none" w:pos="338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more than 5.0% of the Collateral Principal Amount may consist of Collateral Obligations that pay interest at least semi-annually, but less frequently than quarterly;</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85" w:lineRule="exact"/>
        <w:rPr>
          <w:sz w:val="20"/>
          <w:szCs w:val="20"/>
          <w:color w:val="auto"/>
        </w:rPr>
      </w:pPr>
    </w:p>
    <w:p>
      <w:pPr>
        <w:ind w:left="2960" w:hanging="436"/>
        <w:spacing w:after="0"/>
        <w:tabs>
          <w:tab w:leader="none" w:pos="29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more than 5.0% of the Collateral Principal Amount may consist of Fixed Rate Obligations;</w:t>
      </w:r>
    </w:p>
    <w:p>
      <w:pPr>
        <w:spacing w:after="0" w:line="217" w:lineRule="exact"/>
        <w:rPr>
          <w:rFonts w:ascii="Times New Roman" w:cs="Times New Roman" w:eastAsia="Times New Roman" w:hAnsi="Times New Roman"/>
          <w:sz w:val="21"/>
          <w:szCs w:val="21"/>
          <w:color w:val="auto"/>
        </w:rPr>
      </w:pPr>
    </w:p>
    <w:p>
      <w:pPr>
        <w:ind w:left="3380" w:hanging="856"/>
        <w:spacing w:after="0"/>
        <w:tabs>
          <w:tab w:leader="none" w:pos="33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more than 5.0% of the Collateral Principal Amount may consist of Discount</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w:t>
      </w:r>
    </w:p>
    <w:p>
      <w:pPr>
        <w:spacing w:after="0" w:line="182" w:lineRule="exact"/>
        <w:rPr>
          <w:rFonts w:ascii="Times New Roman" w:cs="Times New Roman" w:eastAsia="Times New Roman" w:hAnsi="Times New Roman"/>
          <w:sz w:val="22"/>
          <w:szCs w:val="22"/>
          <w:color w:val="auto"/>
        </w:rPr>
      </w:pPr>
    </w:p>
    <w:p>
      <w:pPr>
        <w:jc w:val="both"/>
        <w:ind w:left="1500" w:firstLine="1024"/>
        <w:spacing w:after="0" w:line="239" w:lineRule="auto"/>
        <w:tabs>
          <w:tab w:leader="none" w:pos="338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more than 5.0% of the Collateral Principal Amount may consist of Recurring Revenue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 more than 2.5% of the Collateral Principal Amount may consist of Recurring Revenue Loans with respect to which the related Obligor's EBITDA (calculated in accordance with the related Underlying Documents at the time of purchase by the Issuer) is less than $0;</w:t>
      </w:r>
    </w:p>
    <w:p>
      <w:pPr>
        <w:spacing w:after="0" w:line="180" w:lineRule="exact"/>
        <w:rPr>
          <w:rFonts w:ascii="Times New Roman" w:cs="Times New Roman" w:eastAsia="Times New Roman" w:hAnsi="Times New Roman"/>
          <w:sz w:val="22"/>
          <w:szCs w:val="22"/>
          <w:color w:val="auto"/>
        </w:rPr>
      </w:pPr>
    </w:p>
    <w:p>
      <w:pPr>
        <w:jc w:val="both"/>
        <w:ind w:left="1500" w:firstLine="1024"/>
        <w:spacing w:after="0" w:line="239" w:lineRule="auto"/>
        <w:tabs>
          <w:tab w:leader="none" w:pos="338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more than 15.0% of the Collateral Principal Amount may consist of Collateral Obligations (excluding Recurring Revenue Loans) with respect to which the related Obligor's EBITDA (calculated in accordance with the related Underlying Documents at the time of purchase by the Issuer) is less than $10,000,000; and</w:t>
      </w:r>
    </w:p>
    <w:p>
      <w:pPr>
        <w:spacing w:after="0" w:line="180" w:lineRule="exact"/>
        <w:rPr>
          <w:rFonts w:ascii="Times New Roman" w:cs="Times New Roman" w:eastAsia="Times New Roman" w:hAnsi="Times New Roman"/>
          <w:sz w:val="22"/>
          <w:szCs w:val="22"/>
          <w:color w:val="auto"/>
        </w:rPr>
      </w:pPr>
    </w:p>
    <w:p>
      <w:pPr>
        <w:ind w:left="1500" w:right="80" w:firstLine="1024"/>
        <w:spacing w:after="0" w:line="258" w:lineRule="auto"/>
        <w:tabs>
          <w:tab w:leader="none" w:pos="338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more than 2.5% of the Collateral Principal Amount may consist of Collateral Obligations that are Bridge Loans, Step-Up Obligations and Step-Down Obligations in the aggregate.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14.15(b)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Consenting Holder</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9.7(b)(ii)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Contribution Account</w:t>
      </w:r>
      <w:r>
        <w:rPr>
          <w:rFonts w:ascii="Times New Roman" w:cs="Times New Roman" w:eastAsia="Times New Roman" w:hAnsi="Times New Roman"/>
          <w:sz w:val="22"/>
          <w:szCs w:val="22"/>
          <w:color w:val="auto"/>
        </w:rPr>
        <w:t xml:space="preserve">": The account established pursuant to </w:t>
      </w:r>
      <w:r>
        <w:rPr>
          <w:rFonts w:ascii="Times New Roman" w:cs="Times New Roman" w:eastAsia="Times New Roman" w:hAnsi="Times New Roman"/>
          <w:sz w:val="22"/>
          <w:szCs w:val="22"/>
          <w:u w:val="single" w:color="auto"/>
          <w:color w:val="auto"/>
        </w:rPr>
        <w:t>Section 10.3(f)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Controlling Class</w:t>
      </w:r>
      <w:r>
        <w:rPr>
          <w:rFonts w:ascii="Times New Roman" w:cs="Times New Roman" w:eastAsia="Times New Roman" w:hAnsi="Times New Roman"/>
          <w:sz w:val="22"/>
          <w:szCs w:val="22"/>
          <w:color w:val="auto"/>
        </w:rPr>
        <w:t>": The Class A-1 Debt so long as any Class A-1 Notes, Class A-1L-A Loans or Class A-1L-B Loans are Outstanding; then the Class A-2 Notes so long as any Class A-2 Notes are Outstanding; then the Class B Notes so long as any Class B Notes are Outstanding; then the Class C Notes so long as any Class C Notes are Outstanding; then the Class D Notes so long as any Class D Notes are Outstanding; and then the Subordinated Notes.</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Controversial Weapons</w:t>
      </w:r>
      <w:r>
        <w:rPr>
          <w:rFonts w:ascii="Times New Roman" w:cs="Times New Roman" w:eastAsia="Times New Roman" w:hAnsi="Times New Roman"/>
          <w:sz w:val="22"/>
          <w:szCs w:val="22"/>
          <w:color w:val="auto"/>
        </w:rPr>
        <w:t>": Any controversial weapons (such as cluster bombs, anti-personnel mines, chemical or biological weapons) which are prohibited under applicable international treaties or conventions.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2.5(o)</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Conversion Option</w:t>
      </w:r>
      <w:r>
        <w:rPr>
          <w:rFonts w:ascii="Times New Roman" w:cs="Times New Roman" w:eastAsia="Times New Roman" w:hAnsi="Times New Roman"/>
          <w:sz w:val="21"/>
          <w:szCs w:val="21"/>
          <w:color w:val="auto"/>
        </w:rPr>
        <w:t>": The option of a Converting Lender to convert all or a portion of its Class A-1L-A Loans into an equivalent principal amount of Class A-1 Notes pursuant to the Class A-1L-A Credit Agreement and this Indenture.</w:t>
      </w:r>
    </w:p>
    <w:p>
      <w:pPr>
        <w:spacing w:after="0" w:line="1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Converting Lender</w:t>
      </w:r>
      <w:r>
        <w:rPr>
          <w:rFonts w:ascii="Times New Roman" w:cs="Times New Roman" w:eastAsia="Times New Roman" w:hAnsi="Times New Roman"/>
          <w:sz w:val="22"/>
          <w:szCs w:val="22"/>
          <w:color w:val="auto"/>
        </w:rPr>
        <w:t>": A Class A-1L-A Lender that has exercised a Conversion Option.</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Corporate Trust Office</w:t>
      </w:r>
      <w:r>
        <w:rPr>
          <w:rFonts w:ascii="Times New Roman" w:cs="Times New Roman" w:eastAsia="Times New Roman" w:hAnsi="Times New Roman"/>
          <w:sz w:val="21"/>
          <w:szCs w:val="21"/>
          <w:color w:val="auto"/>
        </w:rPr>
        <w:t>": The corporate trust office of the (i) Trustee at which the Collateral Trustee performs its duties under this Indenture, currently having an address of (a) for Note transfer purposes and presentation of the Notes for final payment thereon, Western Alliance Trust Company, N.A., 3601 Minnesota Drive, Suite 800, Bloomington, MN 55435, Attention: Corporate Trust – PennantPark CLO 11, LLC, email: PennantParkCLO11LLC@westernalliancetrust.com and (b) for all other purposes, Western Alliance Trust Company, N.A., One East Washington Street, Suite 1400, Phoenix, AZ 85004, Attention: Corporate Trust – PennantPark CLO 11, LLC, email: PennantParkCLO11LLC@westernalliancetrust.com and with copies to (which shall not constitute notice) Western Alliance Trust Company, N.A., 800 Town &amp; Country - Ste. 400, Houston, TX 77024, Attention: Corporate Trust – PennantPark CLO 11, LLC or such other address the Collateral Trustee designates from time to time by notice to the Holders, the Collateral Manager, the Issuer, and the Rating Agency or the principal corporate trust office of any successor Trustee and (ii) the Loan Agent at which the Loan Agent administers the Credit Agreements and the other Transaction Documents to which it is a party, currently located at Western Alliance Trust Company, N.A., One East Washington Street, Suite 1400, Phoenix, AZ 85004, Attention: Corporate Trust – PennantPark CLO 11, LLC, email: PennantParkCLO11LLC@westernalliancetrust.com and with copies to (which shall not constitute notice) Western Alliance Trust Company, N.A., 800 Town &amp; Country - Ste. 400, Houston, TX 77024, Attention: Corporate Trust – PennantPark CLO 11, LLC or, in each case, such other address as the Collateral Trustee or Loan Agent may designate from time to time by notice to the Holders, the Collateral Manager and the Issuer or the principal corporate trust office of any successor trustee or loan agent.</w:t>
      </w:r>
    </w:p>
    <w:p>
      <w:pPr>
        <w:spacing w:after="0" w:line="141" w:lineRule="exact"/>
        <w:rPr>
          <w:sz w:val="20"/>
          <w:szCs w:val="20"/>
          <w:color w:val="auto"/>
        </w:rPr>
      </w:pPr>
    </w:p>
    <w:p>
      <w:pPr>
        <w:jc w:val="both"/>
        <w:ind w:firstLine="1497"/>
        <w:spacing w:after="0" w:line="26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Lite Loan</w:t>
      </w:r>
      <w:r>
        <w:rPr>
          <w:rFonts w:ascii="Times New Roman" w:cs="Times New Roman" w:eastAsia="Times New Roman" w:hAnsi="Times New Roman"/>
          <w:sz w:val="22"/>
          <w:szCs w:val="22"/>
          <w:color w:val="auto"/>
        </w:rPr>
        <w:t xml:space="preserve">": A Senior Secured Loan whose Underlying Documents (i) do not contain any financial covenants or (ii) do not require the borrower to comply with a Maintenance Covenant;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all purposes other than the determination of the S&amp;P Recovery Rate for such Collateral Obligation, a Collateral Obligation described in clause (i) or (ii) above which contains either a cross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default or cross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acceleration provision to, or is pari passu with, another loan of the underlying obligor that requires the underlying obligor to comply with an Incurrence Covenant or a Maintenance Covenant will be deemed not to be a Cov-Lite Loan.</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Coverage Tests</w:t>
      </w:r>
      <w:r>
        <w:rPr>
          <w:rFonts w:ascii="Times New Roman" w:cs="Times New Roman" w:eastAsia="Times New Roman" w:hAnsi="Times New Roman"/>
          <w:sz w:val="22"/>
          <w:szCs w:val="22"/>
          <w:color w:val="auto"/>
        </w:rPr>
        <w:t>": The Overcollateralization Ratio Test and the Interest Coverage Test, each as applied to each specified Class or Classes of Secured Debt.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Agreements</w:t>
      </w:r>
      <w:r>
        <w:rPr>
          <w:rFonts w:ascii="Times New Roman" w:cs="Times New Roman" w:eastAsia="Times New Roman" w:hAnsi="Times New Roman"/>
          <w:sz w:val="22"/>
          <w:szCs w:val="22"/>
          <w:color w:val="auto"/>
        </w:rPr>
        <w:t>": Collectively, the Class A-1L-A Credit Agreement and the Class A-1L-B Credit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Amendment</w:t>
      </w:r>
      <w:r>
        <w:rPr>
          <w:rFonts w:ascii="Times New Roman" w:cs="Times New Roman" w:eastAsia="Times New Roman" w:hAnsi="Times New Roman"/>
          <w:sz w:val="22"/>
          <w:szCs w:val="22"/>
          <w:color w:val="auto"/>
        </w:rPr>
        <w:t>": A Maturity Amendment that, in the Collateral Manager's reasonable judgment, is necessary (i) to prevent the related Collateral Obligation from becoming a Defaulted Obligation or (ii) due to the materially adverse financial condition of the related Obligor, to minimize material losses on the related Collateral Obligation.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Improved Criteria</w:t>
      </w:r>
      <w:r>
        <w:rPr>
          <w:rFonts w:ascii="Times New Roman" w:cs="Times New Roman" w:eastAsia="Times New Roman" w:hAnsi="Times New Roman"/>
          <w:sz w:val="21"/>
          <w:szCs w:val="21"/>
          <w:color w:val="auto"/>
        </w:rPr>
        <w:t>": The criteria that will be met if, with respect to any Collateral Obligation, any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occur:</w:t>
      </w:r>
    </w:p>
    <w:p>
      <w:pPr>
        <w:spacing w:after="0" w:line="161"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85" w:lineRule="exact"/>
        <w:rPr>
          <w:sz w:val="20"/>
          <w:szCs w:val="20"/>
          <w:color w:val="auto"/>
        </w:rPr>
      </w:pPr>
    </w:p>
    <w:p>
      <w:pPr>
        <w:jc w:val="both"/>
        <w:ind w:left="760" w:firstLine="745"/>
        <w:spacing w:after="0" w:line="261" w:lineRule="exact"/>
        <w:tabs>
          <w:tab w:leader="none" w:pos="194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Collateral Obligation has experienced a reduction in its credit spread of 10% or more compared to the credit spread in effect as of the Cut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Date for such Collateral Obligation, such reduction in spread being determined by reference to an Eligible Loan Index; or</w:t>
      </w:r>
    </w:p>
    <w:p>
      <w:pPr>
        <w:spacing w:after="0" w:line="177"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Collateral Obligation has a Market Value above the higher of (i) 95% of its Principal Balance and (ii) the initial purchase price paid by the Issuer for such Collateral Obligation.</w:t>
      </w:r>
    </w:p>
    <w:p>
      <w:pPr>
        <w:spacing w:after="0" w:line="158" w:lineRule="exact"/>
        <w:rPr>
          <w:sz w:val="20"/>
          <w:szCs w:val="20"/>
          <w:color w:val="auto"/>
        </w:rPr>
      </w:pPr>
    </w:p>
    <w:p>
      <w:pPr>
        <w:jc w:val="both"/>
        <w:ind w:firstLine="1497"/>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Improved Obligation</w:t>
      </w:r>
      <w:r>
        <w:rPr>
          <w:rFonts w:ascii="Times New Roman" w:cs="Times New Roman" w:eastAsia="Times New Roman" w:hAnsi="Times New Roman"/>
          <w:sz w:val="22"/>
          <w:szCs w:val="22"/>
          <w:color w:val="auto"/>
        </w:rPr>
        <w:t xml:space="preserve">": Any Collateral Obligation which, in the Collateral Manager's judgment, exercised in accordance with the Collateral Management Agreement, has significantly improved in credit quality after it was acquired by the Issuer;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during a Restricted Trading Period, a Collateral Obligation will qualify as a Credit Improved Obligation only if (i) it has been upgraded by any Rating Agency at least one rating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category or has been placed and remains on a credit watch with positive implication by S&amp;P since it was acquired by the Issuer, (ii) the Credit Improved Criteria are satisfied with respect to such Collateral Obligation or (iii) a Majority of the Controlling Class consents to treat such Collateral Obligation as a Credit Improved Obligation.</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Risk Criteria</w:t>
      </w:r>
      <w:r>
        <w:rPr>
          <w:rFonts w:ascii="Times New Roman" w:cs="Times New Roman" w:eastAsia="Times New Roman" w:hAnsi="Times New Roman"/>
          <w:sz w:val="22"/>
          <w:szCs w:val="22"/>
          <w:color w:val="auto"/>
        </w:rPr>
        <w:t>": The criteria that will be met if, with respect to any Collateral Obligation, any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occur:</w:t>
      </w:r>
    </w:p>
    <w:p>
      <w:pPr>
        <w:spacing w:after="0" w:line="182" w:lineRule="exact"/>
        <w:rPr>
          <w:sz w:val="20"/>
          <w:szCs w:val="20"/>
          <w:color w:val="auto"/>
        </w:rPr>
      </w:pPr>
    </w:p>
    <w:p>
      <w:pPr>
        <w:jc w:val="both"/>
        <w:ind w:left="760" w:firstLine="745"/>
        <w:spacing w:after="0" w:line="234" w:lineRule="auto"/>
        <w:tabs>
          <w:tab w:leader="none" w:pos="194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spread over the Benchmark or other Eligible Loan Index for such Collateral Obligation has been increased since the date of purchase by the Issuer by (A) 0.25% or more (in the case of a Collateral Obligation with a spread over the applicable reference rate selected by the Collateral Manager in the exercise of its reasonable business judgment (prior to such increase) less than or equal to 2%), (B) 0.375% or more (in the case of a Collateral Obligation with a spread over the applicable reference rate selected by the Collateral Manager in the exercise of its reasonable business judgment (prior to such increase) greater than 2% but less than or equal to 4%) or (C) 0.5% or more (in the case of a Collateral Obligation with a spread over the applicable reference rate selected by the Collateral Manager in the exercise of its reasonable business judgment (prior to such increase) greater than 4%) due, in each case, to a deterioration in the related Obligor's financial ratios or financial results in accordance with the Underlying Documents relating to such Collateral Obligation; or</w:t>
      </w:r>
    </w:p>
    <w:p>
      <w:pPr>
        <w:spacing w:after="0" w:line="179"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Market Value of such Collateral Obligation has decreased by at least 2.5% of the price paid by the Issuer for such Collateral Obligation due to a deterioration in the related Obligor's financial ratios or financial results in accordance with the Underlying Documents relating to such Collateral Obligation.</w:t>
      </w:r>
    </w:p>
    <w:p>
      <w:pPr>
        <w:spacing w:after="0" w:line="173" w:lineRule="exact"/>
        <w:rPr>
          <w:sz w:val="20"/>
          <w:szCs w:val="20"/>
          <w:color w:val="auto"/>
        </w:rPr>
      </w:pPr>
    </w:p>
    <w:p>
      <w:pPr>
        <w:jc w:val="both"/>
        <w:ind w:firstLine="1497"/>
        <w:spacing w:after="0" w:line="26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Risk Obligation</w:t>
      </w:r>
      <w:r>
        <w:rPr>
          <w:rFonts w:ascii="Times New Roman" w:cs="Times New Roman" w:eastAsia="Times New Roman" w:hAnsi="Times New Roman"/>
          <w:sz w:val="22"/>
          <w:szCs w:val="22"/>
          <w:color w:val="auto"/>
        </w:rPr>
        <w:t xml:space="preserve">": Any Collateral Obligation (other than a Defaulted Obligation) that, in the Collateral Manager's judgment, exercised in accordance with the Collateral Management Agreement, has a significant risk of declining in credit quality or price;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during a Restricted Trading Period, a Collateral Obligation will qualify as a Credit Risk Obligation for purposes of sales of Collateral Obligations only if (i) such Collateral Obligation has been downgraded by any Rating Agency at least one rating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category or has been placed and</w:t>
      </w:r>
    </w:p>
    <w:p>
      <w:pPr>
        <w:spacing w:after="0" w:line="12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remains on a credit watch with negative implication by S&amp;P since it was acquired by the Issuer, (ii) the Credit Risk Criteria are satisfied with respect to such Collateral Obligation or (iii) a Majority of the Controlling Class consents to treat such Collateral Obligation as a Credit Risk Obligation.</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Cumulative Deferred Management Fee</w:t>
      </w:r>
      <w:r>
        <w:rPr>
          <w:rFonts w:ascii="Times New Roman" w:cs="Times New Roman" w:eastAsia="Times New Roman" w:hAnsi="Times New Roman"/>
          <w:sz w:val="22"/>
          <w:szCs w:val="22"/>
          <w:color w:val="auto"/>
        </w:rPr>
        <w:t>": All or a portion of the previously deferred Collateral Management Fees or Collateral Management Fee Shortfall Amounts (including accrued interest prior to the Payment Date on which the payment of such Collateral Management Fee Shortfall Amount was deferred by the Collateral Manager), which may be declared due and payable by the Collateral Manager on any Payment Date.</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Current Deferred Management Fee</w:t>
      </w:r>
      <w:r>
        <w:rPr>
          <w:rFonts w:ascii="Times New Roman" w:cs="Times New Roman" w:eastAsia="Times New Roman" w:hAnsi="Times New Roman"/>
          <w:sz w:val="22"/>
          <w:szCs w:val="22"/>
          <w:color w:val="auto"/>
        </w:rPr>
        <w:t>": With respect to a Payment Date, all or a portion of the Collateral Management Fees or Collateral Management Fee Shortfall Amounts (including accrued interest), due and owing to the Collateral Manager the payment of which is voluntarily deferred (for payment on a subsequent Payment Date), without interest, by the Collateral Manager.</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Current Pay Obligation</w:t>
      </w:r>
      <w:r>
        <w:rPr>
          <w:rFonts w:ascii="Times New Roman" w:cs="Times New Roman" w:eastAsia="Times New Roman" w:hAnsi="Times New Roman"/>
          <w:sz w:val="22"/>
          <w:szCs w:val="22"/>
          <w:color w:val="auto"/>
        </w:rPr>
        <w:t>": Any Collateral Obligation (other than a DIP Collateral Obligation) that would otherwise be treated as a Defaulted Obligation but as to which no payments are due and payable that are unpaid and with respect to which the Collateral Manager has certified to the Collateral Trustee and the Collateral Administrator in writing that it believes, in its reasonable business judgment, that (a) the Obligor of such Collateral Obligation is current on all interest payments, principal payments and other amounts due and payable thereunder and will continue to make scheduled payments of interest thereon and will pay the principal thereof and all other amounts due and payable thereunder by maturity or as otherwise contractually due, (b) if the Obligor is subject to a bankruptcy proceeding, it has been the subject of an order of a bankruptcy court that permits it to make the scheduled payments on such Collateral Obligation and all interest payments, principal payments and other amounts due and payable thereunder have been paid in Cash when due and (c) (A) has an S&amp;P Rating of at least "CCC+" and a Market Value of at least 80% of its par value or (B) has an S&amp;P Rating of at least "CCC" and its Market Value is at least 85% of its par value (Market Value being determined, solely for the purposes of clause (c) without taking into consideration clause (iii) of the definition of the term "Market Value").</w:t>
      </w:r>
    </w:p>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Current Portfolio</w:t>
      </w:r>
      <w:r>
        <w:rPr>
          <w:rFonts w:ascii="Times New Roman" w:cs="Times New Roman" w:eastAsia="Times New Roman" w:hAnsi="Times New Roman"/>
          <w:sz w:val="22"/>
          <w:szCs w:val="22"/>
          <w:color w:val="auto"/>
        </w:rPr>
        <w:t xml:space="preserve">": At any time, the portfolio of Collateral Obligations, Cash and Eligible Investments representing Principal Proceeds (determined in accordance with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to the extent applicable), then held by the Issuer.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Custodial Account</w:t>
      </w:r>
      <w:r>
        <w:rPr>
          <w:rFonts w:ascii="Times New Roman" w:cs="Times New Roman" w:eastAsia="Times New Roman" w:hAnsi="Times New Roman"/>
          <w:sz w:val="22"/>
          <w:szCs w:val="22"/>
          <w:color w:val="auto"/>
        </w:rPr>
        <w:t xml:space="preserve">": The account established pursuant to </w:t>
      </w:r>
      <w:r>
        <w:rPr>
          <w:rFonts w:ascii="Times New Roman" w:cs="Times New Roman" w:eastAsia="Times New Roman" w:hAnsi="Times New Roman"/>
          <w:sz w:val="22"/>
          <w:szCs w:val="22"/>
          <w:u w:val="single" w:color="auto"/>
          <w:color w:val="auto"/>
        </w:rPr>
        <w:t>Section 10.3(b)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Custodian</w:t>
      </w:r>
      <w:r>
        <w:rPr>
          <w:rFonts w:ascii="Times New Roman" w:cs="Times New Roman" w:eastAsia="Times New Roman" w:hAnsi="Times New Roman"/>
          <w:sz w:val="22"/>
          <w:szCs w:val="22"/>
          <w:color w:val="auto"/>
        </w:rPr>
        <w:t>": The custodian appointed by the Issuer, initially Western Alliance Trust Company, N.A., in its capacity as custodian under the Securities Account Control Agreement, together with its successors and assigns, as applicable, which custodian shall be a Securities Intermediary.</w:t>
      </w:r>
    </w:p>
    <w:p>
      <w:pPr>
        <w:spacing w:after="0" w:line="139"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Cut</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Off Date</w:t>
      </w:r>
      <w:r>
        <w:rPr>
          <w:rFonts w:ascii="Times New Roman" w:cs="Times New Roman" w:eastAsia="Times New Roman" w:hAnsi="Times New Roman"/>
          <w:sz w:val="22"/>
          <w:szCs w:val="22"/>
          <w:color w:val="auto"/>
        </w:rPr>
        <w:t>": Each date on or after the Closing Date on which a Collateral Obligation is transferred to the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w:t>
      </w:r>
      <w:r>
        <w:rPr>
          <w:rFonts w:ascii="Times New Roman" w:cs="Times New Roman" w:eastAsia="Times New Roman" w:hAnsi="Times New Roman"/>
          <w:sz w:val="22"/>
          <w:szCs w:val="22"/>
          <w:color w:val="auto"/>
        </w:rPr>
        <w:t>": The Secured Debt and the Subordinated Notes, collectively.</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Interest Amount</w:t>
      </w:r>
      <w:r>
        <w:rPr>
          <w:rFonts w:ascii="Times New Roman" w:cs="Times New Roman" w:eastAsia="Times New Roman" w:hAnsi="Times New Roman"/>
          <w:sz w:val="22"/>
          <w:szCs w:val="22"/>
          <w:color w:val="auto"/>
        </w:rPr>
        <w:t>": With respect to any Class of Secured Debt and any Payment Date, the amount of interest for the related Interest Accrual Period payable in respect of each U.S.$100,000 of outstanding principal amount of such Class of Secured Debt.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 Payment Sequence</w:t>
      </w:r>
      <w:r>
        <w:rPr>
          <w:rFonts w:ascii="Times New Roman" w:cs="Times New Roman" w:eastAsia="Times New Roman" w:hAnsi="Times New Roman"/>
          <w:sz w:val="21"/>
          <w:szCs w:val="21"/>
          <w:color w:val="auto"/>
        </w:rPr>
        <w:t>": The application, in accordance with the Priority of Payments, of Interest Proceeds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 Proceeds, as applicable, in the following order:</w:t>
      </w:r>
    </w:p>
    <w:p>
      <w:pPr>
        <w:spacing w:after="0" w:line="178" w:lineRule="exact"/>
        <w:rPr>
          <w:sz w:val="20"/>
          <w:szCs w:val="20"/>
          <w:color w:val="auto"/>
        </w:rPr>
      </w:pPr>
    </w:p>
    <w:p>
      <w:pPr>
        <w:jc w:val="both"/>
        <w:ind w:left="1500" w:firstLine="1024"/>
        <w:spacing w:after="0" w:line="246" w:lineRule="auto"/>
        <w:tabs>
          <w:tab w:leader="none" w:pos="295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payment,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based on their respective Aggregate Outstanding Amounts, of principal of the Class A-1 Notes, the Class A-1L-A Loans and the Class A-1L-B Loans, until the Class A-1 Notes, Class A-1L-A Loans and the Class A-1L-B Loans have been paid in full;</w:t>
      </w:r>
    </w:p>
    <w:p>
      <w:pPr>
        <w:spacing w:after="0" w:line="171" w:lineRule="exact"/>
        <w:rPr>
          <w:rFonts w:ascii="Times New Roman" w:cs="Times New Roman" w:eastAsia="Times New Roman" w:hAnsi="Times New Roman"/>
          <w:sz w:val="22"/>
          <w:szCs w:val="22"/>
          <w:color w:val="auto"/>
        </w:rPr>
      </w:pPr>
    </w:p>
    <w:p>
      <w:pPr>
        <w:ind w:left="2960" w:hanging="436"/>
        <w:spacing w:after="0"/>
        <w:tabs>
          <w:tab w:leader="none" w:pos="29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payment of principal of the Class A-2 Notes, until the Class A-2 Notes have been paid in</w:t>
      </w:r>
    </w:p>
    <w:p>
      <w:pPr>
        <w:spacing w:after="0" w:line="25" w:lineRule="exact"/>
        <w:rPr>
          <w:rFonts w:ascii="Times New Roman" w:cs="Times New Roman" w:eastAsia="Times New Roman" w:hAnsi="Times New Roman"/>
          <w:sz w:val="21"/>
          <w:szCs w:val="21"/>
          <w:color w:val="auto"/>
        </w:rPr>
      </w:pPr>
    </w:p>
    <w:p>
      <w:pPr>
        <w:ind w:left="1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full;</w:t>
      </w:r>
    </w:p>
    <w:p>
      <w:pPr>
        <w:spacing w:after="0" w:line="182" w:lineRule="exact"/>
        <w:rPr>
          <w:rFonts w:ascii="Times New Roman" w:cs="Times New Roman" w:eastAsia="Times New Roman" w:hAnsi="Times New Roman"/>
          <w:sz w:val="21"/>
          <w:szCs w:val="21"/>
          <w:color w:val="auto"/>
        </w:rPr>
      </w:pPr>
    </w:p>
    <w:p>
      <w:pPr>
        <w:ind w:left="2960" w:hanging="436"/>
        <w:spacing w:after="0"/>
        <w:tabs>
          <w:tab w:leader="none" w:pos="29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payment of principal of the Class B Notes, until the Class B Notes have been paid in full;</w:t>
      </w:r>
    </w:p>
    <w:p>
      <w:pPr>
        <w:spacing w:after="0" w:line="217" w:lineRule="exact"/>
        <w:rPr>
          <w:rFonts w:ascii="Times New Roman" w:cs="Times New Roman" w:eastAsia="Times New Roman" w:hAnsi="Times New Roman"/>
          <w:sz w:val="21"/>
          <w:szCs w:val="21"/>
          <w:color w:val="auto"/>
        </w:rPr>
      </w:pPr>
    </w:p>
    <w:p>
      <w:pPr>
        <w:jc w:val="both"/>
        <w:ind w:left="1500" w:right="20" w:firstLine="1024"/>
        <w:spacing w:after="0" w:line="244" w:lineRule="auto"/>
        <w:tabs>
          <w:tab w:leader="none" w:pos="295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any accrued and unpaid interest (excluding Deferred Interest but including interest on Deferred Interest) and then any Deferred Interest on the Class C Notes until such amounts have been paid in full;</w:t>
      </w:r>
    </w:p>
    <w:p>
      <w:pPr>
        <w:spacing w:after="0" w:line="173" w:lineRule="exact"/>
        <w:rPr>
          <w:rFonts w:ascii="Times New Roman" w:cs="Times New Roman" w:eastAsia="Times New Roman" w:hAnsi="Times New Roman"/>
          <w:sz w:val="22"/>
          <w:szCs w:val="22"/>
          <w:color w:val="auto"/>
        </w:rPr>
      </w:pPr>
    </w:p>
    <w:p>
      <w:pPr>
        <w:ind w:left="2960" w:hanging="436"/>
        <w:spacing w:after="0"/>
        <w:tabs>
          <w:tab w:leader="none" w:pos="29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payment of principal of the Class C Notes until the Class C Notes have been paid in full;</w:t>
      </w:r>
    </w:p>
    <w:p>
      <w:pPr>
        <w:spacing w:after="0" w:line="217" w:lineRule="exact"/>
        <w:rPr>
          <w:rFonts w:ascii="Times New Roman" w:cs="Times New Roman" w:eastAsia="Times New Roman" w:hAnsi="Times New Roman"/>
          <w:sz w:val="21"/>
          <w:szCs w:val="21"/>
          <w:color w:val="auto"/>
        </w:rPr>
      </w:pPr>
    </w:p>
    <w:p>
      <w:pPr>
        <w:jc w:val="both"/>
        <w:ind w:left="1500" w:right="20" w:firstLine="1024"/>
        <w:spacing w:after="0" w:line="244" w:lineRule="auto"/>
        <w:tabs>
          <w:tab w:leader="none" w:pos="295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any accrued and unpaid interest (excluding Deferred Interest but including interest on Deferred Interest) and then any Deferred Interest on the Class D Notes until such amounts have been paid in full; and</w:t>
      </w:r>
    </w:p>
    <w:p>
      <w:pPr>
        <w:spacing w:after="0" w:line="173" w:lineRule="exact"/>
        <w:rPr>
          <w:rFonts w:ascii="Times New Roman" w:cs="Times New Roman" w:eastAsia="Times New Roman" w:hAnsi="Times New Roman"/>
          <w:sz w:val="22"/>
          <w:szCs w:val="22"/>
          <w:color w:val="auto"/>
        </w:rPr>
      </w:pPr>
    </w:p>
    <w:p>
      <w:pPr>
        <w:ind w:left="2960" w:hanging="436"/>
        <w:spacing w:after="0"/>
        <w:tabs>
          <w:tab w:leader="none" w:pos="29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payment of principal of the Class D Notes until the Class D Notes have been paid in full;</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connection with any Tax Redemption, Clean-Up Call Redemption or Optional Redemption of the Secured Debt in whole, holders of 100% of the Aggregate Outstanding Amount of any Class of Secured Debt may elect to receive less than 100% of the Redemption Price that would otherwise be payable to the Holders of such Class of Secured Debt.</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Any Event of Default or any occurrence that is, or with notice or the lapse of time or both would become, an Event of Default.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 Dispersion</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Obligation</w:t>
      </w:r>
      <w:r>
        <w:rPr>
          <w:rFonts w:ascii="Times New Roman" w:cs="Times New Roman" w:eastAsia="Times New Roman" w:hAnsi="Times New Roman"/>
          <w:sz w:val="22"/>
          <w:szCs w:val="22"/>
          <w:color w:val="auto"/>
        </w:rPr>
        <w:t>": Any obligation which is (i) a Collateral Restructured Asset, unless and until such Collateral Restructured Asset constitutes a Collateral Obligation without regard to any carveouts for Collateral Restructured Assets set forth in the definition of "Collateral Obligation" (and which, for the avoidance of doubt, does not constitute a Defaulted Obligation pursuant to clause (ii) of this definition) or (ii) a Collateral Obligation included in the Assets as to which:</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85" w:lineRule="exact"/>
        <w:rPr>
          <w:sz w:val="20"/>
          <w:szCs w:val="20"/>
          <w:color w:val="auto"/>
        </w:rPr>
      </w:pPr>
    </w:p>
    <w:p>
      <w:pPr>
        <w:jc w:val="both"/>
        <w:ind w:left="760" w:firstLine="745"/>
        <w:spacing w:after="0" w:line="239" w:lineRule="auto"/>
        <w:tabs>
          <w:tab w:leader="none" w:pos="194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as to the payment of principal and/or interest has occurred and is continuing with respect to such Collateral Obligation (without regard to any grace period applicable thereto (except as otherwise provided in this clause (a)), or waiver or forbearance thereof, after the passage of five Business Days or seven calendar days, whichever is greater, but in no case beyond the passage of any grace period applicable thereto);</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default as to the payment of principal and/or interest has occurred and is continuing on another debt obligation of the same Obligor which is senior or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 right of payment to such Collateral Obligation (without regard to any grace period applicable thereto (except as otherwise provided in this clause (b)), or waiver or forbearance thereof, after the passage of three Business Days or five calendar days, whichever is greater, but in no case beyond the passage of any grace period applicable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both the Collateral Obligation and such other debt obligation are full recourse obligations of the applicable Obligor or secured by the same collateral);</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Obligor or others have instituted proceedings to have the Obligor adjudicated as bankrupt or insolvent or placed into receivership and such proceedings have not been stayed or dismissed or such Obligor has filed for protection under Chapter 11 of the Bankruptcy Code;</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Collateral Obligation has an S&amp;P Rating of "SD" or "CC" or lower or had such rating before such rating was withdrawn;</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has received notice or a Responsible Officer thereof has actual knowledge that a default has occurred under the Underlying Documents and any applicable grace period has expired and the holders of such Collateral Obligation have accelerated the repayment of the Collateral Obligation (but only until such acceleration has been rescinded) in the manner provided in the Underlying Documents;</w:t>
      </w:r>
    </w:p>
    <w:p>
      <w:pPr>
        <w:spacing w:after="0" w:line="180"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has in its reasonable commercial judgment otherwise declared such debt obligation to be a "Defaulted Obligation";</w:t>
      </w:r>
    </w:p>
    <w:p>
      <w:pPr>
        <w:spacing w:after="0" w:line="158"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Collateral Obligation is a Participation Interest with respect to which the Selling Institution has defaulted in any respect in the performance of any of its payment obligations under the Participation Interest; or</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Collateral Obligation is a Participation Interest in a Loan that would, if such Loan were a Collateral Obligation, constitute a "Defaulted Obligation" or with respect to which the Selling Institution has an S&amp;P Rating of "CC" or lower or had such rating before such rating was withdrawn;</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a Collateral Obligation shall not constitute a Defaulted Obligation pursuant to clauses (b) through (e) above if such Collateral Obligation (or, in the case of a Participation Interest, the underlying Loan) is a Current Pay Obligation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Principal Balance of Current Pay Obligations exceeding 5.0% of the Collateral</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Principal Amount will be treated as Defaulted Obligations) and (2) a Collateral Obligation shall not constitute a Defaulted Obligation pursuant to clauses (b), (c) and (e) above if such Collateral Obligation (or, in the case of a Participation Interest, the underlying Loan) is a DIP Collateral Obligation (other than a DIP Collateral Obligation that has an S&amp;P Rating of "CC" or lower).</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Notwithstanding anything in this Indenture to the contrary, the Collateral Manager shall give the Collateral Trustee and the Collateral Administrator prompt written notice should any Collateral Obligation become a Defaulted Obligation. Until so notified that a Collateral Obligation has become a Defaulted Obligation, the Collateral Trustee and the Collateral Administrator shall not be deemed to have any notice or knowledge that a Collateral Obligation has become a Defaulted Obligation. The Collateral Trustee and the Collateral Administrator shall be entitled to conclusively rely upon such notice from the Collateral Manager and shall have no liability for relying thereon. Notwithstanding the foregoing, the Collateral Trustee shall remain obligated to perform its duties set forth in and in accordance with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hereof.</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Obligation Balance</w:t>
      </w:r>
      <w:r>
        <w:rPr>
          <w:rFonts w:ascii="Times New Roman" w:cs="Times New Roman" w:eastAsia="Times New Roman" w:hAnsi="Times New Roman"/>
          <w:sz w:val="22"/>
          <w:szCs w:val="22"/>
          <w:color w:val="auto"/>
        </w:rPr>
        <w:t xml:space="preserve">": For any Defaulted Obligation, the S&amp;P Collateral Value of such Defaulted Obligation;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Defaulted Obligation Balance will be zero if the Issuer has owned such Defaulted Obligation for more than three years after its default date.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Deferrable Notes</w:t>
      </w:r>
      <w:r>
        <w:rPr>
          <w:rFonts w:ascii="Times New Roman" w:cs="Times New Roman" w:eastAsia="Times New Roman" w:hAnsi="Times New Roman"/>
          <w:sz w:val="22"/>
          <w:szCs w:val="22"/>
          <w:color w:val="auto"/>
        </w:rPr>
        <w:t>": The Class C Notes and/or the Class D Notes.</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Deferrable Obligation</w:t>
      </w:r>
      <w:r>
        <w:rPr>
          <w:rFonts w:ascii="Times New Roman" w:cs="Times New Roman" w:eastAsia="Times New Roman" w:hAnsi="Times New Roman"/>
          <w:sz w:val="22"/>
          <w:szCs w:val="22"/>
          <w:color w:val="auto"/>
        </w:rPr>
        <w:t>": A Collateral Obligation (not including any Partial Deferrable Obligation) that by its terms permits the deferral or capitalization of payment of accrued, unpaid interest.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Interest</w:t>
      </w:r>
      <w:r>
        <w:rPr>
          <w:rFonts w:ascii="Times New Roman" w:cs="Times New Roman" w:eastAsia="Times New Roman" w:hAnsi="Times New Roman"/>
          <w:sz w:val="22"/>
          <w:szCs w:val="22"/>
          <w:color w:val="auto"/>
        </w:rPr>
        <w:t xml:space="preserve">": With respect to each Class of Deferrable Notes, the meaning specified in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Deferring Obligation</w:t>
      </w:r>
      <w:r>
        <w:rPr>
          <w:rFonts w:ascii="Times New Roman" w:cs="Times New Roman" w:eastAsia="Times New Roman" w:hAnsi="Times New Roman"/>
          <w:sz w:val="22"/>
          <w:szCs w:val="22"/>
          <w:color w:val="auto"/>
        </w:rPr>
        <w:t>": A Deferrable Obligation that is deferring the payment of the cash interest due thereon and has been so deferring the payment of cash interest due thereon (i) with respect to Collateral Obligations that have an S&amp;P Rating of at least "BBB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for the shorter of two consecutive accrual periods or one year, and (ii) with respect to Collateral Obligations that have an S&amp;P Rating of "BB+" or below, for the shorter of one accrual period or six consecutive months, which deferred capitalized interest has not, as of the date of determination, been paid in Cash.</w:t>
      </w:r>
    </w:p>
    <w:p>
      <w:pPr>
        <w:spacing w:after="0" w:line="180" w:lineRule="exact"/>
        <w:rPr>
          <w:sz w:val="20"/>
          <w:szCs w:val="20"/>
          <w:color w:val="auto"/>
        </w:rPr>
      </w:pPr>
    </w:p>
    <w:p>
      <w:pPr>
        <w:jc w:val="both"/>
        <w:ind w:firstLine="1497"/>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Delayed Drawdown Collateral Obligation</w:t>
      </w:r>
      <w:r>
        <w:rPr>
          <w:rFonts w:ascii="Times New Roman" w:cs="Times New Roman" w:eastAsia="Times New Roman" w:hAnsi="Times New Roman"/>
          <w:sz w:val="22"/>
          <w:szCs w:val="22"/>
          <w:color w:val="auto"/>
        </w:rPr>
        <w:t>": A Collateral Obligation that (a) requires the Issuer to make one or more future advances to the borrower under the Underlying Documents relating thereto, (b) specifies a maximum amount that can be borrowed on one or more fixed borrowing dates, and (c) does not permit the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borrowing of any amount previously repaid by the borrower thereunder; but any such Collateral Obligation will be a Delayed Drawdown Collateral Obligation only until all commitments by the Issuer to make advances to the borrower expire or are terminated or are reduced to zero.</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Delayed Funding Restructured Asset</w:t>
      </w:r>
      <w:r>
        <w:rPr>
          <w:rFonts w:ascii="Times New Roman" w:cs="Times New Roman" w:eastAsia="Times New Roman" w:hAnsi="Times New Roman"/>
          <w:sz w:val="22"/>
          <w:szCs w:val="22"/>
          <w:color w:val="auto"/>
        </w:rPr>
        <w:t>": A Restructured Asset that does not satisfy clause (x) of the definition of "Collateral Obligation."</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Deliver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Delivered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Delivery</w:t>
      </w:r>
      <w:r>
        <w:rPr>
          <w:rFonts w:ascii="Times New Roman" w:cs="Times New Roman" w:eastAsia="Times New Roman" w:hAnsi="Times New Roman"/>
          <w:sz w:val="22"/>
          <w:szCs w:val="22"/>
          <w:color w:val="auto"/>
        </w:rPr>
        <w:t>": The taking of the following steps:</w:t>
      </w:r>
    </w:p>
    <w:p>
      <w:pPr>
        <w:spacing w:after="0" w:line="206" w:lineRule="exact"/>
        <w:rPr>
          <w:sz w:val="20"/>
          <w:szCs w:val="20"/>
          <w:color w:val="auto"/>
        </w:rPr>
      </w:pPr>
    </w:p>
    <w:p>
      <w:pPr>
        <w:ind w:left="1500" w:right="80" w:firstLine="1024"/>
        <w:spacing w:after="0" w:line="258" w:lineRule="auto"/>
        <w:tabs>
          <w:tab w:leader="none" w:pos="295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each Certificated Security (other than a Clearing Corporation Security), Instrument and Participation Interest in which the underlying loan is represented by an Instrument,</w:t>
      </w:r>
    </w:p>
    <w:p>
      <w:pPr>
        <w:spacing w:after="0" w:line="158"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the delivery of such Certificated Security or Instrument to the Custodian by registering the same in the name of the Custodian or its affiliated nominee or by endorsing the same to the Custodian or in blank;</w:t>
      </w:r>
    </w:p>
    <w:p>
      <w:pPr>
        <w:spacing w:after="0" w:line="173" w:lineRule="exact"/>
        <w:rPr>
          <w:rFonts w:ascii="Times New Roman" w:cs="Times New Roman" w:eastAsia="Times New Roman" w:hAnsi="Times New Roman"/>
          <w:sz w:val="22"/>
          <w:szCs w:val="22"/>
          <w:color w:val="auto"/>
        </w:rPr>
      </w:pPr>
    </w:p>
    <w:p>
      <w:pPr>
        <w:ind w:left="1500" w:right="40" w:firstLine="754"/>
        <w:spacing w:after="0" w:line="258" w:lineRule="auto"/>
        <w:tabs>
          <w:tab w:leader="none" w:pos="268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the Custodian to indicate continuously on its books and records that such Certificated Security or Instrument is credited to the applicable Account; and</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the Custodian to maintain continuous possession of such Certificated Security or</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Instrument;</w:t>
      </w:r>
    </w:p>
    <w:p>
      <w:pPr>
        <w:spacing w:after="0" w:line="182" w:lineRule="exact"/>
        <w:rPr>
          <w:rFonts w:ascii="Times New Roman" w:cs="Times New Roman" w:eastAsia="Times New Roman" w:hAnsi="Times New Roman"/>
          <w:sz w:val="22"/>
          <w:szCs w:val="22"/>
          <w:color w:val="auto"/>
        </w:rPr>
      </w:pPr>
    </w:p>
    <w:p>
      <w:pPr>
        <w:ind w:left="2960" w:hanging="436"/>
        <w:spacing w:after="0"/>
        <w:tabs>
          <w:tab w:leader="none" w:pos="296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each Uncertificated Security (other than a Clearing Corporation Security),</w:t>
      </w:r>
    </w:p>
    <w:p>
      <w:pPr>
        <w:spacing w:after="0" w:line="206" w:lineRule="exact"/>
        <w:rPr>
          <w:sz w:val="20"/>
          <w:szCs w:val="20"/>
          <w:color w:val="auto"/>
        </w:rPr>
      </w:pPr>
    </w:p>
    <w:p>
      <w:pPr>
        <w:ind w:left="1500" w:right="40" w:firstLine="754"/>
        <w:spacing w:after="0" w:line="258" w:lineRule="auto"/>
        <w:tabs>
          <w:tab w:leader="none" w:pos="268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such Uncertificated Security to be continuously registered on the books of the issuer thereof to the Custodian; and</w:t>
      </w:r>
    </w:p>
    <w:p>
      <w:pPr>
        <w:spacing w:after="0" w:line="158"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the Custodian to indicate continuously on its books and records that such Uncertificated Security is credited to the applicable Account;</w:t>
      </w:r>
    </w:p>
    <w:p>
      <w:pPr>
        <w:spacing w:after="0" w:line="158" w:lineRule="exact"/>
        <w:rPr>
          <w:sz w:val="20"/>
          <w:szCs w:val="20"/>
          <w:color w:val="auto"/>
        </w:rPr>
      </w:pPr>
    </w:p>
    <w:p>
      <w:pPr>
        <w:ind w:left="2960" w:hanging="436"/>
        <w:spacing w:after="0"/>
        <w:tabs>
          <w:tab w:leader="none" w:pos="296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each Clearing Corporation Security,</w:t>
      </w:r>
    </w:p>
    <w:p>
      <w:pPr>
        <w:spacing w:after="0" w:line="206" w:lineRule="exact"/>
        <w:rPr>
          <w:rFonts w:ascii="Times New Roman" w:cs="Times New Roman" w:eastAsia="Times New Roman" w:hAnsi="Times New Roman"/>
          <w:sz w:val="22"/>
          <w:szCs w:val="22"/>
          <w:color w:val="auto"/>
        </w:rPr>
      </w:pPr>
    </w:p>
    <w:p>
      <w:pPr>
        <w:ind w:left="1500" w:right="40" w:firstLine="754"/>
        <w:spacing w:after="0" w:line="258" w:lineRule="auto"/>
        <w:tabs>
          <w:tab w:leader="none" w:pos="268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the relevant Clearing Corporation to credit such Clearing Corporation Security to the securities account of the Custodian; and</w:t>
      </w:r>
    </w:p>
    <w:p>
      <w:pPr>
        <w:spacing w:after="0" w:line="158" w:lineRule="exact"/>
        <w:rPr>
          <w:rFonts w:ascii="Times New Roman" w:cs="Times New Roman" w:eastAsia="Times New Roman" w:hAnsi="Times New Roman"/>
          <w:sz w:val="22"/>
          <w:szCs w:val="22"/>
          <w:color w:val="auto"/>
        </w:rPr>
      </w:pPr>
    </w:p>
    <w:p>
      <w:pPr>
        <w:ind w:left="1500" w:right="60" w:firstLine="754"/>
        <w:spacing w:after="0" w:line="258" w:lineRule="auto"/>
        <w:tabs>
          <w:tab w:leader="none" w:pos="268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the Custodian to indicate continuously on its books and records that such Clearing Corporation Security is credited to the applicable Account;</w:t>
      </w:r>
    </w:p>
    <w:p>
      <w:pPr>
        <w:spacing w:after="0" w:line="158" w:lineRule="exact"/>
        <w:rPr>
          <w:sz w:val="20"/>
          <w:szCs w:val="20"/>
          <w:color w:val="auto"/>
        </w:rPr>
      </w:pPr>
    </w:p>
    <w:p>
      <w:pPr>
        <w:jc w:val="both"/>
        <w:ind w:left="1500" w:firstLine="1024"/>
        <w:spacing w:after="0" w:line="261" w:lineRule="exact"/>
        <w:tabs>
          <w:tab w:leader="none" w:pos="295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each security issued or guaranteed by the United States of America or agency or instrumentality thereof and that is maintained in book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entry records of a Federal Reserve Bank ("</w:t>
      </w:r>
      <w:r>
        <w:rPr>
          <w:rFonts w:ascii="Times New Roman" w:cs="Times New Roman" w:eastAsia="Times New Roman" w:hAnsi="Times New Roman"/>
          <w:sz w:val="22"/>
          <w:szCs w:val="22"/>
          <w:u w:val="single" w:color="auto"/>
          <w:color w:val="auto"/>
        </w:rPr>
        <w:t>FRB</w:t>
      </w:r>
      <w:r>
        <w:rPr>
          <w:rFonts w:ascii="Times New Roman" w:cs="Times New Roman" w:eastAsia="Times New Roman" w:hAnsi="Times New Roman"/>
          <w:sz w:val="22"/>
          <w:szCs w:val="22"/>
          <w:color w:val="auto"/>
        </w:rPr>
        <w:t>") (each such security, a "</w:t>
      </w:r>
      <w:r>
        <w:rPr>
          <w:rFonts w:ascii="Times New Roman" w:cs="Times New Roman" w:eastAsia="Times New Roman" w:hAnsi="Times New Roman"/>
          <w:sz w:val="22"/>
          <w:szCs w:val="22"/>
          <w:u w:val="single" w:color="auto"/>
          <w:color w:val="auto"/>
        </w:rPr>
        <w:t>Government Security</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the creation of a Security Entitlement to such Government Security by the credit of such Government Security to the securities account of the Custodian at such FRB; and</w:t>
      </w:r>
    </w:p>
    <w:p>
      <w:pPr>
        <w:spacing w:after="0" w:line="158" w:lineRule="exact"/>
        <w:rPr>
          <w:rFonts w:ascii="Times New Roman" w:cs="Times New Roman" w:eastAsia="Times New Roman" w:hAnsi="Times New Roman"/>
          <w:sz w:val="22"/>
          <w:szCs w:val="22"/>
          <w:color w:val="auto"/>
        </w:rPr>
      </w:pPr>
    </w:p>
    <w:p>
      <w:pPr>
        <w:ind w:left="1500" w:right="40" w:firstLine="754"/>
        <w:spacing w:after="0" w:line="258" w:lineRule="auto"/>
        <w:tabs>
          <w:tab w:leader="none" w:pos="268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the Custodian to indicate continuously on its books and records that such Government Security is credited to the applicable Account;</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85" w:lineRule="exact"/>
        <w:rPr>
          <w:sz w:val="20"/>
          <w:szCs w:val="20"/>
          <w:color w:val="auto"/>
        </w:rPr>
      </w:pPr>
    </w:p>
    <w:p>
      <w:pPr>
        <w:ind w:left="2960" w:hanging="436"/>
        <w:spacing w:after="0"/>
        <w:tabs>
          <w:tab w:leader="none" w:pos="296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each Security Entitlement not governed by clauses (i) through (iv) above,</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a Securities Intermediary (x) to indicate on its books and records that the underlying Financial Asset has been credited to the Custodian's securities account, (y) to receive a Financial Asset from a Securities Intermediary or acquire the underlying Financial Asset for a Securities Intermediary, and in either case, accepting it for credit to the Custodian's securities account or (z) to become obligated under other law, regulation or rule to credit the underlying Financial Asset to a Securities Intermediary's securities account;</w:t>
      </w:r>
    </w:p>
    <w:p>
      <w:pPr>
        <w:spacing w:after="0" w:line="176"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such Securities Intermediary to make entries on its books and records continuously identifying such Security Entitlement as belonging to the Custodian and continuously indicating on its books and records that such Security Entitlement is credited to the Custodian's securities account; and</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the Custodian to indicate continuously on its books and records that such Security Entitlement (or all rights and property of the Custodian representing such Security Entitlement) is credited to the applicable Account;</w:t>
      </w:r>
    </w:p>
    <w:p>
      <w:pPr>
        <w:spacing w:after="0" w:line="173" w:lineRule="exact"/>
        <w:rPr>
          <w:sz w:val="20"/>
          <w:szCs w:val="20"/>
          <w:color w:val="auto"/>
        </w:rPr>
      </w:pPr>
    </w:p>
    <w:p>
      <w:pPr>
        <w:ind w:left="2960" w:hanging="436"/>
        <w:spacing w:after="0"/>
        <w:tabs>
          <w:tab w:leader="none" w:pos="296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Cash or Money,</w:t>
      </w:r>
    </w:p>
    <w:p>
      <w:pPr>
        <w:spacing w:after="0" w:line="206"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the delivery of such Cash or Money to the Collateral Trustee for credit to the applicable Account or to the Custodian;</w:t>
      </w:r>
    </w:p>
    <w:p>
      <w:pPr>
        <w:spacing w:after="0" w:line="158" w:lineRule="exact"/>
        <w:rPr>
          <w:rFonts w:ascii="Times New Roman" w:cs="Times New Roman" w:eastAsia="Times New Roman" w:hAnsi="Times New Roman"/>
          <w:sz w:val="22"/>
          <w:szCs w:val="22"/>
          <w:color w:val="auto"/>
        </w:rPr>
      </w:pPr>
    </w:p>
    <w:p>
      <w:pPr>
        <w:jc w:val="both"/>
        <w:ind w:left="1500" w:firstLine="754"/>
        <w:spacing w:after="0" w:line="253" w:lineRule="exact"/>
        <w:tabs>
          <w:tab w:leader="none" w:pos="26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delivered to the Custodian, causing the Custodian to treat such Cash or Money as a Financial Asset maintained by such Custodian for credit to the applicable Account in accordance with the provisions of Article 8 of the UCC or causing the Custodian to deposit such Cash or Money to a deposit account over which the Custodian has control (within the meaning of Section 9</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104 of the UCC) for the benefit of the Collateral Trustee; and</w:t>
      </w:r>
    </w:p>
    <w:p>
      <w:pPr>
        <w:spacing w:after="0" w:line="179" w:lineRule="exact"/>
        <w:rPr>
          <w:rFonts w:ascii="Times New Roman" w:cs="Times New Roman" w:eastAsia="Times New Roman" w:hAnsi="Times New Roman"/>
          <w:sz w:val="22"/>
          <w:szCs w:val="22"/>
          <w:color w:val="auto"/>
        </w:rPr>
      </w:pPr>
    </w:p>
    <w:p>
      <w:pPr>
        <w:ind w:left="1500" w:firstLine="754"/>
        <w:spacing w:after="0" w:line="258" w:lineRule="auto"/>
        <w:tabs>
          <w:tab w:leader="none" w:pos="26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the Custodian to indicate continuously on its books and records that such Cash or Money is credited to the applicable Account; and</w:t>
      </w:r>
    </w:p>
    <w:p>
      <w:pPr>
        <w:spacing w:after="0" w:line="158" w:lineRule="exact"/>
        <w:rPr>
          <w:rFonts w:ascii="Times New Roman" w:cs="Times New Roman" w:eastAsia="Times New Roman" w:hAnsi="Times New Roman"/>
          <w:sz w:val="22"/>
          <w:szCs w:val="22"/>
          <w:color w:val="auto"/>
        </w:rPr>
      </w:pPr>
    </w:p>
    <w:p>
      <w:pPr>
        <w:jc w:val="both"/>
        <w:ind w:left="1500" w:firstLine="1024"/>
        <w:spacing w:after="0" w:line="239" w:lineRule="auto"/>
        <w:tabs>
          <w:tab w:leader="none" w:pos="295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each general intangible (including any Participation Interest in which neither the Participation Interest nor the underlying loan is represented by an Instrument), causing the filing of a Financing Statement in the Delaware Division of Corporations of the State of Delaware naming the Issuer as debtor and the Collateral Trustee as secured party.</w:t>
      </w:r>
    </w:p>
    <w:p>
      <w:pPr>
        <w:spacing w:after="0" w:line="180" w:lineRule="exact"/>
        <w:rPr>
          <w:sz w:val="20"/>
          <w:szCs w:val="20"/>
          <w:color w:val="auto"/>
        </w:rPr>
      </w:pPr>
    </w:p>
    <w:p>
      <w:pPr>
        <w:jc w:val="both"/>
        <w:ind w:firstLine="1497"/>
        <w:spacing w:after="0" w:line="271" w:lineRule="exact"/>
        <w:rPr>
          <w:sz w:val="20"/>
          <w:szCs w:val="20"/>
          <w:color w:val="auto"/>
        </w:rPr>
      </w:pPr>
      <w:r>
        <w:rPr>
          <w:rFonts w:ascii="Times New Roman" w:cs="Times New Roman" w:eastAsia="Times New Roman" w:hAnsi="Times New Roman"/>
          <w:sz w:val="22"/>
          <w:szCs w:val="22"/>
          <w:color w:val="auto"/>
        </w:rPr>
        <w:t>In addition, the Collateral Manager on behalf of the Issuer will obtain any and all consents required by the Underlying Documents relating to any general intangibles for the transfer of ownership and/or pledge hereunder (except to the extent that the requirement for such consent is rendered ineffective under Section 9</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406 of the UCC).</w:t>
      </w:r>
    </w:p>
    <w:p>
      <w:pPr>
        <w:spacing w:after="0" w:line="14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 Placement Agreement</w:t>
      </w:r>
      <w:r>
        <w:rPr>
          <w:rFonts w:ascii="Times New Roman" w:cs="Times New Roman" w:eastAsia="Times New Roman" w:hAnsi="Times New Roman"/>
          <w:sz w:val="22"/>
          <w:szCs w:val="22"/>
          <w:color w:val="auto"/>
        </w:rPr>
        <w:t>": The ICS Deposit Placement Agreement dated on or about the Closing Date by and between the Issuer and the Bank (or an Affiliate thereof).</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85"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 Placement Program</w:t>
      </w:r>
      <w:r>
        <w:rPr>
          <w:rFonts w:ascii="Times New Roman" w:cs="Times New Roman" w:eastAsia="Times New Roman" w:hAnsi="Times New Roman"/>
          <w:sz w:val="22"/>
          <w:szCs w:val="22"/>
          <w:color w:val="auto"/>
        </w:rPr>
        <w:t>": A network of FDIC-insured depository institutions and/or their affiliates who are FDIC-insured depository institutions (as defined in Section 3 of the Federal Deposit Insurance Act), that have entered into agreements with the IntraFi Network LLC and/or its successors or assigns, or similar program, to collect and/or place deposits with the purpose of providing each participating institution's depositors increased access to FDIC deposit insurance.</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The last day of each Collection Period.</w:t>
      </w:r>
    </w:p>
    <w:p>
      <w:pPr>
        <w:spacing w:after="0" w:line="172" w:lineRule="exact"/>
        <w:rPr>
          <w:sz w:val="20"/>
          <w:szCs w:val="20"/>
          <w:color w:val="auto"/>
        </w:rPr>
      </w:pPr>
    </w:p>
    <w:p>
      <w:pPr>
        <w:jc w:val="both"/>
        <w:ind w:firstLine="1497"/>
        <w:spacing w:after="0" w:line="28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DIP Collateral Obligation</w:t>
      </w:r>
      <w:r>
        <w:rPr>
          <w:rFonts w:ascii="Times New Roman" w:cs="Times New Roman" w:eastAsia="Times New Roman" w:hAnsi="Times New Roman"/>
          <w:sz w:val="22"/>
          <w:szCs w:val="22"/>
          <w:color w:val="auto"/>
        </w:rPr>
        <w:t>": A loan made to a debtor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possession pursuant to Section 364 of the Bankruptcy Code having the priority allowed by either Section 364(c) or 364(d) of the Bankruptcy Code and fully secured by senior liens.</w:t>
      </w:r>
    </w:p>
    <w:p>
      <w:pPr>
        <w:spacing w:after="0" w:line="177" w:lineRule="exact"/>
        <w:rPr>
          <w:sz w:val="20"/>
          <w:szCs w:val="20"/>
          <w:color w:val="auto"/>
        </w:rPr>
      </w:pPr>
    </w:p>
    <w:p>
      <w:pPr>
        <w:jc w:val="both"/>
        <w:ind w:firstLine="1497"/>
        <w:spacing w:after="0" w:line="26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 Obligation</w:t>
      </w:r>
      <w:r>
        <w:rPr>
          <w:rFonts w:ascii="Times New Roman" w:cs="Times New Roman" w:eastAsia="Times New Roman" w:hAnsi="Times New Roman"/>
          <w:sz w:val="22"/>
          <w:szCs w:val="22"/>
          <w:color w:val="auto"/>
        </w:rPr>
        <w:t>": Any Collateral Obligation forming part of the Assets which was purchased (as determined without averaging prices of purchases on different dates) for less than (a) 85% of its Principal Balance, if such Collateral Obligation has an S&amp;P Rating lower than "B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or (b) 80% of its Principal Balance, if such Collateral Obligation has an S&amp;P Rating of "B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or higher;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48" w:lineRule="exact"/>
        <w:rPr>
          <w:sz w:val="20"/>
          <w:szCs w:val="20"/>
          <w:color w:val="auto"/>
        </w:rPr>
      </w:pPr>
    </w:p>
    <w:p>
      <w:pPr>
        <w:jc w:val="both"/>
        <w:ind w:left="1500" w:firstLine="754"/>
        <w:spacing w:after="0" w:line="239" w:lineRule="auto"/>
        <w:tabs>
          <w:tab w:leader="none" w:pos="268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Collateral Obligation shall cease to be a Discount Obligation at such time as the Market Value (expressed as a percentage of the par amount of such Collateral Obligation) determined for such Collateral Obligation on each day during any period of 30 consecutive days since the acquisition by the Issuer of such Collateral Obligation, equals or exceeds 90% on each such day;</w:t>
      </w:r>
    </w:p>
    <w:p>
      <w:pPr>
        <w:spacing w:after="0" w:line="180" w:lineRule="exact"/>
        <w:rPr>
          <w:rFonts w:ascii="Times New Roman" w:cs="Times New Roman" w:eastAsia="Times New Roman" w:hAnsi="Times New Roman"/>
          <w:sz w:val="22"/>
          <w:szCs w:val="22"/>
          <w:color w:val="auto"/>
        </w:rPr>
      </w:pPr>
    </w:p>
    <w:p>
      <w:pPr>
        <w:jc w:val="both"/>
        <w:ind w:left="1500" w:firstLine="754"/>
        <w:spacing w:after="0" w:line="234" w:lineRule="auto"/>
        <w:tabs>
          <w:tab w:leader="none" w:pos="268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Collateral Obligation that would otherwise be considered a Discount Obligation, but that is purchased in accordance with the Investment Criteria with the proceeds of a sale of a Collateral Obligation that was not a Discount Obligation at the time of its purchase, so long as such purchased Collateral Obligation (A) is purchased or committed to be purchased within five Business Days of such sale, (B) is purchased at a purchase price (expressed as a percentage of the par amount of such Collateral Obligation) equal to or greater than the sale price of the sold Collateral Obligation, (C) is purchased at a purchase price (expressed as a percentage of the par amount of such Collateral Obligation) not less than 65% of its Principal Balance and (D) has an S&amp;P Rating no lower than the S&amp;P Rating of the previously sold Collateral Obligation, will not be considered to be a Discount Obligation; and</w:t>
      </w:r>
    </w:p>
    <w:p>
      <w:pPr>
        <w:spacing w:after="0" w:line="183" w:lineRule="exact"/>
        <w:rPr>
          <w:rFonts w:ascii="Times New Roman" w:cs="Times New Roman" w:eastAsia="Times New Roman" w:hAnsi="Times New Roman"/>
          <w:sz w:val="22"/>
          <w:szCs w:val="22"/>
          <w:color w:val="auto"/>
        </w:rPr>
      </w:pPr>
    </w:p>
    <w:p>
      <w:pPr>
        <w:jc w:val="both"/>
        <w:ind w:left="1500" w:firstLine="754"/>
        <w:spacing w:after="0" w:line="235" w:lineRule="auto"/>
        <w:tabs>
          <w:tab w:leader="none" w:pos="268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clause (y) above in this proviso shall not apply to any such Collateral Obligation at any time on or after the acquisition by the Issuer of such Collateral Obligation if, as determined at the time of such acquisition, such application would result in (A) more than 5% of the Collateral Principal Amount consisting of Collateral Obligations to which such clause (y) has been applied, disregarding any Collateral Obligation that has ceased to be a Discount Obligation pursuant to clause (x) above in this proviso, or (B) the Aggregate Principal Balance of all Collateral Obligations to which such clause (y) has been applied since the Closing Date being more than 10% of the Target Initial Par Amount.</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85" w:lineRule="exact"/>
        <w:rPr>
          <w:sz w:val="20"/>
          <w:szCs w:val="20"/>
          <w:color w:val="auto"/>
        </w:rPr>
      </w:pPr>
    </w:p>
    <w:p>
      <w:pPr>
        <w:jc w:val="both"/>
        <w:ind w:right="20"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Dissolution Expenses</w:t>
      </w:r>
      <w:r>
        <w:rPr>
          <w:rFonts w:ascii="Times New Roman" w:cs="Times New Roman" w:eastAsia="Times New Roman" w:hAnsi="Times New Roman"/>
          <w:sz w:val="22"/>
          <w:szCs w:val="22"/>
          <w:color w:val="auto"/>
        </w:rPr>
        <w:t>": The amount of accrued and unpaid Administrative Expenses plus the amount of expenses reasonably likely to be incurred in connection with the discharge of this Indenture, the liquidation of the Assets and the dissolution of the Issuer as reasonably calculated by the Collateral Manager or the Issuer, based in part on expenses reasonably likely to be incurred by the Collateral Trustee and the Loan Agent and reported to the Collateral Manager or Issuer.</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Report</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10.7(b)</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Dodd</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Frank</w:t>
      </w:r>
      <w:r>
        <w:rPr>
          <w:rFonts w:ascii="Times New Roman" w:cs="Times New Roman" w:eastAsia="Times New Roman" w:hAnsi="Times New Roman"/>
          <w:sz w:val="22"/>
          <w:szCs w:val="22"/>
          <w:color w:val="auto"/>
        </w:rPr>
        <w:t>": The Dodd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Frank Wall Street Reform and Consumer Protection Act of 2010, as amended.</w:t>
      </w:r>
    </w:p>
    <w:p>
      <w:pPr>
        <w:spacing w:after="0" w:line="254"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A dollar or other equivalent unit in such coin or currency of the United States of America as at the time shall be legal tender for all debts, public and private.</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Domicile</w:t>
      </w:r>
      <w:r>
        <w:rPr>
          <w:rFonts w:ascii="Times New Roman" w:cs="Times New Roman" w:eastAsia="Times New Roman" w:hAnsi="Times New Roman"/>
          <w:sz w:val="22"/>
          <w:szCs w:val="22"/>
          <w:color w:val="auto"/>
        </w:rPr>
        <w:t xml:space="preserve">" or " </w:t>
      </w:r>
      <w:r>
        <w:rPr>
          <w:rFonts w:ascii="Times New Roman" w:cs="Times New Roman" w:eastAsia="Times New Roman" w:hAnsi="Times New Roman"/>
          <w:sz w:val="22"/>
          <w:szCs w:val="22"/>
          <w:u w:val="single" w:color="auto"/>
          <w:color w:val="auto"/>
        </w:rPr>
        <w:t>Domiciled</w:t>
      </w:r>
      <w:r>
        <w:rPr>
          <w:rFonts w:ascii="Times New Roman" w:cs="Times New Roman" w:eastAsia="Times New Roman" w:hAnsi="Times New Roman"/>
          <w:sz w:val="22"/>
          <w:szCs w:val="22"/>
          <w:color w:val="auto"/>
        </w:rPr>
        <w:t>": With respect to any Obligor with respect to a Collateral Obligation, (a) except as provided in clause (b) below, its country of organization; or (b) if it is organized in a Tax Jurisdiction, each of such jurisdiction and the country in which, in the Collateral Manager's good faith estimate, a substantial portion of its operations are located or from which a substantial portion of its revenue is derived, in each case directly or through subsidiaries (which shall be any jurisdiction and country known at the time of designation by the Collateral Manager to be the source of the majority of revenues, if any, of such Obligor).</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DTC</w:t>
      </w:r>
      <w:r>
        <w:rPr>
          <w:rFonts w:ascii="Times New Roman" w:cs="Times New Roman" w:eastAsia="Times New Roman" w:hAnsi="Times New Roman"/>
          <w:sz w:val="22"/>
          <w:szCs w:val="22"/>
          <w:color w:val="auto"/>
        </w:rPr>
        <w:t>": The Depository Trust Company, its nominees, and their respective successors.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Due Date</w:t>
      </w:r>
      <w:r>
        <w:rPr>
          <w:rFonts w:ascii="Times New Roman" w:cs="Times New Roman" w:eastAsia="Times New Roman" w:hAnsi="Times New Roman"/>
          <w:sz w:val="22"/>
          <w:szCs w:val="22"/>
          <w:color w:val="auto"/>
        </w:rPr>
        <w:t>": Each date on which any payment is due on an Asset in accordance with its terms.</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earlier to occur of (i) June 20, 2025 and (ii) the first date on which the Collateral Manager certifies to the Collateral Trustee and the Collateral Administrator that the Target Initial Par Condition has been satisfied.</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 Interest Deposit Condition</w:t>
      </w:r>
      <w:r>
        <w:rPr>
          <w:rFonts w:ascii="Times New Roman" w:cs="Times New Roman" w:eastAsia="Times New Roman" w:hAnsi="Times New Roman"/>
          <w:sz w:val="22"/>
          <w:szCs w:val="22"/>
          <w:color w:val="auto"/>
        </w:rPr>
        <w:t>": A condition that is satisfied if (A) the total amount designated for deposit to the Collection Account as Interest Proceeds from the Principal Collection Subaccount and the Ramp-Up Account does not exceed 1.00% of the Target Initial Par Amount and (B) after giving effect to any such deposit, (x) the Collateral Principal Amount is at least equal to the Target Initial Par Amount, assuming for purposes of such calculation that each Defaulted Obligation has a principal amount equal to its S&amp;P Collateral Value and (y) each of the Overcollateralization Ratio Tests, Collateral Quality Test and Concentration Limitations is satisfied.</w:t>
      </w:r>
    </w:p>
    <w:p>
      <w:pPr>
        <w:spacing w:after="0" w:line="181"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 Report</w:t>
      </w:r>
      <w:r>
        <w:rPr>
          <w:rFonts w:ascii="Times New Roman" w:cs="Times New Roman" w:eastAsia="Times New Roman" w:hAnsi="Times New Roman"/>
          <w:sz w:val="22"/>
          <w:szCs w:val="22"/>
          <w:color w:val="auto"/>
        </w:rPr>
        <w:t>": A report prepared by the Collateral Administrator in accordance with the terms of the Collateral Administration Agreement and hereof and determined as of the Effective Date, containing (A) the information required in a Monthly Report, (B) a calculation with respect to whether the Target Initial Par Condition is satisfied, and (C) the results of calculations indicating satisfaction of the Effective Date Specified Tested Items. For the</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avoidance of doubt, the Effective Date Report shall not include or refer to the Accountants' Certificate.</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 Specified Tested Items</w:t>
      </w:r>
      <w:r>
        <w:rPr>
          <w:rFonts w:ascii="Times New Roman" w:cs="Times New Roman" w:eastAsia="Times New Roman" w:hAnsi="Times New Roman"/>
          <w:sz w:val="22"/>
          <w:szCs w:val="22"/>
          <w:color w:val="auto"/>
        </w:rPr>
        <w:t>": The Collateral Quality Test (other than the S&amp;P CDO Monitor Test), the Overcollateralization Ratio Tests, the Concentration Limitations and the Target Initial Par Condition.</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Election to Retain</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9.7(b)(ii)</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1497"/>
        <w:spacing w:after="0" w:line="291"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Investment Required Ratings</w:t>
      </w:r>
      <w:r>
        <w:rPr>
          <w:rFonts w:ascii="Times New Roman" w:cs="Times New Roman" w:eastAsia="Times New Roman" w:hAnsi="Times New Roman"/>
          <w:sz w:val="22"/>
          <w:szCs w:val="22"/>
          <w:color w:val="auto"/>
        </w:rPr>
        <w:t>": Such obligation or security has a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credit rating of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S&amp;P and, in the case of any obligation or security with a maturity of greater than 60 days, a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credit rating of at least "AA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by S&amp;P.</w:t>
      </w:r>
    </w:p>
    <w:p>
      <w:pPr>
        <w:spacing w:after="0" w:line="14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Investments</w:t>
      </w:r>
      <w:r>
        <w:rPr>
          <w:rFonts w:ascii="Times New Roman" w:cs="Times New Roman" w:eastAsia="Times New Roman" w:hAnsi="Times New Roman"/>
          <w:sz w:val="22"/>
          <w:szCs w:val="22"/>
          <w:color w:val="auto"/>
        </w:rPr>
        <w:t>": Either Cash or any Dollar investment that, at the time it is delivered to the Collateral Trustee (directly or through an intermediary or custodian), (x) matures not later than the earlier of (A) the date that is 60 days after the date of delivery thereof and (B) the Business Day immediately preceding the Payment Date immediately following the date of delivery thereof, and (y) is one or more of the following obligations or securities:</w:t>
      </w:r>
    </w:p>
    <w:p>
      <w:pPr>
        <w:spacing w:after="0" w:line="180" w:lineRule="exact"/>
        <w:rPr>
          <w:sz w:val="20"/>
          <w:szCs w:val="20"/>
          <w:color w:val="auto"/>
        </w:rPr>
      </w:pPr>
    </w:p>
    <w:p>
      <w:pPr>
        <w:jc w:val="both"/>
        <w:ind w:left="760" w:firstLine="1015"/>
        <w:spacing w:after="0" w:line="239" w:lineRule="auto"/>
        <w:tabs>
          <w:tab w:leader="none" w:pos="221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Registered obligations of, and Registered obligations the timely payment of principal and interest on which is fully and expressly guaranteed by, the United States of America or any agency or instrumentality of the United States of America the obligations of which are expressly backed by the full faith and credit of the United States of America and which satisfy the Eligible Investment Required Ratings;</w:t>
      </w:r>
    </w:p>
    <w:p>
      <w:pPr>
        <w:spacing w:after="0" w:line="180" w:lineRule="exact"/>
        <w:rPr>
          <w:rFonts w:ascii="Times New Roman" w:cs="Times New Roman" w:eastAsia="Times New Roman" w:hAnsi="Times New Roman"/>
          <w:sz w:val="22"/>
          <w:szCs w:val="22"/>
          <w:color w:val="auto"/>
        </w:rPr>
      </w:pPr>
    </w:p>
    <w:p>
      <w:pPr>
        <w:jc w:val="both"/>
        <w:ind w:left="760" w:firstLine="1015"/>
        <w:spacing w:after="0" w:line="235" w:lineRule="auto"/>
        <w:tabs>
          <w:tab w:leader="none" w:pos="221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and time deposits in, certificates of deposit of, bank deposit products of, trust accounts with, bankers' acceptances issued by, or federal funds sold by any depository institution or trust company incorporated under the laws of the United States of America or any state thereof and subject to supervision and examination by federal and/or state banking authorities, in each case payable within 183 days after issuance, so long as (a) the commercial paper and/or the debt obligations of such depository institution or trust company at the time of such investment or contractual commitment providing for such investment have the Eligible Investment Required Ratings or (b) such depository institution or trust company participates in the Deposit Placement Program and not listed on the Exclusion List set forth in the Deposit Placement Agreement;</w:t>
      </w:r>
    </w:p>
    <w:p>
      <w:pPr>
        <w:spacing w:after="0" w:line="143" w:lineRule="exact"/>
        <w:rPr>
          <w:rFonts w:ascii="Times New Roman" w:cs="Times New Roman" w:eastAsia="Times New Roman" w:hAnsi="Times New Roman"/>
          <w:sz w:val="22"/>
          <w:szCs w:val="22"/>
          <w:color w:val="auto"/>
        </w:rPr>
      </w:pPr>
    </w:p>
    <w:p>
      <w:pPr>
        <w:jc w:val="both"/>
        <w:ind w:left="760" w:firstLine="1015"/>
        <w:spacing w:after="0" w:line="272" w:lineRule="exact"/>
        <w:tabs>
          <w:tab w:leader="none" w:pos="221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(other than extendible commercial paper or Asset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backed Commercial Paper) with the Eligible Investment Required Ratings and that either bears interest or is sold at a discount from the face amount thereof and has a maturity of not more than 183 days from its date of issuance; and</w:t>
      </w:r>
    </w:p>
    <w:p>
      <w:pPr>
        <w:spacing w:after="0" w:line="177"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registered money market funds that have, at all times, credit ratings of "AAAm" by S&amp;P;</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Eligible Investments purchased with funds in the Collection Account shall be held until maturity except as otherwise specifically provided herein and shall include only such obligations or securities as mature (or are putable at par to the issuer thereof) no later than the earlier of 60 days and the Business Day prior to the next Payment Date unless such Eligible</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85" w:lineRule="exact"/>
        <w:rPr>
          <w:sz w:val="20"/>
          <w:szCs w:val="20"/>
          <w:color w:val="auto"/>
        </w:rPr>
      </w:pPr>
    </w:p>
    <w:p>
      <w:pPr>
        <w:jc w:val="both"/>
        <w:spacing w:after="0" w:line="247" w:lineRule="exact"/>
        <w:rPr>
          <w:sz w:val="20"/>
          <w:szCs w:val="20"/>
          <w:color w:val="auto"/>
        </w:rPr>
      </w:pPr>
      <w:r>
        <w:rPr>
          <w:rFonts w:ascii="Times New Roman" w:cs="Times New Roman" w:eastAsia="Times New Roman" w:hAnsi="Times New Roman"/>
          <w:sz w:val="22"/>
          <w:szCs w:val="22"/>
          <w:color w:val="auto"/>
        </w:rPr>
        <w:t>Investments are issued by the Bank or any Affiliate of the Bank in its capacity as a banking institution, in which event such Eligible Investments may mature on such Payment Date; and (2) none of the foregoing obligations or securities shall constitute Eligible Investments if (a) all, or substantially all, of the remaining amounts payable thereunder consist of interest and not principal payments, (b) payments with respect to such obligations or securities or proceeds of disposition are subject to withholding taxes by any jurisdiction (other than withholding imposed pursuant to FATCA) unless the payor is required to make "gross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payments that cover the full amount of any such withholding tax on an after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tax basis, (c) such obligation or security is secured by real property, (d) such obligation or security is purchased at a price greater than 100% of the principal or face amount thereof, (e) such obligation or security is subject of a tender offer, voluntary redemption, exchange offer, conversion or other similar action, (f) in the Collateral Manager's judgment, such obligation or security is subject to material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credit related risks, (g) such obligation is a Structured Finance Obligation, (h) such obligation or security is represented by a certificate of interest in a grantor trust or (i) such obligation has an "f," "r," "p," "q," "t," or "sf" subscript assigned by S&amp;P. Any direction from the Collateral Manager to the Collateral Trustee to invest in an Eligible Investment shall be deemed to be confirmation that such Eligible Investment complies with the foregoing. Eligible Investments may include, without limitation, those investments issued by or made with the Bank or for which the Bank or an Affiliate of the Bank acts as offeror or provides services and receives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investments meet the foregoing requirements of this definition.</w:t>
      </w:r>
    </w:p>
    <w:p>
      <w:pPr>
        <w:spacing w:after="0" w:line="18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Loan Index</w:t>
      </w:r>
      <w:r>
        <w:rPr>
          <w:rFonts w:ascii="Times New Roman" w:cs="Times New Roman" w:eastAsia="Times New Roman" w:hAnsi="Times New Roman"/>
          <w:sz w:val="22"/>
          <w:szCs w:val="22"/>
          <w:color w:val="auto"/>
        </w:rPr>
        <w:t xml:space="preserve">": With respect to each Collateral Obligation, one of the following indices as selected by the Collateral Manager upon the acquisition of such Collateral Obligation: the Credit Suisse Leveraged Loan Indices (formerly the DLJ Leveraged Loan Index Plus), the Deutsche Bank Leveraged Loan Index, the Goldman Sachs/Loan Pricing Corporation Liquid Leveraged Loan Index, the Merrill Lynch Leveraged Loan Index, the S&amp;P/LSTA Leveraged Loan Indices or any successor or other comparable nationally recognized loan index;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Collateral Manager may change the index applicable to a Collateral Obligation to another Eligible Loan Index at any time following the acquisition thereof after giving notice to the Rating Agencies, the Collateral Trustee, the Loan Agent and the Collateral Administrator so long as the same index applies to all Collateral Obligations for which this definition applies.</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Enforcement Event</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11.1(a)(iii)</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Entitlement Order</w:t>
      </w:r>
      <w:r>
        <w:rPr>
          <w:rFonts w:ascii="Times New Roman" w:cs="Times New Roman" w:eastAsia="Times New Roman" w:hAnsi="Times New Roman"/>
          <w:sz w:val="22"/>
          <w:szCs w:val="22"/>
          <w:color w:val="auto"/>
        </w:rPr>
        <w:t>": The meaning specified in Section 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102(a)(8) of the UCC.</w:t>
      </w:r>
    </w:p>
    <w:p>
      <w:pPr>
        <w:spacing w:after="0" w:line="254"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Security</w:t>
      </w:r>
      <w:r>
        <w:rPr>
          <w:rFonts w:ascii="Times New Roman" w:cs="Times New Roman" w:eastAsia="Times New Roman" w:hAnsi="Times New Roman"/>
          <w:sz w:val="21"/>
          <w:szCs w:val="21"/>
          <w:color w:val="auto"/>
        </w:rPr>
        <w:t>": Any security or debt obligation (including Margin Stock) that is not eligible for purchase by the Issuer as a Collateral Obligation (without regard to the requirement in the definition thereof restricting Equity Securities) and is not an Eligible Investment (other than a Restructured Asset, which shall be treated in accordance with the definition thereof); it being understood that Equity Securities may not be purchased by the Issuer but it is possible that the Issuer may receive an Equity Security in connection with an insolvency, bankruptcy, reorganization, debt restructuring or workout.</w:t>
      </w:r>
    </w:p>
    <w:p>
      <w:pPr>
        <w:spacing w:after="0" w:line="1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The United States Employee Retirement Income Security Act of 1974, as amended.</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ESG Prohibited Obligation</w:t>
      </w:r>
      <w:r>
        <w:rPr>
          <w:rFonts w:ascii="Times New Roman" w:cs="Times New Roman" w:eastAsia="Times New Roman" w:hAnsi="Times New Roman"/>
          <w:sz w:val="22"/>
          <w:szCs w:val="22"/>
          <w:color w:val="auto"/>
        </w:rPr>
        <w:t xml:space="preserve"> XE "ESG Prohibited Obligation" ": Any debt obligation or debt security where the consolidated group to which the relevant Obligor belongs is a group whose Primary Business Activity is, as determined by the Collateral Manager in its sole discretion:</w:t>
      </w:r>
    </w:p>
    <w:p>
      <w:pPr>
        <w:spacing w:after="0" w:line="173" w:lineRule="exact"/>
        <w:rPr>
          <w:sz w:val="20"/>
          <w:szCs w:val="20"/>
          <w:color w:val="auto"/>
        </w:rPr>
      </w:pPr>
    </w:p>
    <w:p>
      <w:pPr>
        <w:ind w:left="1800" w:hanging="295"/>
        <w:spacing w:after="0"/>
        <w:tabs>
          <w:tab w:leader="none" w:pos="18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thermal coal mining; or</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81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production of or trade in Controversial Weapons; or (ii) the production of or trade in components or services that have been specifically designed or designated for military purposes for the functioning of Controversial Weapons; or</w:t>
      </w:r>
    </w:p>
    <w:p>
      <w:pPr>
        <w:spacing w:after="0" w:line="173" w:lineRule="exact"/>
        <w:rPr>
          <w:rFonts w:ascii="Times New Roman" w:cs="Times New Roman" w:eastAsia="Times New Roman" w:hAnsi="Times New Roman"/>
          <w:sz w:val="22"/>
          <w:szCs w:val="22"/>
          <w:color w:val="auto"/>
        </w:rPr>
      </w:pPr>
    </w:p>
    <w:p>
      <w:pPr>
        <w:ind w:left="1800" w:hanging="295"/>
        <w:spacing w:after="0"/>
        <w:tabs>
          <w:tab w:leader="none" w:pos="18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trade in:</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522"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hazardous chemicals, pesticides and wastes, ozone depleting substances, or endangered or protected wildlife or wildlife products, of which, in each case, production or trade is banned by applicable global conventions and agreements;</w:t>
      </w:r>
    </w:p>
    <w:p>
      <w:pPr>
        <w:spacing w:after="0" w:line="173" w:lineRule="exact"/>
        <w:rPr>
          <w:rFonts w:ascii="Times New Roman" w:cs="Times New Roman" w:eastAsia="Times New Roman" w:hAnsi="Times New Roman"/>
          <w:sz w:val="22"/>
          <w:szCs w:val="22"/>
          <w:color w:val="auto"/>
        </w:rPr>
      </w:pPr>
    </w:p>
    <w:p>
      <w:pPr>
        <w:ind w:left="2580" w:hanging="326"/>
        <w:spacing w:after="0"/>
        <w:tabs>
          <w:tab w:leader="none" w:pos="2580"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pornography or prostitution; or</w:t>
      </w:r>
    </w:p>
    <w:p>
      <w:pPr>
        <w:spacing w:after="0" w:line="206" w:lineRule="exact"/>
        <w:rPr>
          <w:rFonts w:ascii="Times New Roman" w:cs="Times New Roman" w:eastAsia="Times New Roman" w:hAnsi="Times New Roman"/>
          <w:sz w:val="22"/>
          <w:szCs w:val="22"/>
          <w:color w:val="auto"/>
        </w:rPr>
      </w:pPr>
    </w:p>
    <w:p>
      <w:pPr>
        <w:ind w:left="2640" w:hanging="386"/>
        <w:spacing w:after="0"/>
        <w:tabs>
          <w:tab w:leader="none" w:pos="2640"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tobacco or tobacco-related products; or</w:t>
      </w:r>
    </w:p>
    <w:p>
      <w:pPr>
        <w:spacing w:after="0" w:line="206" w:lineRule="exact"/>
        <w:rPr>
          <w:rFonts w:ascii="Times New Roman" w:cs="Times New Roman" w:eastAsia="Times New Roman" w:hAnsi="Times New Roman"/>
          <w:sz w:val="22"/>
          <w:szCs w:val="22"/>
          <w:color w:val="auto"/>
        </w:rPr>
      </w:pPr>
    </w:p>
    <w:p>
      <w:pPr>
        <w:ind w:left="380" w:firstLine="1500"/>
        <w:spacing w:after="0" w:line="258" w:lineRule="auto"/>
        <w:tabs>
          <w:tab w:leader="none" w:pos="221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dealing, distribution or processing of illegal drugs, chemicals, substances or the sale of illegal drug paraphernalia or materials; or</w:t>
      </w:r>
    </w:p>
    <w:p>
      <w:pPr>
        <w:spacing w:after="0" w:line="158" w:lineRule="exact"/>
        <w:rPr>
          <w:rFonts w:ascii="Times New Roman" w:cs="Times New Roman" w:eastAsia="Times New Roman" w:hAnsi="Times New Roman"/>
          <w:sz w:val="22"/>
          <w:szCs w:val="22"/>
          <w:color w:val="auto"/>
        </w:rPr>
      </w:pPr>
    </w:p>
    <w:p>
      <w:pPr>
        <w:ind w:left="380" w:right="20" w:firstLine="1500"/>
        <w:spacing w:after="0" w:line="258" w:lineRule="auto"/>
        <w:tabs>
          <w:tab w:leader="none" w:pos="221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medical and recreational marijuana cultivation, dispensaries and sales, including in states that have legalized marijuana sales; or</w:t>
      </w:r>
    </w:p>
    <w:p>
      <w:pPr>
        <w:spacing w:after="0" w:line="158" w:lineRule="exact"/>
        <w:rPr>
          <w:rFonts w:ascii="Times New Roman" w:cs="Times New Roman" w:eastAsia="Times New Roman" w:hAnsi="Times New Roman"/>
          <w:sz w:val="22"/>
          <w:szCs w:val="22"/>
          <w:color w:val="auto"/>
        </w:rPr>
      </w:pPr>
    </w:p>
    <w:p>
      <w:pPr>
        <w:ind w:left="2140" w:hanging="260"/>
        <w:spacing w:after="0"/>
        <w:tabs>
          <w:tab w:leader="none" w:pos="214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payday, title and predatory lending; or</w:t>
      </w:r>
    </w:p>
    <w:p>
      <w:pPr>
        <w:spacing w:after="0" w:line="206" w:lineRule="exact"/>
        <w:rPr>
          <w:rFonts w:ascii="Times New Roman" w:cs="Times New Roman" w:eastAsia="Times New Roman" w:hAnsi="Times New Roman"/>
          <w:sz w:val="22"/>
          <w:szCs w:val="22"/>
          <w:color w:val="auto"/>
        </w:rPr>
      </w:pPr>
    </w:p>
    <w:p>
      <w:pPr>
        <w:ind w:left="2180" w:hanging="300"/>
        <w:spacing w:after="0"/>
        <w:tabs>
          <w:tab w:leader="none" w:pos="218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political campaign committees and political candidates; or</w:t>
      </w:r>
    </w:p>
    <w:p>
      <w:pPr>
        <w:spacing w:after="0" w:line="206" w:lineRule="exact"/>
        <w:rPr>
          <w:rFonts w:ascii="Times New Roman" w:cs="Times New Roman" w:eastAsia="Times New Roman" w:hAnsi="Times New Roman"/>
          <w:sz w:val="22"/>
          <w:szCs w:val="22"/>
          <w:color w:val="auto"/>
        </w:rPr>
      </w:pPr>
    </w:p>
    <w:p>
      <w:pPr>
        <w:ind w:left="2180" w:hanging="300"/>
        <w:spacing w:after="0"/>
        <w:tabs>
          <w:tab w:leader="none" w:pos="218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embassies and foreign consulates; or</w:t>
      </w:r>
    </w:p>
    <w:p>
      <w:pPr>
        <w:spacing w:after="0" w:line="206" w:lineRule="exact"/>
        <w:rPr>
          <w:rFonts w:ascii="Times New Roman" w:cs="Times New Roman" w:eastAsia="Times New Roman" w:hAnsi="Times New Roman"/>
          <w:sz w:val="22"/>
          <w:szCs w:val="22"/>
          <w:color w:val="auto"/>
        </w:rPr>
      </w:pPr>
    </w:p>
    <w:p>
      <w:pPr>
        <w:ind w:left="2140" w:hanging="260"/>
        <w:spacing w:after="0"/>
        <w:tabs>
          <w:tab w:leader="none" w:pos="214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private prisons.</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Transparency Requirements</w:t>
      </w:r>
      <w:r>
        <w:rPr>
          <w:rFonts w:ascii="Times New Roman" w:cs="Times New Roman" w:eastAsia="Times New Roman" w:hAnsi="Times New Roman"/>
          <w:sz w:val="22"/>
          <w:szCs w:val="22"/>
          <w:color w:val="auto"/>
        </w:rPr>
        <w:t>": The information required by Article 7 of the EU Securitization Regulation, in accordance with the frequency and modalities provided for thereunder.</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EU/UK Retention Holder</w:t>
      </w:r>
      <w:r>
        <w:rPr>
          <w:rFonts w:ascii="Times New Roman" w:cs="Times New Roman" w:eastAsia="Times New Roman" w:hAnsi="Times New Roman"/>
          <w:sz w:val="22"/>
          <w:szCs w:val="22"/>
          <w:color w:val="auto"/>
        </w:rPr>
        <w:t>": On the Closing Date, PennantPark Floating Rate Capital Ltd., as an originator, and thereafter any successor, assignee or transferee thereof permitted under the Securitization Regulations and notified in writing to the Issuer, the Collateral Trustee and the Collateral Administrator.</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EU/UK Retention Interest</w:t>
      </w:r>
      <w:r>
        <w:rPr>
          <w:rFonts w:ascii="Times New Roman" w:cs="Times New Roman" w:eastAsia="Times New Roman" w:hAnsi="Times New Roman"/>
          <w:sz w:val="22"/>
          <w:szCs w:val="22"/>
          <w:color w:val="auto"/>
        </w:rPr>
        <w:t>": An interest in the first loss tranche within the meaning of paragraph (d) of Article 6(3) of the EU Securitization Regulation and Article 6(3)(d) of Chapter 2 of PRASR and SECN 5.2.8R(1)(d), each as in effect as of the Closing Date, by way of holding,</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subject to the provisions of the Retention of Net Economic Interest Letter, the minimum amount of Subordinated Notes currently required by the applicable Securitization Regulations.</w:t>
      </w:r>
    </w:p>
    <w:p>
      <w:pPr>
        <w:spacing w:after="0" w:line="15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EU/UK Risk Retention Requirements</w:t>
      </w:r>
      <w:r>
        <w:rPr>
          <w:rFonts w:ascii="Times New Roman" w:cs="Times New Roman" w:eastAsia="Times New Roman" w:hAnsi="Times New Roman"/>
          <w:sz w:val="22"/>
          <w:szCs w:val="22"/>
          <w:color w:val="auto"/>
        </w:rPr>
        <w:t>": Together the requirements of Article 6 of the EU Securitization Regulation, and Article 6(3)(d) of Chapter 2 of PRASR and SECN 5.2.8R(1)(d).</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EU/UK Transparency Requirements</w:t>
      </w:r>
      <w:r>
        <w:rPr>
          <w:rFonts w:ascii="Times New Roman" w:cs="Times New Roman" w:eastAsia="Times New Roman" w:hAnsi="Times New Roman"/>
          <w:sz w:val="22"/>
          <w:szCs w:val="22"/>
          <w:color w:val="auto"/>
        </w:rPr>
        <w:t>":  The  EU  Transparency  Requirements  and  the  UK  Transparency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Requirements.</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Euroclear</w:t>
      </w:r>
      <w:r>
        <w:rPr>
          <w:rFonts w:ascii="Times New Roman" w:cs="Times New Roman" w:eastAsia="Times New Roman" w:hAnsi="Times New Roman"/>
          <w:sz w:val="22"/>
          <w:szCs w:val="22"/>
          <w:color w:val="auto"/>
        </w:rPr>
        <w:t>": Euroclear Bank S.A./N.V.</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Excel Default Model Input File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7.18(c)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CCC Adjustment Amount</w:t>
      </w:r>
      <w:r>
        <w:rPr>
          <w:rFonts w:ascii="Times New Roman" w:cs="Times New Roman" w:eastAsia="Times New Roman" w:hAnsi="Times New Roman"/>
          <w:sz w:val="22"/>
          <w:szCs w:val="22"/>
          <w:color w:val="auto"/>
        </w:rPr>
        <w:t>": As of any date of determination, an amount equal to the excess, if any, of</w:t>
      </w:r>
    </w:p>
    <w:p>
      <w:pPr>
        <w:spacing w:after="0" w:line="14" w:lineRule="exact"/>
        <w:rPr>
          <w:sz w:val="20"/>
          <w:szCs w:val="20"/>
          <w:color w:val="auto"/>
        </w:rPr>
      </w:pPr>
    </w:p>
    <w:p>
      <w:pPr>
        <w:ind w:firstLine="8"/>
        <w:spacing w:after="0" w:line="237" w:lineRule="auto"/>
        <w:tabs>
          <w:tab w:leader="none" w:pos="2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Balance of all Collateral Obligations included in the CCC Excess, over (ii) the sum of the Market Values of all Collateral Obligations included in the CCC Excess.</w:t>
      </w:r>
    </w:p>
    <w:p>
      <w:pPr>
        <w:spacing w:after="0" w:line="17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Excess Weighted Average Coupon</w:t>
      </w:r>
      <w:r>
        <w:rPr>
          <w:rFonts w:ascii="Times New Roman" w:cs="Times New Roman" w:eastAsia="Times New Roman" w:hAnsi="Times New Roman"/>
          <w:sz w:val="22"/>
          <w:szCs w:val="22"/>
          <w:color w:val="auto"/>
        </w:rPr>
        <w:t xml:space="preserve">": A percentage equal as of any date of determination to a number obtained by </w:t>
      </w:r>
      <w:r>
        <w:rPr>
          <w:rFonts w:ascii="Times New Roman" w:cs="Times New Roman" w:eastAsia="Times New Roman" w:hAnsi="Times New Roman"/>
          <w:sz w:val="22"/>
          <w:szCs w:val="22"/>
          <w:i w:val="1"/>
          <w:iCs w:val="1"/>
          <w:color w:val="auto"/>
        </w:rPr>
        <w:t>multiplying</w:t>
      </w:r>
      <w:r>
        <w:rPr>
          <w:rFonts w:ascii="Times New Roman" w:cs="Times New Roman" w:eastAsia="Times New Roman" w:hAnsi="Times New Roman"/>
          <w:sz w:val="22"/>
          <w:szCs w:val="22"/>
          <w:color w:val="auto"/>
        </w:rPr>
        <w:t xml:space="preserve"> (a) the excess, if any, of the Weighted Average Coupon over the Minimum Weighted Average Coupon </w:t>
      </w:r>
      <w:r>
        <w:rPr>
          <w:rFonts w:ascii="Times New Roman" w:cs="Times New Roman" w:eastAsia="Times New Roman" w:hAnsi="Times New Roman"/>
          <w:sz w:val="22"/>
          <w:szCs w:val="22"/>
          <w:i w:val="1"/>
          <w:iCs w:val="1"/>
          <w:color w:val="auto"/>
        </w:rPr>
        <w:t>by</w:t>
      </w:r>
      <w:r>
        <w:rPr>
          <w:rFonts w:ascii="Times New Roman" w:cs="Times New Roman" w:eastAsia="Times New Roman" w:hAnsi="Times New Roman"/>
          <w:sz w:val="22"/>
          <w:szCs w:val="22"/>
          <w:color w:val="auto"/>
        </w:rPr>
        <w:t xml:space="preserve"> (b) the number obtained by </w:t>
      </w:r>
      <w:r>
        <w:rPr>
          <w:rFonts w:ascii="Times New Roman" w:cs="Times New Roman" w:eastAsia="Times New Roman" w:hAnsi="Times New Roman"/>
          <w:sz w:val="22"/>
          <w:szCs w:val="22"/>
          <w:i w:val="1"/>
          <w:iCs w:val="1"/>
          <w:color w:val="auto"/>
        </w:rPr>
        <w:t>dividing</w:t>
      </w:r>
      <w:r>
        <w:rPr>
          <w:rFonts w:ascii="Times New Roman" w:cs="Times New Roman" w:eastAsia="Times New Roman" w:hAnsi="Times New Roman"/>
          <w:sz w:val="22"/>
          <w:szCs w:val="22"/>
          <w:color w:val="auto"/>
        </w:rPr>
        <w:t xml:space="preserve"> the Aggregate Principal Balance of all Fixed Rate Obligations </w:t>
      </w:r>
      <w:r>
        <w:rPr>
          <w:rFonts w:ascii="Times New Roman" w:cs="Times New Roman" w:eastAsia="Times New Roman" w:hAnsi="Times New Roman"/>
          <w:sz w:val="22"/>
          <w:szCs w:val="22"/>
          <w:i w:val="1"/>
          <w:iCs w:val="1"/>
          <w:color w:val="auto"/>
        </w:rPr>
        <w:t>by</w:t>
      </w:r>
      <w:r>
        <w:rPr>
          <w:rFonts w:ascii="Times New Roman" w:cs="Times New Roman" w:eastAsia="Times New Roman" w:hAnsi="Times New Roman"/>
          <w:sz w:val="22"/>
          <w:szCs w:val="22"/>
          <w:color w:val="auto"/>
        </w:rPr>
        <w:t xml:space="preserve"> the Aggregate Principal Balance of all Floating Rate Obligations.</w:t>
      </w:r>
    </w:p>
    <w:p>
      <w:pPr>
        <w:spacing w:after="0" w:line="18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Weighted Average Floating Spread</w:t>
      </w:r>
      <w:r>
        <w:rPr>
          <w:rFonts w:ascii="Times New Roman" w:cs="Times New Roman" w:eastAsia="Times New Roman" w:hAnsi="Times New Roman"/>
          <w:sz w:val="22"/>
          <w:szCs w:val="22"/>
          <w:color w:val="auto"/>
        </w:rPr>
        <w:t xml:space="preserve">": A percentage equal as of any date of determination to a number obtained by </w:t>
      </w:r>
      <w:r>
        <w:rPr>
          <w:rFonts w:ascii="Times New Roman" w:cs="Times New Roman" w:eastAsia="Times New Roman" w:hAnsi="Times New Roman"/>
          <w:sz w:val="22"/>
          <w:szCs w:val="22"/>
          <w:i w:val="1"/>
          <w:iCs w:val="1"/>
          <w:color w:val="auto"/>
        </w:rPr>
        <w:t>multiplying</w:t>
      </w:r>
      <w:r>
        <w:rPr>
          <w:rFonts w:ascii="Times New Roman" w:cs="Times New Roman" w:eastAsia="Times New Roman" w:hAnsi="Times New Roman"/>
          <w:sz w:val="22"/>
          <w:szCs w:val="22"/>
          <w:color w:val="auto"/>
        </w:rPr>
        <w:t xml:space="preserve"> (a) the excess, if any, of the Weighted Average Floating Spread over the Minimum Floating Spread </w:t>
      </w:r>
      <w:r>
        <w:rPr>
          <w:rFonts w:ascii="Times New Roman" w:cs="Times New Roman" w:eastAsia="Times New Roman" w:hAnsi="Times New Roman"/>
          <w:sz w:val="22"/>
          <w:szCs w:val="22"/>
          <w:i w:val="1"/>
          <w:iCs w:val="1"/>
          <w:color w:val="auto"/>
        </w:rPr>
        <w:t>by</w:t>
      </w:r>
    </w:p>
    <w:p>
      <w:pPr>
        <w:spacing w:after="0" w:line="2" w:lineRule="exact"/>
        <w:rPr>
          <w:sz w:val="20"/>
          <w:szCs w:val="20"/>
          <w:color w:val="auto"/>
        </w:rPr>
      </w:pPr>
    </w:p>
    <w:p>
      <w:pPr>
        <w:ind w:firstLine="8"/>
        <w:spacing w:after="0" w:line="237" w:lineRule="auto"/>
        <w:tabs>
          <w:tab w:leader="none" w:pos="31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obtained by </w:t>
      </w:r>
      <w:r>
        <w:rPr>
          <w:rFonts w:ascii="Times New Roman" w:cs="Times New Roman" w:eastAsia="Times New Roman" w:hAnsi="Times New Roman"/>
          <w:sz w:val="22"/>
          <w:szCs w:val="22"/>
          <w:i w:val="1"/>
          <w:iCs w:val="1"/>
          <w:color w:val="auto"/>
        </w:rPr>
        <w:t>dividing</w:t>
      </w:r>
      <w:r>
        <w:rPr>
          <w:rFonts w:ascii="Times New Roman" w:cs="Times New Roman" w:eastAsia="Times New Roman" w:hAnsi="Times New Roman"/>
          <w:sz w:val="22"/>
          <w:szCs w:val="22"/>
          <w:color w:val="auto"/>
        </w:rPr>
        <w:t xml:space="preserve"> the Aggregate Principal Balance of all Floating Rate Obligations </w:t>
      </w:r>
      <w:r>
        <w:rPr>
          <w:rFonts w:ascii="Times New Roman" w:cs="Times New Roman" w:eastAsia="Times New Roman" w:hAnsi="Times New Roman"/>
          <w:sz w:val="22"/>
          <w:szCs w:val="22"/>
          <w:i w:val="1"/>
          <w:iCs w:val="1"/>
          <w:color w:val="auto"/>
        </w:rPr>
        <w:t>by</w:t>
      </w:r>
      <w:r>
        <w:rPr>
          <w:rFonts w:ascii="Times New Roman" w:cs="Times New Roman" w:eastAsia="Times New Roman" w:hAnsi="Times New Roman"/>
          <w:sz w:val="22"/>
          <w:szCs w:val="22"/>
          <w:color w:val="auto"/>
        </w:rPr>
        <w:t xml:space="preserve"> the Aggregate Principal Balance of all Fixed Rate Obligations.</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The United States Securities Exchange Act of 1934, as amended.</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Expense Reserve Account</w:t>
      </w:r>
      <w:r>
        <w:rPr>
          <w:rFonts w:ascii="Times New Roman" w:cs="Times New Roman" w:eastAsia="Times New Roman" w:hAnsi="Times New Roman"/>
          <w:sz w:val="22"/>
          <w:szCs w:val="22"/>
          <w:color w:val="auto"/>
        </w:rPr>
        <w:t xml:space="preserve">": The account established pursuant to </w:t>
      </w:r>
      <w:r>
        <w:rPr>
          <w:rFonts w:ascii="Times New Roman" w:cs="Times New Roman" w:eastAsia="Times New Roman" w:hAnsi="Times New Roman"/>
          <w:sz w:val="22"/>
          <w:szCs w:val="22"/>
          <w:u w:val="single" w:color="auto"/>
          <w:color w:val="auto"/>
        </w:rPr>
        <w:t>Section 10.3(d)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Failed Optional Redemption</w:t>
      </w:r>
      <w:r>
        <w:rPr>
          <w:rFonts w:ascii="Times New Roman" w:cs="Times New Roman" w:eastAsia="Times New Roman" w:hAnsi="Times New Roman"/>
          <w:sz w:val="22"/>
          <w:szCs w:val="22"/>
          <w:color w:val="auto"/>
        </w:rPr>
        <w:t xml:space="preserve">": Any announced Optional Redemption (i) with respect to which notice of redemption has been given pursuant to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(ii) such notice is no longer capable of being withdrawn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9.4(c)</w:t>
      </w:r>
      <w:r>
        <w:rPr>
          <w:rFonts w:ascii="Times New Roman" w:cs="Times New Roman" w:eastAsia="Times New Roman" w:hAnsi="Times New Roman"/>
          <w:sz w:val="22"/>
          <w:szCs w:val="22"/>
          <w:color w:val="auto"/>
        </w:rPr>
        <w:t xml:space="preserve">, and (iii) the Issuer has sold or entered into commitments to sell Assets in connection with such Optional Redemption and has insufficient funds to pay the Redemption Prices due and payable on the Secured Debt in respect of such announced Optional Redemption on the related Redemption Date in accordance with the Priority of Payments;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Optional Redemption with respect to which an expected Refinancing fails to occur shall not be a Failed Optional Redemption.</w:t>
      </w:r>
    </w:p>
    <w:p>
      <w:pPr>
        <w:spacing w:after="0" w:line="18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Fallback Rate</w:t>
      </w:r>
      <w:r>
        <w:rPr>
          <w:rFonts w:ascii="Times New Roman" w:cs="Times New Roman" w:eastAsia="Times New Roman" w:hAnsi="Times New Roman"/>
          <w:sz w:val="22"/>
          <w:szCs w:val="22"/>
          <w:color w:val="auto"/>
        </w:rPr>
        <w:t>": The first alternative rate (other than Libor) (which shall include a Base Rate Modifier (if one exists) and, if applicable, the methodology for calculating such</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reference rate), as capable of being determined by the Collateral Manager in its commercially reasonable discretion, which is any of amongst the following, in order of hierarchy: (i) the quarterly pay reference rate that is used in calculating the benchmark for at least 50% of CLO securities issued in the previous three months (other than Libor), (ii) the quarterly pay rate associated with the reference rate applicable to the largest percentage of the Floating Rate Obligations or (iii) any quarterly pay rate acknowledged as a standard replacement in the leveraged loan market for leveraged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Fallback Rate shall not be less than zero. For the avoidance of doubt, the Fallback Rate shall not be a rate that is unavailable or no longer reported.</w:t>
      </w:r>
    </w:p>
    <w:p>
      <w:pPr>
        <w:spacing w:after="0" w:line="171"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FATCA</w:t>
      </w:r>
      <w:r>
        <w:rPr>
          <w:rFonts w:ascii="Times New Roman" w:cs="Times New Roman" w:eastAsia="Times New Roman" w:hAnsi="Times New Roman"/>
          <w:sz w:val="21"/>
          <w:szCs w:val="21"/>
          <w:color w:val="auto"/>
        </w:rPr>
        <w:t>": Sections 1471 through 1474 of the Code, any current or future regulations or official interpretations thereof, any agreement entered into pursuant to Section 1471(b) of the Code, any intergovernmental agreement entered into in connection with the implementation of such Sections of the Code, or any U.S., non-U.S. fiscal or regulatory legislation, rules, guidance notes or practices adopted pursuant to any such intergovernmental agreement or analogous provisions of non-U.S. law.</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Board</w:t>
      </w:r>
      <w:r>
        <w:rPr>
          <w:rFonts w:ascii="Times New Roman" w:cs="Times New Roman" w:eastAsia="Times New Roman" w:hAnsi="Times New Roman"/>
          <w:sz w:val="22"/>
          <w:szCs w:val="22"/>
          <w:color w:val="auto"/>
        </w:rPr>
        <w:t>": The Board of Governors of the Federal Reserve System.</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Basis Amount</w:t>
      </w:r>
      <w:r>
        <w:rPr>
          <w:rFonts w:ascii="Times New Roman" w:cs="Times New Roman" w:eastAsia="Times New Roman" w:hAnsi="Times New Roman"/>
          <w:sz w:val="22"/>
          <w:szCs w:val="22"/>
          <w:color w:val="auto"/>
        </w:rPr>
        <w:t>": As of any date of determination, the sum of (a) the Collateral Principal Amount, (b) the aggregate principal balance of all Defaulted Obligations and (c) without duplication, the aggregate amount of all Principal Financed Accrued Interest and Principal Financed Capitalized Interest.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Fiduciary</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2.5(j)(iii)</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Asset</w:t>
      </w:r>
      <w:r>
        <w:rPr>
          <w:rFonts w:ascii="Times New Roman" w:cs="Times New Roman" w:eastAsia="Times New Roman" w:hAnsi="Times New Roman"/>
          <w:sz w:val="22"/>
          <w:szCs w:val="22"/>
          <w:color w:val="auto"/>
        </w:rPr>
        <w:t>": The meaning specified in Section 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102(a)(9) of the UCC.</w:t>
      </w:r>
    </w:p>
    <w:p>
      <w:pPr>
        <w:spacing w:after="0" w:line="220"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Statements</w:t>
      </w:r>
      <w:r>
        <w:rPr>
          <w:rFonts w:ascii="Times New Roman" w:cs="Times New Roman" w:eastAsia="Times New Roman" w:hAnsi="Times New Roman"/>
          <w:sz w:val="22"/>
          <w:szCs w:val="22"/>
          <w:color w:val="auto"/>
        </w:rPr>
        <w:t>": The meaning specified in Section 9</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102(a)(39) of the UCC.</w:t>
      </w:r>
    </w:p>
    <w:p>
      <w:pPr>
        <w:spacing w:after="0" w:line="2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Interest Determination End Date</w:t>
      </w:r>
      <w:r>
        <w:rPr>
          <w:rFonts w:ascii="Times New Roman" w:cs="Times New Roman" w:eastAsia="Times New Roman" w:hAnsi="Times New Roman"/>
          <w:sz w:val="22"/>
          <w:szCs w:val="22"/>
          <w:color w:val="auto"/>
        </w:rPr>
        <w:t>": April 20, 2025.</w:t>
      </w:r>
    </w:p>
    <w:p>
      <w:pPr>
        <w:spacing w:after="0" w:line="172" w:lineRule="exact"/>
        <w:rPr>
          <w:sz w:val="20"/>
          <w:szCs w:val="20"/>
          <w:color w:val="auto"/>
        </w:rPr>
      </w:pPr>
    </w:p>
    <w:p>
      <w:pPr>
        <w:jc w:val="both"/>
        <w:ind w:firstLine="1497"/>
        <w:spacing w:after="0" w:line="265"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Lien Last</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Out Loan</w:t>
      </w:r>
      <w:r>
        <w:rPr>
          <w:rFonts w:ascii="Times New Roman" w:cs="Times New Roman" w:eastAsia="Times New Roman" w:hAnsi="Times New Roman"/>
          <w:sz w:val="22"/>
          <w:szCs w:val="22"/>
          <w:color w:val="auto"/>
        </w:rPr>
        <w:t>": A Senior Secured Loan that, prior to a default with respect to such Loan, is entitled to receive payments pari passu with other Senior Secured Loans of the same Obligor, but following a default becomes fully subordinated to other Senior Secured Loans of the same Obligor and is not entitled to any payments until such other Senior Secured Loans are paid in full.</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Rate Debt</w:t>
      </w:r>
      <w:r>
        <w:rPr>
          <w:rFonts w:ascii="Times New Roman" w:cs="Times New Roman" w:eastAsia="Times New Roman" w:hAnsi="Times New Roman"/>
          <w:sz w:val="22"/>
          <w:szCs w:val="22"/>
          <w:color w:val="auto"/>
        </w:rPr>
        <w:t>": Secured Debt that bears a fixed rate of interest.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Rate Notes</w:t>
      </w:r>
      <w:r>
        <w:rPr>
          <w:rFonts w:ascii="Times New Roman" w:cs="Times New Roman" w:eastAsia="Times New Roman" w:hAnsi="Times New Roman"/>
          <w:sz w:val="22"/>
          <w:szCs w:val="22"/>
          <w:color w:val="auto"/>
        </w:rPr>
        <w:t>": Notes that bear a fixed rate of interest.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Rate Obligation</w:t>
      </w:r>
      <w:r>
        <w:rPr>
          <w:rFonts w:ascii="Times New Roman" w:cs="Times New Roman" w:eastAsia="Times New Roman" w:hAnsi="Times New Roman"/>
          <w:sz w:val="22"/>
          <w:szCs w:val="22"/>
          <w:color w:val="auto"/>
        </w:rPr>
        <w:t>": Any Collateral Obligation that bears a fixed rate of interest.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Floating Rate Debt</w:t>
      </w:r>
      <w:r>
        <w:rPr>
          <w:rFonts w:ascii="Times New Roman" w:cs="Times New Roman" w:eastAsia="Times New Roman" w:hAnsi="Times New Roman"/>
          <w:sz w:val="22"/>
          <w:szCs w:val="22"/>
          <w:color w:val="auto"/>
        </w:rPr>
        <w:t>": Secured Debt that bears a floating rate of interest.</w:t>
      </w:r>
    </w:p>
    <w:p>
      <w:pPr>
        <w:spacing w:after="0" w:line="293"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Floating Rate Obligation</w:t>
      </w:r>
      <w:r>
        <w:rPr>
          <w:rFonts w:ascii="Times New Roman" w:cs="Times New Roman" w:eastAsia="Times New Roman" w:hAnsi="Times New Roman"/>
          <w:sz w:val="22"/>
          <w:szCs w:val="22"/>
          <w:color w:val="auto"/>
        </w:rPr>
        <w:t>": Any Collateral Obligation that bears a floating rate of interest.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6.3(j)</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Note</w:t>
      </w:r>
      <w:r>
        <w:rPr>
          <w:rFonts w:ascii="Times New Roman" w:cs="Times New Roman" w:eastAsia="Times New Roman" w:hAnsi="Times New Roman"/>
          <w:sz w:val="22"/>
          <w:szCs w:val="22"/>
          <w:color w:val="auto"/>
        </w:rPr>
        <w:t>":  Any Regulation S Global Secured Note, Temporary Regulation S Global Note or Rule 144A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Global Note.</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Global Rating Agency Condition</w:t>
      </w:r>
      <w:r>
        <w:rPr>
          <w:rFonts w:ascii="Times New Roman" w:cs="Times New Roman" w:eastAsia="Times New Roman" w:hAnsi="Times New Roman"/>
          <w:sz w:val="22"/>
          <w:szCs w:val="22"/>
          <w:color w:val="auto"/>
        </w:rPr>
        <w:t>": With respect to any action taken or to be taken by or on behalf of the Issuer, satisfaction of the S&amp;P Rating Condition.</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Secured Note</w:t>
      </w:r>
      <w:r>
        <w:rPr>
          <w:rFonts w:ascii="Times New Roman" w:cs="Times New Roman" w:eastAsia="Times New Roman" w:hAnsi="Times New Roman"/>
          <w:sz w:val="22"/>
          <w:szCs w:val="22"/>
          <w:color w:val="auto"/>
        </w:rPr>
        <w:t>": Any Regulation S Global Secured Note, Temporary Regulation S Global Note or Rule 144A Global Secured Note.</w:t>
      </w:r>
    </w:p>
    <w:p>
      <w:pPr>
        <w:spacing w:after="0" w:line="124" w:lineRule="exact"/>
        <w:rPr>
          <w:sz w:val="20"/>
          <w:szCs w:val="20"/>
          <w:color w:val="auto"/>
        </w:rPr>
      </w:pPr>
    </w:p>
    <w:p>
      <w:pPr>
        <w:jc w:val="both"/>
        <w:ind w:firstLine="1497"/>
        <w:spacing w:after="0" w:line="28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Whether U.S.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(i) any national, state, county, municipal or regional government or quasi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governmental authority or political subdivision thereof; (ii) any agency, regulator, arbitrator, board, body, branch, bureau, commission, corporation, department, master, mediator, panel, referee, system or instrumentality of any such government or quasi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government entity, or political subdivision thereof; and (iii) any court.</w:t>
      </w:r>
    </w:p>
    <w:p>
      <w:pPr>
        <w:spacing w:after="0" w:line="146"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Granted</w:t>
      </w:r>
      <w:r>
        <w:rPr>
          <w:rFonts w:ascii="Times New Roman" w:cs="Times New Roman" w:eastAsia="Times New Roman" w:hAnsi="Times New Roman"/>
          <w:sz w:val="21"/>
          <w:szCs w:val="21"/>
          <w:color w:val="auto"/>
        </w:rPr>
        <w:t>": To grant, bargain, sell, convey, assign, transfer, mortgage, pledge, create and grant a security interest in and right of setoff against, deposit, set over and confirm. A Grant of the Assets, or of any other instrument, shall include all rights, powers and options (but none of the obligations) of the granting party thereunder, including, the immediate continuing right to claim for, collect, receive and receipt for principal and interest payments in respect of the Assets, and all other Monies payable thereunder, to give and receive notices and other communications, to make waivers or other agreements, to exercise all rights and options, to bring Proceedings in the name of the granting party or otherwise, and generally to do and receive anything that the granting party is or may be entitled to do or receive thereunder or with respect thereto.</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I Country</w:t>
      </w:r>
      <w:r>
        <w:rPr>
          <w:rFonts w:ascii="Times New Roman" w:cs="Times New Roman" w:eastAsia="Times New Roman" w:hAnsi="Times New Roman"/>
          <w:sz w:val="22"/>
          <w:szCs w:val="22"/>
          <w:color w:val="auto"/>
        </w:rPr>
        <w:t>": The Netherlands, Australia, New Zealand and the United Kingdom.</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II Country</w:t>
      </w:r>
      <w:r>
        <w:rPr>
          <w:rFonts w:ascii="Times New Roman" w:cs="Times New Roman" w:eastAsia="Times New Roman" w:hAnsi="Times New Roman"/>
          <w:sz w:val="22"/>
          <w:szCs w:val="22"/>
          <w:color w:val="auto"/>
        </w:rPr>
        <w:t>": Germany, Sweden and Switzerland.</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III Country</w:t>
      </w:r>
      <w:r>
        <w:rPr>
          <w:rFonts w:ascii="Times New Roman" w:cs="Times New Roman" w:eastAsia="Times New Roman" w:hAnsi="Times New Roman"/>
          <w:sz w:val="22"/>
          <w:szCs w:val="22"/>
          <w:color w:val="auto"/>
        </w:rPr>
        <w:t>": Austria, Belgium, Denmark, Finland, France, Iceland, Ireland, Liechtenstein, Luxembourg and Norway.</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xml:space="preserve">" or "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With respect to (a) any Note, the Person whose name appears on the Note Register as the registered holder of such Note or the holder of a beneficial interest in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a beneficial owner of) such Note and (b) the Class A-1 Loans, each Class A-1 Lender recorded in the Loan Register, in each case, except as otherwise provided herein.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 Proposed Re-Pricing Rate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9.7(b)(ii)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 Purchase Request</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9.7(b)(iii)</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85"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IAI/QP</w:t>
      </w:r>
      <w:r>
        <w:rPr>
          <w:rFonts w:ascii="Times New Roman" w:cs="Times New Roman" w:eastAsia="Times New Roman" w:hAnsi="Times New Roman"/>
          <w:sz w:val="21"/>
          <w:szCs w:val="21"/>
          <w:color w:val="auto"/>
        </w:rPr>
        <w:t>": Any Person that, at the time of its acquisition, purported acquisition or proposed acquisition of Notes is both an Institutional Accredited Investor and a Qualified Purchaser (or a corporation, partnership, limited liability company or other entity (other than a trust) and each shareholder, partner, member or other equity owner of which is a Qualified Purchaser).</w:t>
      </w:r>
    </w:p>
    <w:p>
      <w:pPr>
        <w:spacing w:after="0" w:line="15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Incurrence Covenant</w:t>
      </w:r>
      <w:r>
        <w:rPr>
          <w:rFonts w:ascii="Times New Roman" w:cs="Times New Roman" w:eastAsia="Times New Roman" w:hAnsi="Times New Roman"/>
          <w:sz w:val="22"/>
          <w:szCs w:val="22"/>
          <w:color w:val="auto"/>
        </w:rPr>
        <w:t>": A covenant by any borrower to comply with one or more financial covenants only upon the occurrence of certain actions of the borrower, including a debt issuance, dividend payment, share purchase, merger, acquisition or divestiture.</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This indenture and security agreement as originally executed and, if from time to time supplemented or amended by one or more indentures supplemental hereto entered into pursuant to the applicable provisions hereof, as so supplemented or amended.</w:t>
      </w:r>
    </w:p>
    <w:p>
      <w:pPr>
        <w:spacing w:after="0" w:line="17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Independent</w:t>
      </w:r>
      <w:r>
        <w:rPr>
          <w:rFonts w:ascii="Times New Roman" w:cs="Times New Roman" w:eastAsia="Times New Roman" w:hAnsi="Times New Roman"/>
          <w:sz w:val="21"/>
          <w:szCs w:val="21"/>
          <w:color w:val="auto"/>
        </w:rPr>
        <w:t>": As to any Person, any other Person (including, in the case of an accountant or lawyer, a firm of accountants or lawyers, and any member thereof, or an investment bank and any member thereof) who (i) does not have and is not committed to acquire any material direct or any material indirect financial interest in such Person or in any Affiliate of such Person, and (ii) is not connected with such Person as an Officer, employee, promoter, underwriter, voting trustee, partner, manager, director or Person performing similar functions. "Independent" when used with respect to any accountant may include an accountant who audits the books of such Person if in addition to satisfying the criteria set forth above, the accountant is independent with respect to such Person within the meaning of Rule 101 of the Code of Professional Conduct of the American Institute of Certified Public Accountants. For purposes of this definition, no special member, manager, director or independent review party of any Person will fail to be Independent solely because such Person acts as an independent special member, independent manager, independent director or independent review party thereof or of any such Person's affiliates.</w:t>
      </w:r>
    </w:p>
    <w:p>
      <w:pPr>
        <w:spacing w:after="0" w:line="171"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1"/>
          <w:szCs w:val="21"/>
          <w:color w:val="auto"/>
        </w:rPr>
        <w:t>Any pricing service, certified public accountant or legal counsel that is required to be Independent of another Person under this Indenture must satisfy the criteria above with respect to the Issuer, the Collateral Manager and their Affiliates.</w:t>
      </w:r>
    </w:p>
    <w:p>
      <w:pPr>
        <w:spacing w:after="0" w:line="1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Review Party</w:t>
      </w:r>
      <w:r>
        <w:rPr>
          <w:rFonts w:ascii="Times New Roman" w:cs="Times New Roman" w:eastAsia="Times New Roman" w:hAnsi="Times New Roman"/>
          <w:sz w:val="22"/>
          <w:szCs w:val="22"/>
          <w:color w:val="auto"/>
        </w:rPr>
        <w:t>": The meaning set forth in the Collateral Management Agreement.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Index Maturity</w:t>
      </w:r>
      <w:r>
        <w:rPr>
          <w:rFonts w:ascii="Times New Roman" w:cs="Times New Roman" w:eastAsia="Times New Roman" w:hAnsi="Times New Roman"/>
          <w:sz w:val="22"/>
          <w:szCs w:val="22"/>
          <w:color w:val="auto"/>
        </w:rPr>
        <w:t xml:space="preserve">": With respect to any Class of Secured Debt (other than any Fixed Rate Notes), the maturity of the Benchmark used to calculate the Interest Rate for such Class as indicated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Industry Diversity Measure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Ineligible Collateral Obligation</w:t>
      </w:r>
      <w:r>
        <w:rPr>
          <w:rFonts w:ascii="Times New Roman" w:cs="Times New Roman" w:eastAsia="Times New Roman" w:hAnsi="Times New Roman"/>
          <w:sz w:val="22"/>
          <w:szCs w:val="22"/>
          <w:color w:val="auto"/>
        </w:rPr>
        <w:t>": The meaning set forth in the Master Loan Sale Agreement.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Rating</w:t>
      </w:r>
      <w:r>
        <w:rPr>
          <w:rFonts w:ascii="Times New Roman" w:cs="Times New Roman" w:eastAsia="Times New Roman" w:hAnsi="Times New Roman"/>
          <w:sz w:val="22"/>
          <w:szCs w:val="22"/>
          <w:color w:val="auto"/>
        </w:rPr>
        <w:t xml:space="preserve">": With respect to the Secured Debt, the rating or ratings, if any, indicated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Sale and Contribution</w:t>
      </w:r>
      <w:r>
        <w:rPr>
          <w:rFonts w:ascii="Times New Roman" w:cs="Times New Roman" w:eastAsia="Times New Roman" w:hAnsi="Times New Roman"/>
          <w:sz w:val="22"/>
          <w:szCs w:val="22"/>
          <w:color w:val="auto"/>
        </w:rPr>
        <w:t>": The initial sale and contribution of Collateral Obligations, in each case on the Closing Date, from the Transferor to the Issuer.</w:t>
      </w:r>
    </w:p>
    <w:p>
      <w:pPr>
        <w:spacing w:after="0" w:line="15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Institutional Accredited Investor</w:t>
      </w:r>
      <w:r>
        <w:rPr>
          <w:rFonts w:ascii="Times New Roman" w:cs="Times New Roman" w:eastAsia="Times New Roman" w:hAnsi="Times New Roman"/>
          <w:sz w:val="22"/>
          <w:szCs w:val="22"/>
          <w:color w:val="auto"/>
        </w:rPr>
        <w:t>": An "accredited investor" within the meaning set forth in Rule 501(a)(1), (2), (3) or (7) of Regulation D under the Securities Act.</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Institutional Investor</w:t>
      </w:r>
      <w:r>
        <w:rPr>
          <w:rFonts w:ascii="Times New Roman" w:cs="Times New Roman" w:eastAsia="Times New Roman" w:hAnsi="Times New Roman"/>
          <w:sz w:val="22"/>
          <w:szCs w:val="22"/>
          <w:color w:val="auto"/>
        </w:rPr>
        <w:t>": An "institutional investor" as defined in Article 2(12) of the EU Securitization Regulation and in Section 3(1) of SR 2024.</w:t>
      </w:r>
    </w:p>
    <w:p>
      <w:pPr>
        <w:spacing w:after="0" w:line="124"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Instrument</w:t>
      </w:r>
      <w:r>
        <w:rPr>
          <w:rFonts w:ascii="Times New Roman" w:cs="Times New Roman" w:eastAsia="Times New Roman" w:hAnsi="Times New Roman"/>
          <w:sz w:val="22"/>
          <w:szCs w:val="22"/>
          <w:color w:val="auto"/>
        </w:rPr>
        <w:t>": The meaning specified in Section 9</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102(a)(47) of the UCC.</w:t>
      </w:r>
    </w:p>
    <w:p>
      <w:pPr>
        <w:spacing w:after="0" w:line="220" w:lineRule="exact"/>
        <w:rPr>
          <w:sz w:val="20"/>
          <w:szCs w:val="20"/>
          <w:color w:val="auto"/>
        </w:rPr>
      </w:pPr>
    </w:p>
    <w:p>
      <w:pPr>
        <w:jc w:val="both"/>
        <w:ind w:firstLine="1497"/>
        <w:spacing w:after="0" w:line="258"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Accrual Period</w:t>
      </w:r>
      <w:r>
        <w:rPr>
          <w:rFonts w:ascii="Times New Roman" w:cs="Times New Roman" w:eastAsia="Times New Roman" w:hAnsi="Times New Roman"/>
          <w:sz w:val="22"/>
          <w:szCs w:val="22"/>
          <w:color w:val="auto"/>
        </w:rPr>
        <w:t>": (i) With respect to the initial Payment Date (or, in the case of a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Priced Class or a Class that is subject to a Refinancing, the first Payment Date following the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Date or the Refinancing, respectively), the period from and including the Closing Date (or, in the case of (x) a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the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Pricing Date and (y) a Refinancing, the date of issuance of the replacement notes or debt obligations) to but excluding such Payment Date; and (ii) with respect to each succeeding Payment Date, the period from and including the immediately preceding Payment Date to but excluding the following Payment Date until the principal of the Secured Debt is paid in full or made available for 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purposes of determining any Interest Accrual Period in the case of any Fixed Rate Debt, the Payment Date shall be assumed to be the 20th day of the relevant month (irrespective of whether such day is a Business Day).</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Collection Subaccount</w:t>
      </w:r>
      <w:r>
        <w:rPr>
          <w:rFonts w:ascii="Times New Roman" w:cs="Times New Roman" w:eastAsia="Times New Roman" w:hAnsi="Times New Roman"/>
          <w:sz w:val="22"/>
          <w:szCs w:val="22"/>
          <w:color w:val="auto"/>
        </w:rPr>
        <w:t xml:space="preserve">": The account established pursuant to </w:t>
      </w:r>
      <w:r>
        <w:rPr>
          <w:rFonts w:ascii="Times New Roman" w:cs="Times New Roman" w:eastAsia="Times New Roman" w:hAnsi="Times New Roman"/>
          <w:sz w:val="22"/>
          <w:szCs w:val="22"/>
          <w:u w:val="single" w:color="auto"/>
          <w:color w:val="auto"/>
        </w:rPr>
        <w:t>Section 10.2(a)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tabs>
          <w:tab w:leader="none" w:pos="416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Coverage Ratio</w:t>
      </w:r>
      <w:r>
        <w:rPr>
          <w:rFonts w:ascii="Times New Roman" w:cs="Times New Roman" w:eastAsia="Times New Roman" w:hAnsi="Times New Roman"/>
          <w:sz w:val="22"/>
          <w:szCs w:val="22"/>
          <w:color w:val="auto"/>
        </w:rPr>
        <w:t>":</w:t>
        <w:tab/>
        <w:t>For any designated Class or Classes of Secured Debt, as of any date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determination, the percentage derived from the following equation: (A – B) / C, where:</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 = The Collateral Interest Amount as of such date of determination;</w:t>
      </w:r>
    </w:p>
    <w:p>
      <w:pPr>
        <w:spacing w:after="0" w:line="206" w:lineRule="exact"/>
        <w:rPr>
          <w:sz w:val="20"/>
          <w:szCs w:val="20"/>
          <w:color w:val="auto"/>
        </w:rPr>
      </w:pPr>
    </w:p>
    <w:p>
      <w:pPr>
        <w:jc w:val="both"/>
        <w:ind w:left="1500"/>
        <w:spacing w:after="0" w:line="239" w:lineRule="auto"/>
        <w:rPr>
          <w:sz w:val="20"/>
          <w:szCs w:val="20"/>
          <w:color w:val="auto"/>
        </w:rPr>
      </w:pPr>
      <w:r>
        <w:rPr>
          <w:rFonts w:ascii="Times New Roman" w:cs="Times New Roman" w:eastAsia="Times New Roman" w:hAnsi="Times New Roman"/>
          <w:sz w:val="22"/>
          <w:szCs w:val="22"/>
          <w:color w:val="auto"/>
        </w:rPr>
        <w:t xml:space="preserve">B = Amounts payable (or expected as of the date of determination to be payable) on the following Payment Date as set forth in clauses (A) and (B) in </w:t>
      </w:r>
      <w:r>
        <w:rPr>
          <w:rFonts w:ascii="Times New Roman" w:cs="Times New Roman" w:eastAsia="Times New Roman" w:hAnsi="Times New Roman"/>
          <w:sz w:val="22"/>
          <w:szCs w:val="22"/>
          <w:u w:val="single" w:color="auto"/>
          <w:color w:val="auto"/>
        </w:rPr>
        <w:t>Section 11.1(a)(i)</w:t>
      </w:r>
      <w:r>
        <w:rPr>
          <w:rFonts w:ascii="Times New Roman" w:cs="Times New Roman" w:eastAsia="Times New Roman" w:hAnsi="Times New Roman"/>
          <w:sz w:val="22"/>
          <w:szCs w:val="22"/>
          <w:color w:val="auto"/>
        </w:rPr>
        <w:t xml:space="preserve"> (excluding any Collateral Management Fee that would otherwise be payable on the following Payment Date, but that has been designated by the Collateral Manager as a Waived Collateral Management Fee as of such date of determination); and</w:t>
      </w:r>
    </w:p>
    <w:p>
      <w:pPr>
        <w:spacing w:after="0" w:line="180"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 xml:space="preserve">C = Interest due and payable on the Secured Debt of such Class or Classes and each Class of Secured Debt that rank senior to or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such Class or Classes (excluding Deferred Interest but including any interest on Deferred Interest with respect to the Deferrable Notes) on such Payment Date.</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For purposes of calculating the Interest Coverage Ratio, the Class A-1 Debt, the Class A-2 Notes and the Class B Notes shall be treated as a single Class.</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85"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Coverage Test</w:t>
      </w:r>
      <w:r>
        <w:rPr>
          <w:rFonts w:ascii="Times New Roman" w:cs="Times New Roman" w:eastAsia="Times New Roman" w:hAnsi="Times New Roman"/>
          <w:sz w:val="22"/>
          <w:szCs w:val="22"/>
          <w:color w:val="auto"/>
        </w:rPr>
        <w:t>": A test that is satisfied with respect to any Class or Classes of Secured Debt as of the Determination Date immediately preceding the second Payment Date and any other date thereafter on which such test is required to be determined hereunder if (i) the Interest Coverage Ratio for such Class or Classes on such date is at least equal to the Required Interest Coverage Ratio for such Class or Classes or (ii) such Class or Classes are no longer Outstanding.</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Determination Date</w:t>
      </w:r>
      <w:r>
        <w:rPr>
          <w:rFonts w:ascii="Times New Roman" w:cs="Times New Roman" w:eastAsia="Times New Roman" w:hAnsi="Times New Roman"/>
          <w:sz w:val="22"/>
          <w:szCs w:val="22"/>
          <w:color w:val="auto"/>
        </w:rPr>
        <w:t>": With respect to (a) the first Interest Accrual Period, (x) for the period from the Closing Date to but excluding the First Interest Determination End Date, the second U.S. Government Securities Business Day preceding the Closing Date, and (y) for the remainder of the first Interest Accrual Period, the second U.S. Government Securities Business Day preceding the First Interest Determination End Date, and (b) each Interest Accrual Period thereafter second U.S. Government Securities Business Day preceding the first day of each Interest Accrual Period.</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Proceeds</w:t>
      </w:r>
      <w:r>
        <w:rPr>
          <w:rFonts w:ascii="Times New Roman" w:cs="Times New Roman" w:eastAsia="Times New Roman" w:hAnsi="Times New Roman"/>
          <w:sz w:val="21"/>
          <w:szCs w:val="21"/>
          <w:color w:val="auto"/>
        </w:rPr>
        <w:t>": With respect to any Collection Period or Determination Date, without duplication, the sum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w:t>
      </w:r>
    </w:p>
    <w:p>
      <w:pPr>
        <w:spacing w:after="0" w:line="182" w:lineRule="exact"/>
        <w:rPr>
          <w:sz w:val="20"/>
          <w:szCs w:val="20"/>
          <w:color w:val="auto"/>
        </w:rPr>
      </w:pPr>
    </w:p>
    <w:p>
      <w:pPr>
        <w:jc w:val="both"/>
        <w:ind w:left="1500" w:firstLine="1024"/>
        <w:spacing w:after="0" w:line="238" w:lineRule="auto"/>
        <w:tabs>
          <w:tab w:leader="none" w:pos="295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of interest and delayed compensation (representing compensation for delayed settlement) received in Cash by the Issuer during the related Collection Period on the Collateral Obligations and Eligible Investments, including the accrued interest received in connection with a sale thereof during the related Collection Period, less any such amount that represents Principal Financed Accrued Interest or Principal Financed Capitalized Interest;</w:t>
      </w:r>
    </w:p>
    <w:p>
      <w:pPr>
        <w:spacing w:after="0" w:line="176" w:lineRule="exact"/>
        <w:rPr>
          <w:rFonts w:ascii="Times New Roman" w:cs="Times New Roman" w:eastAsia="Times New Roman" w:hAnsi="Times New Roman"/>
          <w:sz w:val="22"/>
          <w:szCs w:val="22"/>
          <w:color w:val="auto"/>
        </w:rPr>
      </w:pPr>
    </w:p>
    <w:p>
      <w:pPr>
        <w:ind w:left="1500" w:right="20" w:firstLine="1024"/>
        <w:spacing w:after="0" w:line="258" w:lineRule="auto"/>
        <w:tabs>
          <w:tab w:leader="none" w:pos="295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principal and interest payments received by the Issuer during the related Collection Period on Eligible Investments purchased with Interest Proceeds;</w:t>
      </w:r>
    </w:p>
    <w:p>
      <w:pPr>
        <w:spacing w:after="0" w:line="158" w:lineRule="exact"/>
        <w:rPr>
          <w:rFonts w:ascii="Times New Roman" w:cs="Times New Roman" w:eastAsia="Times New Roman" w:hAnsi="Times New Roman"/>
          <w:sz w:val="22"/>
          <w:szCs w:val="22"/>
          <w:color w:val="auto"/>
        </w:rPr>
      </w:pPr>
    </w:p>
    <w:p>
      <w:pPr>
        <w:jc w:val="both"/>
        <w:ind w:left="1500" w:firstLine="1024"/>
        <w:spacing w:after="0" w:line="239" w:lineRule="auto"/>
        <w:tabs>
          <w:tab w:leader="none" w:pos="295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amendment and waiver fees, late payment fees and other fees received by the Issuer during the related Collection Period, except for those in connection with (a) the lengthening of the maturity of the related Collateral Obligation or (b) the reduction of the par amount of the related Collateral Obligation, as determined by the Collateral Manager with notice to the Collateral Trustee and the Collateral Administrator;</w:t>
      </w:r>
    </w:p>
    <w:p>
      <w:pPr>
        <w:spacing w:after="0" w:line="180" w:lineRule="exact"/>
        <w:rPr>
          <w:rFonts w:ascii="Times New Roman" w:cs="Times New Roman" w:eastAsia="Times New Roman" w:hAnsi="Times New Roman"/>
          <w:sz w:val="22"/>
          <w:szCs w:val="22"/>
          <w:color w:val="auto"/>
        </w:rPr>
      </w:pPr>
    </w:p>
    <w:p>
      <w:pPr>
        <w:ind w:left="1500" w:right="20" w:firstLine="1024"/>
        <w:spacing w:after="0" w:line="258" w:lineRule="auto"/>
        <w:tabs>
          <w:tab w:leader="none" w:pos="295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commitment fees and other similar fees received by the Issuer during such Collection Period in respect of Revolving Collateral Obligations and Delayed Drawdown Collateral Obligations;</w:t>
      </w:r>
    </w:p>
    <w:p>
      <w:pPr>
        <w:spacing w:after="0" w:line="158" w:lineRule="exact"/>
        <w:rPr>
          <w:rFonts w:ascii="Times New Roman" w:cs="Times New Roman" w:eastAsia="Times New Roman" w:hAnsi="Times New Roman"/>
          <w:sz w:val="22"/>
          <w:szCs w:val="22"/>
          <w:color w:val="auto"/>
        </w:rPr>
      </w:pPr>
    </w:p>
    <w:p>
      <w:pPr>
        <w:ind w:left="1500" w:right="20" w:firstLine="1024"/>
        <w:spacing w:after="0" w:line="282" w:lineRule="auto"/>
        <w:tabs>
          <w:tab w:leader="none" w:pos="295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amounts deposited in the Collection Account from the Expense Reserve Account that are designated as Interest Proceeds in the sole discretion of the Collateral Manager as provided in </w:t>
      </w:r>
      <w:r>
        <w:rPr>
          <w:rFonts w:ascii="Times New Roman" w:cs="Times New Roman" w:eastAsia="Times New Roman" w:hAnsi="Times New Roman"/>
          <w:sz w:val="21"/>
          <w:szCs w:val="21"/>
          <w:u w:val="single" w:color="auto"/>
          <w:color w:val="auto"/>
        </w:rPr>
        <w:t>Section 10.3(d)</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ind w:left="1500" w:right="20" w:firstLine="1024"/>
        <w:spacing w:after="0" w:line="258" w:lineRule="auto"/>
        <w:tabs>
          <w:tab w:leader="none" w:pos="295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amounts deposited in the Collection Account from the Interest Reserve Account that are designated as Interest Proceeds in the sole discretion of the Collateral Manager pursuant to </w:t>
      </w:r>
      <w:r>
        <w:rPr>
          <w:rFonts w:ascii="Times New Roman" w:cs="Times New Roman" w:eastAsia="Times New Roman" w:hAnsi="Times New Roman"/>
          <w:sz w:val="22"/>
          <w:szCs w:val="22"/>
          <w:u w:val="single" w:color="auto"/>
          <w:color w:val="auto"/>
        </w:rPr>
        <w:t>Section 10.3(e)</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85" w:lineRule="exact"/>
        <w:rPr>
          <w:sz w:val="20"/>
          <w:szCs w:val="20"/>
          <w:color w:val="auto"/>
        </w:rPr>
      </w:pPr>
    </w:p>
    <w:p>
      <w:pPr>
        <w:jc w:val="both"/>
        <w:ind w:left="1500" w:firstLine="1024"/>
        <w:spacing w:after="0" w:line="244" w:lineRule="auto"/>
        <w:tabs>
          <w:tab w:leader="none" w:pos="295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deposited in the Collection Account from the Contribution Account as Interest Proceeds at the direction of the related Contributor (or, if no direction is given by the Contributor, at the direction of the Collateral Manager in its sole discretion); and</w:t>
      </w:r>
    </w:p>
    <w:p>
      <w:pPr>
        <w:spacing w:after="0" w:line="173" w:lineRule="exact"/>
        <w:rPr>
          <w:rFonts w:ascii="Times New Roman" w:cs="Times New Roman" w:eastAsia="Times New Roman" w:hAnsi="Times New Roman"/>
          <w:sz w:val="22"/>
          <w:szCs w:val="22"/>
          <w:color w:val="auto"/>
        </w:rPr>
      </w:pPr>
    </w:p>
    <w:p>
      <w:pPr>
        <w:ind w:left="1500" w:right="20" w:firstLine="1024"/>
        <w:spacing w:after="0" w:line="258" w:lineRule="auto"/>
        <w:tabs>
          <w:tab w:leader="none" w:pos="338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deposited in the Collection Account as Interest Proceeds from the Principal Collection Subaccount or the Ramp-Up Account subject to the Effective Date Interest Deposit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06" w:lineRule="exact"/>
        <w:rPr>
          <w:sz w:val="20"/>
          <w:szCs w:val="20"/>
          <w:color w:val="auto"/>
        </w:rPr>
      </w:pPr>
    </w:p>
    <w:p>
      <w:pPr>
        <w:jc w:val="both"/>
        <w:ind w:left="760" w:firstLine="745"/>
        <w:spacing w:after="0" w:line="235"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clause (b) below, any amounts received in respect of any Defaulted Obligation, including any obligation or security received in exchange therefor, will constitute Principal Proceeds (and not Interest Proceeds) until (as determined by the Collateral Manager with notice to the Collateral Trustee and Collateral Administrator) the aggregate of all collections in respect of such Defaulted Obligation and, if such Defaulted Obligation is a Delayed Drawdown Collateral Obligation or a Revolving Collateral Obligation, any amounts transferred from the Revolver Funding Account to the Principal Collection Subaccount with regard thereto, since it became a Defaulted Obligation equals the outstanding principal balance of such Collateral Obligation at the time it became a Defaulted Obligation, and then Interest Proceeds thereafter;</w:t>
      </w:r>
    </w:p>
    <w:p>
      <w:pPr>
        <w:spacing w:after="0" w:line="17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Restructured Asset Proceeds shall constitute:</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68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related Restructured Asset is a Collateral Restructured Asset and no Principal Proceeds were expended in connection with its acquisition, (1) first, Principal Proceeds until the aggregate of all Restructured Asset Proceeds received with respect to such Restructured Asset equals its S&amp;P Collateral Value, and (2) then Interest Proceeds thereafter,</w:t>
      </w:r>
    </w:p>
    <w:p>
      <w:pPr>
        <w:spacing w:after="0" w:line="180" w:lineRule="exact"/>
        <w:rPr>
          <w:rFonts w:ascii="Times New Roman" w:cs="Times New Roman" w:eastAsia="Times New Roman" w:hAnsi="Times New Roman"/>
          <w:sz w:val="22"/>
          <w:szCs w:val="22"/>
          <w:color w:val="auto"/>
        </w:rPr>
      </w:pPr>
    </w:p>
    <w:p>
      <w:pPr>
        <w:jc w:val="both"/>
        <w:ind w:left="1500" w:firstLine="754"/>
        <w:spacing w:after="0" w:line="235" w:lineRule="auto"/>
        <w:tabs>
          <w:tab w:leader="none" w:pos="268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related Restructured Asset is not a Collateral Restructured Asset and no Principal Proceeds were expended in connection with its acquisition, (1) first, Principal Proceeds until the aggregate of all Restructured Asset Proceeds received with respect to such Restructured Asset equals the outstanding principal balance of the Defaulted Obligation with respect to which such Restructured Asset was acquired at the time it became a Defaulted Obligation (after giving effect to all other recoveries with respect to such Defaulted Obligation since it became a Defaulted Obligation, including as set forth under clause (a) above) and (2) then, Interest Proceeds, and</w:t>
      </w:r>
    </w:p>
    <w:p>
      <w:pPr>
        <w:spacing w:after="0" w:line="183" w:lineRule="exact"/>
        <w:rPr>
          <w:rFonts w:ascii="Times New Roman" w:cs="Times New Roman" w:eastAsia="Times New Roman" w:hAnsi="Times New Roman"/>
          <w:sz w:val="22"/>
          <w:szCs w:val="22"/>
          <w:color w:val="auto"/>
        </w:rPr>
      </w:pPr>
    </w:p>
    <w:p>
      <w:pPr>
        <w:jc w:val="both"/>
        <w:ind w:left="1500" w:firstLine="754"/>
        <w:spacing w:after="0" w:line="236" w:lineRule="auto"/>
        <w:tabs>
          <w:tab w:leader="none" w:pos="268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acquisition cost of the related Restructured Asset was funded, in whole or in part, with Principal Proceeds, (1) first, Principal Proceeds until the aggregate of all Restructured Asset Proceeds received with respect to such Restructured Asset equals the sum of (x) the outstanding principal balance of the Defaulted Obligation with respect to which such Restructured Asset was acquired at the time it became a Defaulted Obligation (after giving effect to all other recoveries with respect to such Defaulted Obligation since it became a Defaulted</w:t>
      </w:r>
    </w:p>
    <w:p>
      <w:pPr>
        <w:spacing w:after="0" w:line="160"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85"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Obligation, including as set forth under clause (a) above), and (y) the greater of (i) the amount of Principal Proceeds applied to acquire such Restructured Asset and (ii) the amount equal to the S&amp;P Collateral Value of such Restructured Asset and (2) then Interest Proceeds thereafter;</w:t>
      </w:r>
    </w:p>
    <w:p>
      <w:pPr>
        <w:spacing w:after="0" w:line="173" w:lineRule="exact"/>
        <w:rPr>
          <w:sz w:val="20"/>
          <w:szCs w:val="20"/>
          <w:color w:val="auto"/>
        </w:rPr>
      </w:pPr>
    </w:p>
    <w:p>
      <w:pPr>
        <w:ind w:left="1940" w:hanging="435"/>
        <w:spacing w:after="0"/>
        <w:tabs>
          <w:tab w:leader="none" w:pos="19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interest shall not constitute Interest Proceeds; and</w:t>
      </w:r>
    </w:p>
    <w:p>
      <w:pPr>
        <w:spacing w:after="0" w:line="206"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relating to Maturity Amendments that are required to be treated as Principal Proceeds under this Indenture shall not constitute Interest Proceeds.</w:t>
      </w:r>
    </w:p>
    <w:p>
      <w:pPr>
        <w:spacing w:after="0" w:line="154" w:lineRule="exact"/>
        <w:rPr>
          <w:sz w:val="20"/>
          <w:szCs w:val="20"/>
          <w:color w:val="auto"/>
        </w:rPr>
      </w:pPr>
    </w:p>
    <w:p>
      <w:pPr>
        <w:jc w:val="both"/>
        <w:ind w:firstLine="1497"/>
        <w:spacing w:after="0" w:line="26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Interest Rate</w:t>
      </w:r>
      <w:r>
        <w:rPr>
          <w:rFonts w:ascii="Times New Roman" w:cs="Times New Roman" w:eastAsia="Times New Roman" w:hAnsi="Times New Roman"/>
          <w:sz w:val="22"/>
          <w:szCs w:val="22"/>
          <w:color w:val="auto"/>
        </w:rPr>
        <w:t xml:space="preserve">": With respect to each Class of Secured Debt, the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stated interest rate payable on such Class with respect to each Interest Accrual Period or portion thereof, which rate shall be equal to the rate specified for such Class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(or any Fallback Rate, if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Interest Accrual Period during which a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Pricing has occurred, the applicable Interest Rate of any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Priced Class shall reflect the applicable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Rate from, and including, the applicable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Date.</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Reserve Account</w:t>
      </w:r>
      <w:r>
        <w:rPr>
          <w:rFonts w:ascii="Times New Roman" w:cs="Times New Roman" w:eastAsia="Times New Roman" w:hAnsi="Times New Roman"/>
          <w:sz w:val="22"/>
          <w:szCs w:val="22"/>
          <w:color w:val="auto"/>
        </w:rPr>
        <w:t xml:space="preserve">": The account established pursuant to </w:t>
      </w:r>
      <w:r>
        <w:rPr>
          <w:rFonts w:ascii="Times New Roman" w:cs="Times New Roman" w:eastAsia="Times New Roman" w:hAnsi="Times New Roman"/>
          <w:sz w:val="22"/>
          <w:szCs w:val="22"/>
          <w:u w:val="single" w:color="auto"/>
          <w:color w:val="auto"/>
        </w:rPr>
        <w:t>Section 10.3(e)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Reserve Amount</w:t>
      </w:r>
      <w:r>
        <w:rPr>
          <w:rFonts w:ascii="Times New Roman" w:cs="Times New Roman" w:eastAsia="Times New Roman" w:hAnsi="Times New Roman"/>
          <w:sz w:val="22"/>
          <w:szCs w:val="22"/>
          <w:color w:val="auto"/>
        </w:rPr>
        <w:t>": U.S.$1,000,000.</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Criteria</w:t>
      </w:r>
      <w:r>
        <w:rPr>
          <w:rFonts w:ascii="Times New Roman" w:cs="Times New Roman" w:eastAsia="Times New Roman" w:hAnsi="Times New Roman"/>
          <w:sz w:val="22"/>
          <w:szCs w:val="22"/>
          <w:color w:val="auto"/>
        </w:rPr>
        <w:t xml:space="preserve">": The criteria specified in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The United States Internal Revenue Service.</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The Person named as such on the first page of this Indenture until a successor Person shall have become the Issuer pursuant to the applicable provisions of this Indenture, and thereafter "Issuer" shall mean such successor Person.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 LLCA</w:t>
      </w:r>
      <w:r>
        <w:rPr>
          <w:rFonts w:ascii="Times New Roman" w:cs="Times New Roman" w:eastAsia="Times New Roman" w:hAnsi="Times New Roman"/>
          <w:sz w:val="22"/>
          <w:szCs w:val="22"/>
          <w:color w:val="auto"/>
        </w:rPr>
        <w:t>": The Amended and Restated Limited Liability Company Agreement of the Issuer.</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 Order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Issuer Request</w:t>
      </w:r>
      <w:r>
        <w:rPr>
          <w:rFonts w:ascii="Times New Roman" w:cs="Times New Roman" w:eastAsia="Times New Roman" w:hAnsi="Times New Roman"/>
          <w:sz w:val="22"/>
          <w:szCs w:val="22"/>
          <w:color w:val="auto"/>
        </w:rPr>
        <w:t>": A written order, direction or request (which may be a standing order, direction or request) dated and signed (or, if applicable, sent) in the name of the Issuer or by a Responsible Officer of the Issuer or by the Collateral Manager by a Responsible Officer thereof, on behalf of the Issuer. For the avoidance of doubt, an order, direction or request provided in an email or other electronic communication by a Responsible Officer of the Issuer or by a Responsible Officer of the Collateral Manager on behalf of the Issuer shall constitute an Issuer Order, unless the Collateral Trustee otherwise requests that such Issuer Order be in writing.</w:t>
      </w:r>
    </w:p>
    <w:p>
      <w:pPr>
        <w:spacing w:after="0" w:line="18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Class</w:t>
      </w:r>
      <w:r>
        <w:rPr>
          <w:rFonts w:ascii="Times New Roman" w:cs="Times New Roman" w:eastAsia="Times New Roman" w:hAnsi="Times New Roman"/>
          <w:sz w:val="22"/>
          <w:szCs w:val="22"/>
          <w:color w:val="auto"/>
        </w:rPr>
        <w:t xml:space="preserve">": With respect to a particular Class of Debt, each Class of Debt that is subordinated to such Class, as indicated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Any obligation for the payment or repayment of borrowed money that is documented by a term loan agreement, revolving loan agreement or other similar credit agreement.</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Agent</w:t>
      </w:r>
      <w:r>
        <w:rPr>
          <w:rFonts w:ascii="Times New Roman" w:cs="Times New Roman" w:eastAsia="Times New Roman" w:hAnsi="Times New Roman"/>
          <w:sz w:val="22"/>
          <w:szCs w:val="22"/>
          <w:color w:val="auto"/>
        </w:rPr>
        <w:t>": Collectively, the Class A-1L-A Loan Agent and the Class A-1L-B Loan Agent.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Register</w:t>
      </w:r>
      <w:r>
        <w:rPr>
          <w:rFonts w:ascii="Times New Roman" w:cs="Times New Roman" w:eastAsia="Times New Roman" w:hAnsi="Times New Roman"/>
          <w:sz w:val="22"/>
          <w:szCs w:val="22"/>
          <w:color w:val="auto"/>
        </w:rPr>
        <w:t>": The meaning assigned in the Credit Agreements.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Registrar</w:t>
      </w:r>
      <w:r>
        <w:rPr>
          <w:rFonts w:ascii="Times New Roman" w:cs="Times New Roman" w:eastAsia="Times New Roman" w:hAnsi="Times New Roman"/>
          <w:sz w:val="22"/>
          <w:szCs w:val="22"/>
          <w:color w:val="auto"/>
        </w:rPr>
        <w:t>": The meaning assigned in the Credit Agreements.</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Long-Dated Obligation</w:t>
      </w:r>
      <w:r>
        <w:rPr>
          <w:rFonts w:ascii="Times New Roman" w:cs="Times New Roman" w:eastAsia="Times New Roman" w:hAnsi="Times New Roman"/>
          <w:sz w:val="22"/>
          <w:szCs w:val="22"/>
          <w:color w:val="auto"/>
        </w:rPr>
        <w:t>": Any Collateral Obligation, the stated maturity date of which is extended to occur after the earliest Stated Maturity of the Debt Outstanding pursuant to an amendment or modification of its terms following its acquisition by the Issuer.</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Maintenance Covenant</w:t>
      </w:r>
      <w:r>
        <w:rPr>
          <w:rFonts w:ascii="Times New Roman" w:cs="Times New Roman" w:eastAsia="Times New Roman" w:hAnsi="Times New Roman"/>
          <w:sz w:val="22"/>
          <w:szCs w:val="22"/>
          <w:color w:val="auto"/>
        </w:rPr>
        <w:t>": A covenant by any borrower to comply with one or more financial covenants during each reporting period, whether or not such borrower has taken any specified action and includes a covenant that applies only when the related loan is funded, regardless of whether such covenant is only applicable until or after the expiration of a certain period of time after the initial issuance of such loan.</w:t>
      </w:r>
    </w:p>
    <w:p>
      <w:pPr>
        <w:spacing w:after="0" w:line="18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Majority</w:t>
      </w:r>
      <w:r>
        <w:rPr>
          <w:rFonts w:ascii="Times New Roman" w:cs="Times New Roman" w:eastAsia="Times New Roman" w:hAnsi="Times New Roman"/>
          <w:sz w:val="22"/>
          <w:szCs w:val="22"/>
          <w:color w:val="auto"/>
        </w:rPr>
        <w:t xml:space="preserve">": With respect to any Class or Classes of Debt, the Holders of more than 50% of the Aggregate Outstanding Amount of such Class or Classes,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 the Class A-1L-A Loans, a "Majority of the Class A-1L-A Lenders" at any time means Class A-1L-A Lenders holding more than 50% of the Aggregate Outstanding Amount of the Class A-1L-A Loans Outstanding at such time and (b) the Class A-1L-B Loans, a "Majority of the Class A-1L-B Lenders" at any time means Class A-1L-B Lenders holding more than 50% of the Aggregate Outstanding Amount of the Class A-1L-B Loans Outstanding at such time.</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Tender</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9.7(b)(iv)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"Margin Stock" as defined under Regulation U issued by the Federal Reserve Board, including any debt security which is by its terms convertible into "Margin Stock."</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Value</w:t>
      </w:r>
      <w:r>
        <w:rPr>
          <w:rFonts w:ascii="Times New Roman" w:cs="Times New Roman" w:eastAsia="Times New Roman" w:hAnsi="Times New Roman"/>
          <w:sz w:val="22"/>
          <w:szCs w:val="22"/>
          <w:color w:val="auto"/>
        </w:rPr>
        <w:t>": With respect to any loans or other assets, the amount (determined by the Collateral Manager) equal to the product of the Principal Balance thereof and the price (expressed as a percentage of par) determined in the following manner:</w:t>
      </w:r>
    </w:p>
    <w:p>
      <w:pPr>
        <w:spacing w:after="0" w:line="173" w:lineRule="exact"/>
        <w:rPr>
          <w:sz w:val="20"/>
          <w:szCs w:val="20"/>
          <w:color w:val="auto"/>
        </w:rPr>
      </w:pPr>
    </w:p>
    <w:p>
      <w:pPr>
        <w:jc w:val="both"/>
        <w:ind w:left="1500" w:firstLine="1024"/>
        <w:spacing w:after="0" w:line="234" w:lineRule="auto"/>
        <w:tabs>
          <w:tab w:leader="none" w:pos="295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 the "bid side" price determined by the Loan Pricing Corporation, Markit Group Limited, LoanX Mark-It Partners, FT Interactive, Bridge Information Systems, KDP, IDC, Bank of America High Yield Index, Interactive Data Pricing and Reference Data, Inc., Pricing Direct Inc., S&amp;P Security Evaluations Service, Thompson Reuters Pricing Service, TradeWeb Markets LLC or any other third party nationally recognized pricing service selected by the Collateral Manager or (B) if data for such Collateral Obligation is not available from such a pricing service, an analysis performed by a third party nationally recognized valuation firm to establish a fair market value of such Collateral Obligation that reflects the "bid side" price that would be paid by a willing buyer to a willing seller of such Collateral Obligation in an expedited sale on an arm's-length basis; or</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85" w:lineRule="exact"/>
        <w:rPr>
          <w:sz w:val="20"/>
          <w:szCs w:val="20"/>
          <w:color w:val="auto"/>
        </w:rPr>
      </w:pPr>
    </w:p>
    <w:p>
      <w:pPr>
        <w:ind w:left="1500" w:right="40" w:firstLine="1024"/>
        <w:spacing w:after="0" w:line="258" w:lineRule="auto"/>
        <w:tabs>
          <w:tab w:leader="none" w:pos="295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price described in clause (i) is not available or the Collateral Manager determines in accordance with the Collateral Manager Standard that such price does not reflect the value of such asset;</w:t>
      </w:r>
    </w:p>
    <w:p>
      <w:pPr>
        <w:spacing w:after="0" w:line="123" w:lineRule="exact"/>
        <w:rPr>
          <w:rFonts w:ascii="Times New Roman" w:cs="Times New Roman" w:eastAsia="Times New Roman" w:hAnsi="Times New Roman"/>
          <w:sz w:val="22"/>
          <w:szCs w:val="22"/>
          <w:color w:val="auto"/>
        </w:rPr>
      </w:pPr>
    </w:p>
    <w:p>
      <w:pPr>
        <w:ind w:left="3760" w:hanging="757"/>
        <w:spacing w:after="0" w:line="272" w:lineRule="exact"/>
        <w:tabs>
          <w:tab w:leader="none" w:pos="344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of the bid side prices determined by three broker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dealers active in the trading of such asset that are Independent (without giving effect to the last sentence in the definition thereof) from each other and the Issuer and the Collateral Manager;</w:t>
      </w:r>
    </w:p>
    <w:p>
      <w:pPr>
        <w:spacing w:after="0" w:line="177"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only two such bids can be obtained, the lower of the bid side prices of such two bids; or</w:t>
      </w:r>
    </w:p>
    <w:p>
      <w:pPr>
        <w:spacing w:after="0" w:line="217" w:lineRule="exact"/>
        <w:rPr>
          <w:rFonts w:ascii="Times New Roman" w:cs="Times New Roman" w:eastAsia="Times New Roman" w:hAnsi="Times New Roman"/>
          <w:sz w:val="21"/>
          <w:szCs w:val="21"/>
          <w:color w:val="auto"/>
        </w:rPr>
      </w:pPr>
    </w:p>
    <w:p>
      <w:pPr>
        <w:ind w:left="3760" w:hanging="757"/>
        <w:spacing w:after="0" w:line="239" w:lineRule="auto"/>
        <w:tabs>
          <w:tab w:leader="none" w:pos="344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only one such bid can be obtained, and such bid was obtained from a Qualified Broker/Dealer that is Independent (without giving effect to the last sentence in the definition thereof) from each other and the Issuer and the Collateral Manager, such bid; or</w:t>
      </w:r>
    </w:p>
    <w:p>
      <w:pPr>
        <w:spacing w:after="0" w:line="180" w:lineRule="exact"/>
        <w:rPr>
          <w:rFonts w:ascii="Times New Roman" w:cs="Times New Roman" w:eastAsia="Times New Roman" w:hAnsi="Times New Roman"/>
          <w:sz w:val="22"/>
          <w:szCs w:val="22"/>
          <w:color w:val="auto"/>
        </w:rPr>
      </w:pPr>
    </w:p>
    <w:p>
      <w:pPr>
        <w:jc w:val="both"/>
        <w:ind w:left="1500" w:firstLine="1024"/>
        <w:spacing w:after="0" w:line="238" w:lineRule="auto"/>
        <w:tabs>
          <w:tab w:leader="none" w:pos="295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value cannot be obtained by the Collateral Manager exercising reasonable efforts pursuant to the means contemplated by clauses (i) or (ii), the value determined as the bid side market value of such Collateral Obligation as reasonably determined by the Collateral Manager consistent with the Collateral Manager Standard and certified by the Collateral Manager to the Collateral Trustee and the Collateral Administrator; or</w:t>
      </w:r>
    </w:p>
    <w:p>
      <w:pPr>
        <w:spacing w:after="0" w:line="176" w:lineRule="exact"/>
        <w:rPr>
          <w:rFonts w:ascii="Times New Roman" w:cs="Times New Roman" w:eastAsia="Times New Roman" w:hAnsi="Times New Roman"/>
          <w:sz w:val="22"/>
          <w:szCs w:val="22"/>
          <w:color w:val="auto"/>
        </w:rPr>
      </w:pPr>
    </w:p>
    <w:p>
      <w:pPr>
        <w:jc w:val="both"/>
        <w:ind w:left="1500" w:right="20" w:firstLine="1024"/>
        <w:spacing w:after="0" w:line="244" w:lineRule="auto"/>
        <w:tabs>
          <w:tab w:leader="none" w:pos="295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Market Value of an asset is not determined in accordance with clause (i), (ii) or (iii) above, then such Market Value shall be deemed to be zero until such determination is made in accordance with clause (i), (ii) or (iii) above.</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Master Loan Sale Agreement</w:t>
      </w:r>
      <w:r>
        <w:rPr>
          <w:rFonts w:ascii="Times New Roman" w:cs="Times New Roman" w:eastAsia="Times New Roman" w:hAnsi="Times New Roman"/>
          <w:sz w:val="22"/>
          <w:szCs w:val="22"/>
          <w:color w:val="auto"/>
        </w:rPr>
        <w:t>": That certain Master Loan Sale Agreement, dated as of the Closing Date, as amended from time to time in accordance with the terms thereof, by and among the Transferor and the Issuer pursuant to which the Transferor will sell and/or contribute to the Issuer, without recourse (except as set forth therein), all of the right, title and interest of the Transferor in and to the Collateral Obligations and the proceeds thereof contemplated thereby.</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Covenant Default</w:t>
      </w:r>
      <w:r>
        <w:rPr>
          <w:rFonts w:ascii="Times New Roman" w:cs="Times New Roman" w:eastAsia="Times New Roman" w:hAnsi="Times New Roman"/>
          <w:sz w:val="22"/>
          <w:szCs w:val="22"/>
          <w:color w:val="auto"/>
        </w:rPr>
        <w:t>": A default by an Obligor with respect to any Collateral Obligation, and subject to any grace periods contained in the related Underlying Document, that gives rise to the right of the lender(s) thereunder to accelerate the principal of such Collateral Obligation.</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w:t>
      </w:r>
      <w:r>
        <w:rPr>
          <w:rFonts w:ascii="Times New Roman" w:cs="Times New Roman" w:eastAsia="Times New Roman" w:hAnsi="Times New Roman"/>
          <w:sz w:val="22"/>
          <w:szCs w:val="22"/>
          <w:color w:val="auto"/>
        </w:rPr>
        <w:t>": With respect to any Class of Debt, the date on which the unpaid principal of such Class becomes due and payable as therein or herein provided, whether at the Stated Maturity or by declaration of acceleration, call for redemption or otherwise.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Amendment</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7.20</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85"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S&amp;P Equivalent Rating Factor Test</w:t>
      </w:r>
      <w:r>
        <w:rPr>
          <w:rFonts w:ascii="Times New Roman" w:cs="Times New Roman" w:eastAsia="Times New Roman" w:hAnsi="Times New Roman"/>
          <w:sz w:val="22"/>
          <w:szCs w:val="22"/>
          <w:color w:val="auto"/>
        </w:rPr>
        <w:t>": A test that will be satisfied on any date of determination if the S&amp;P Equivalent Weighted Average Rating Factor of the Collateral Obligations is less than or equal to 4000.</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Measurement Date</w:t>
      </w:r>
      <w:r>
        <w:rPr>
          <w:rFonts w:ascii="Times New Roman" w:cs="Times New Roman" w:eastAsia="Times New Roman" w:hAnsi="Times New Roman"/>
          <w:sz w:val="22"/>
          <w:szCs w:val="22"/>
          <w:color w:val="auto"/>
        </w:rPr>
        <w:t>": (i) Any day on which the Issuer (or the Collateral Manager on its behalf) commits to purchase a Collateral Obligation, (ii) any Determination Date, (iii) the Monthly Report Determination Date, (iv) with five Business Days' prior written notice, any Business Day requested by a Rating Agency and (v) the Effective Date.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Merging Entity</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Denomination</w:t>
      </w:r>
      <w:r>
        <w:rPr>
          <w:rFonts w:ascii="Times New Roman" w:cs="Times New Roman" w:eastAsia="Times New Roman" w:hAnsi="Times New Roman"/>
          <w:sz w:val="22"/>
          <w:szCs w:val="22"/>
          <w:color w:val="auto"/>
        </w:rPr>
        <w:t>": (i) In the case of the Secured Debt, U.S.$250,000 and (ii) in the case of the Subordinated Notes, U.S.$650,000, in each case, in integral multiples of U.S.$1 in excess thereof.</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Floating Spread</w:t>
      </w:r>
      <w:r>
        <w:rPr>
          <w:rFonts w:ascii="Times New Roman" w:cs="Times New Roman" w:eastAsia="Times New Roman" w:hAnsi="Times New Roman"/>
          <w:sz w:val="22"/>
          <w:szCs w:val="22"/>
          <w:color w:val="auto"/>
        </w:rPr>
        <w:t xml:space="preserve">": The applicable percentage set forth in the definition of "S&amp;P CDO Monitor" upon the option chosen by the Collateral Manager in accordance with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5</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Floating Spread Test</w:t>
      </w:r>
      <w:r>
        <w:rPr>
          <w:rFonts w:ascii="Times New Roman" w:cs="Times New Roman" w:eastAsia="Times New Roman" w:hAnsi="Times New Roman"/>
          <w:sz w:val="22"/>
          <w:szCs w:val="22"/>
          <w:color w:val="auto"/>
        </w:rPr>
        <w:t xml:space="preserve">": The test that is satisfied on any date of determination if the Weighted Average Floating Spread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Excess Weighted Average Coupon equals or exceeds the Minimum Floating Spread.</w:t>
      </w:r>
    </w:p>
    <w:p>
      <w:pPr>
        <w:spacing w:after="0" w:line="158" w:lineRule="exact"/>
        <w:rPr>
          <w:sz w:val="20"/>
          <w:szCs w:val="20"/>
          <w:color w:val="auto"/>
        </w:rPr>
      </w:pPr>
    </w:p>
    <w:p>
      <w:pPr>
        <w:ind w:left="1500"/>
        <w:spacing w:after="0"/>
        <w:tabs>
          <w:tab w:leader="none" w:pos="53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Weighted Average Coupon</w:t>
      </w:r>
      <w:r>
        <w:rPr>
          <w:rFonts w:ascii="Times New Roman" w:cs="Times New Roman" w:eastAsia="Times New Roman" w:hAnsi="Times New Roman"/>
          <w:sz w:val="22"/>
          <w:szCs w:val="22"/>
          <w:color w:val="auto"/>
        </w:rPr>
        <w:t>":</w:t>
        <w:tab/>
        <w:t>If any of the Collateral Obligations are Fixed Rate Obligations,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Weighted Average Coupon Test</w:t>
      </w:r>
      <w:r>
        <w:rPr>
          <w:rFonts w:ascii="Times New Roman" w:cs="Times New Roman" w:eastAsia="Times New Roman" w:hAnsi="Times New Roman"/>
          <w:sz w:val="22"/>
          <w:szCs w:val="22"/>
          <w:color w:val="auto"/>
        </w:rPr>
        <w:t xml:space="preserve">": The test that is satisfied on any date of determination as of which the Collateral Obligations include any Fixed Rate Obligations if the Weighted Average Coupon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Excess Weighted Average Floating Spread equals or exceeds the Minimum Weighted Average Coupon.</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Weighted Average S&amp;P Recovery Rate Test</w:t>
      </w:r>
      <w:r>
        <w:rPr>
          <w:rFonts w:ascii="Times New Roman" w:cs="Times New Roman" w:eastAsia="Times New Roman" w:hAnsi="Times New Roman"/>
          <w:sz w:val="22"/>
          <w:szCs w:val="22"/>
          <w:color w:val="auto"/>
        </w:rPr>
        <w:t>": The test that will be satisfied on any date of determination prior to the S&amp;P CDO Monitor Switchover Date if the Weighted Average S&amp;P Recovery Rate for the most senior Class of Secured Debt then Outstanding equals or exceeds the Weighted Average S&amp;P Recovery Rate for such Class of Secured Debt selected by the Collateral Manager in connection with the S&amp;P CDO Monitor Test.</w:t>
      </w:r>
    </w:p>
    <w:p>
      <w:pPr>
        <w:spacing w:after="0" w:line="146"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Money</w:t>
      </w:r>
      <w:r>
        <w:rPr>
          <w:rFonts w:ascii="Times New Roman" w:cs="Times New Roman" w:eastAsia="Times New Roman" w:hAnsi="Times New Roman"/>
          <w:sz w:val="22"/>
          <w:szCs w:val="22"/>
          <w:color w:val="auto"/>
        </w:rPr>
        <w:t>": The meaning specified in Section 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201(24) of the UCC.</w:t>
      </w:r>
    </w:p>
    <w:p>
      <w:pPr>
        <w:spacing w:after="0" w:line="2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Report</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10.7(a)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Report Determination Date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10.7(a)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Moody's Investors Service, Inc. and any successor thereto.</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 Derived Rating</w:t>
      </w:r>
      <w:r>
        <w:rPr>
          <w:rFonts w:ascii="Times New Roman" w:cs="Times New Roman" w:eastAsia="Times New Roman" w:hAnsi="Times New Roman"/>
          <w:sz w:val="22"/>
          <w:szCs w:val="22"/>
          <w:color w:val="auto"/>
        </w:rPr>
        <w:t xml:space="preserve">": With respect to any Collateral Obligation, the rating determined pursuant to </w:t>
      </w:r>
      <w:r>
        <w:rPr>
          <w:rFonts w:ascii="Times New Roman" w:cs="Times New Roman" w:eastAsia="Times New Roman" w:hAnsi="Times New Roman"/>
          <w:sz w:val="22"/>
          <w:szCs w:val="22"/>
          <w:u w:val="single" w:color="auto"/>
          <w:color w:val="auto"/>
        </w:rPr>
        <w:t>Schedule 4</w:t>
      </w:r>
      <w:r>
        <w:rPr>
          <w:rFonts w:ascii="Times New Roman" w:cs="Times New Roman" w:eastAsia="Times New Roman" w:hAnsi="Times New Roman"/>
          <w:sz w:val="22"/>
          <w:szCs w:val="22"/>
          <w:color w:val="auto"/>
        </w:rPr>
        <w:t xml:space="preserve"> hereto.</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85" w:lineRule="exact"/>
        <w:rPr>
          <w:sz w:val="20"/>
          <w:szCs w:val="20"/>
          <w:color w:val="auto"/>
        </w:rPr>
      </w:pPr>
    </w:p>
    <w:p>
      <w:pPr>
        <w:ind w:left="1500"/>
        <w:spacing w:after="0"/>
        <w:tabs>
          <w:tab w:leader="none" w:pos="330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 Rating</w:t>
      </w:r>
      <w:r>
        <w:rPr>
          <w:rFonts w:ascii="Times New Roman" w:cs="Times New Roman" w:eastAsia="Times New Roman" w:hAnsi="Times New Roman"/>
          <w:sz w:val="22"/>
          <w:szCs w:val="22"/>
          <w:color w:val="auto"/>
        </w:rPr>
        <w:t>":</w:t>
        <w:tab/>
        <w:t xml:space="preserve">With respect to any Collateral Obligation, the rating determined pursuant to </w:t>
      </w:r>
      <w:r>
        <w:rPr>
          <w:rFonts w:ascii="Times New Roman" w:cs="Times New Roman" w:eastAsia="Times New Roman" w:hAnsi="Times New Roman"/>
          <w:sz w:val="22"/>
          <w:szCs w:val="22"/>
          <w:u w:val="single" w:color="auto"/>
          <w:color w:val="auto"/>
        </w:rPr>
        <w:t>Schedule 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148" w:lineRule="exact"/>
        <w:rPr>
          <w:sz w:val="20"/>
          <w:szCs w:val="20"/>
          <w:color w:val="auto"/>
        </w:rPr>
      </w:pPr>
    </w:p>
    <w:p>
      <w:pPr>
        <w:jc w:val="both"/>
        <w:ind w:firstLine="1497"/>
        <w:spacing w:after="0" w:line="262"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Exposure Amount</w:t>
      </w:r>
      <w:r>
        <w:rPr>
          <w:rFonts w:ascii="Times New Roman" w:cs="Times New Roman" w:eastAsia="Times New Roman" w:hAnsi="Times New Roman"/>
          <w:sz w:val="22"/>
          <w:szCs w:val="22"/>
          <w:color w:val="auto"/>
        </w:rPr>
        <w:t>": As of the applicable Cut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Date, with respect to any Substitute Collateral Obligation which is a Revolving Collateral Obligation or Delayed Drawdown Collateral Obligation, the lesser of (i) the aggregate amount of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unfunded funding obligations thereunder, and (ii) the amount necessary to cause, upon completion of such substitution on the applicable Cut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Date, the amount of funds on deposit in the Revolver Funding Account to be at least equal to the sum of the unfunded funding obligations under all Delayed Drawdown Collateral Obligations and Revolving Collateral Obligations then included in the Assets.</w:t>
      </w:r>
    </w:p>
    <w:p>
      <w:pPr>
        <w:spacing w:after="0" w:line="181" w:lineRule="exact"/>
        <w:rPr>
          <w:sz w:val="20"/>
          <w:szCs w:val="20"/>
          <w:color w:val="auto"/>
        </w:rPr>
      </w:pPr>
    </w:p>
    <w:p>
      <w:pPr>
        <w:jc w:val="both"/>
        <w:ind w:firstLine="1497"/>
        <w:spacing w:after="0" w:line="251"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Purchased Loan Balance</w:t>
      </w:r>
      <w:r>
        <w:rPr>
          <w:rFonts w:ascii="Times New Roman" w:cs="Times New Roman" w:eastAsia="Times New Roman" w:hAnsi="Times New Roman"/>
          <w:sz w:val="22"/>
          <w:szCs w:val="22"/>
          <w:color w:val="auto"/>
        </w:rPr>
        <w:t>": As of any date of determination, an amount equal to (a) the sum of (i) the Aggregate Principal Balance of all Collateral Obligations conveyed, directly or indirectly, by the Transferor to the Issuer under the Master Loan Sale Agreement prior to such date, calculated as of the respective Cut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Off Dates of such Collateral Obligations, and (ii) the Aggregate Principal Balance of all Collateral Obligations acquired by the Issuer other than directly or indirectly from the Transferor prior to such date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Aggregate Principal Balance of all Collateral Obligations (other than Ineligible Collateral Obligations) repurchased or substituted by the Transferor prior to such date.</w:t>
      </w:r>
    </w:p>
    <w:p>
      <w:pPr>
        <w:spacing w:after="0" w:line="148"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Call Period</w:t>
      </w:r>
      <w:r>
        <w:rPr>
          <w:rFonts w:ascii="Times New Roman" w:cs="Times New Roman" w:eastAsia="Times New Roman" w:hAnsi="Times New Roman"/>
          <w:sz w:val="22"/>
          <w:szCs w:val="22"/>
          <w:color w:val="auto"/>
        </w:rPr>
        <w:t>": The period from the Closing Date to but excluding February 20, 2027.</w:t>
      </w:r>
    </w:p>
    <w:p>
      <w:pPr>
        <w:spacing w:after="0" w:line="2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Non-Consenting Holder</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9.7(b)(iv)</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1497"/>
        <w:spacing w:after="0" w:line="272"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Emerging Market Obligor</w:t>
      </w:r>
      <w:r>
        <w:rPr>
          <w:rFonts w:ascii="Times New Roman" w:cs="Times New Roman" w:eastAsia="Times New Roman" w:hAnsi="Times New Roman"/>
          <w:sz w:val="22"/>
          <w:szCs w:val="22"/>
          <w:color w:val="auto"/>
        </w:rPr>
        <w:t>": An Obligor that is Domiciled in (a) the United States of America, (b) any other country that has a foreign currency government bond rating of at least "Aa2" by Moody's and a foreign currency issuer credit rating of at least "AA" by S&amp;P, or (c) a Tax Jurisdiction.</w:t>
      </w:r>
    </w:p>
    <w:p>
      <w:pPr>
        <w:spacing w:after="0" w:line="143"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Permitted ERISA Holder</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2.11(c)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Permitted Holder</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w:t>
      </w:r>
    </w:p>
    <w:p>
      <w:pPr>
        <w:spacing w:after="0" w:line="2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 Register</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 Registrar</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Noteholder</w:t>
      </w:r>
      <w:r>
        <w:rPr>
          <w:rFonts w:ascii="Times New Roman" w:cs="Times New Roman" w:eastAsia="Times New Roman" w:hAnsi="Times New Roman"/>
          <w:sz w:val="22"/>
          <w:szCs w:val="22"/>
          <w:color w:val="auto"/>
        </w:rPr>
        <w:t>": With respect to any Note, the Holder of such Note.</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xml:space="preserve">": Collectively, the Secured Notes and the Subordinated Notes authorized by, and authenticated and delivered under, this Indenture (as specified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together with any additional Notes issued pursuant to and accordance with this Indenture.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Substitution</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12.3(a)(ii)</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NRSRO</w:t>
      </w:r>
      <w:r>
        <w:rPr>
          <w:rFonts w:ascii="Times New Roman" w:cs="Times New Roman" w:eastAsia="Times New Roman" w:hAnsi="Times New Roman"/>
          <w:sz w:val="22"/>
          <w:szCs w:val="22"/>
          <w:color w:val="auto"/>
        </w:rPr>
        <w:t>": Any nationally recognized statistical rating organization, other than any Rating Agency.</w:t>
      </w:r>
    </w:p>
    <w:p>
      <w:pPr>
        <w:spacing w:after="0" w:line="206" w:lineRule="exact"/>
        <w:rPr>
          <w:sz w:val="20"/>
          <w:szCs w:val="20"/>
          <w:color w:val="auto"/>
        </w:rPr>
      </w:pPr>
    </w:p>
    <w:p>
      <w:pPr>
        <w:jc w:val="both"/>
        <w:ind w:right="20" w:firstLine="1497"/>
        <w:spacing w:after="0" w:line="264"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NRSRO Certification</w:t>
      </w:r>
      <w:r>
        <w:rPr>
          <w:rFonts w:ascii="Times New Roman" w:cs="Times New Roman" w:eastAsia="Times New Roman" w:hAnsi="Times New Roman"/>
          <w:sz w:val="21"/>
          <w:szCs w:val="21"/>
          <w:color w:val="auto"/>
        </w:rPr>
        <w:t>": A certification executed by an NRSRO in favor of the Issuer and the Information Agent that states that such NRSRO has provided the Issuer with the appropriate certifications under Exchange Act Rule 17g</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5(a)</w:t>
      </w:r>
    </w:p>
    <w:p>
      <w:pPr>
        <w:spacing w:after="0" w:line="2"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(3)(iii)(B) and that such NRSRO has access to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w:t>
      </w:r>
    </w:p>
    <w:p>
      <w:pPr>
        <w:spacing w:after="0" w:line="19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With respect to any Collateral Obligation, any Person or Persons obligated to make payments pursuant to or with respect to such Collateral Obligation, including any guarantor thereof, but excluding, in each case, any such Person that is an obligor or guarantor that is in addition to the primary obligors or guarantors with respect to the assets, cash flows or credit on which the related Collateral Obligation is principally underwritten.</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 Diversity Measure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10.8(c)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w:t>
      </w:r>
      <w:r>
        <w:rPr>
          <w:rFonts w:ascii="Times New Roman" w:cs="Times New Roman" w:eastAsia="Times New Roman" w:hAnsi="Times New Roman"/>
          <w:sz w:val="22"/>
          <w:szCs w:val="22"/>
          <w:color w:val="auto"/>
        </w:rPr>
        <w:t>": The offering of the Notes pursuant to the Offering Circular.</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Circular</w:t>
      </w:r>
      <w:r>
        <w:rPr>
          <w:rFonts w:ascii="Times New Roman" w:cs="Times New Roman" w:eastAsia="Times New Roman" w:hAnsi="Times New Roman"/>
          <w:sz w:val="22"/>
          <w:szCs w:val="22"/>
          <w:color w:val="auto"/>
        </w:rPr>
        <w:t>": The offering circular dated February 18, 2025 relating to the offer and sale of the Notes, including any supplements thereto.</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(a) with respect to the Issuer and any limited liability company, any managing member or manager thereof or any person to whom the rights and powers of management thereof are delegated in accordance with the limited liability company agreement of such limited liability company, (b) with respect to the Collateral Manager, any manager or member of the Collateral Manager or any duly authorized officer of the Collateral Manager with direct responsibility for the administration of the Collateral Management Agreement and this Indenture and also, with respect to a particular matter, any other duly authorized officer of the Collateral Manager to whom such matter is referred because of such officer's knowledge of and familiarity with the particular subject and (c) with respect to the Collateral Trustee, the Loan Agent, the Collateral Administrator or the Bank in any other capacity under the Transaction Documents, a Trust Officer.</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Operational Arrangements</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9.7(b)(ii)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Opinion of Counsel</w:t>
      </w:r>
      <w:r>
        <w:rPr>
          <w:rFonts w:ascii="Times New Roman" w:cs="Times New Roman" w:eastAsia="Times New Roman" w:hAnsi="Times New Roman"/>
          <w:sz w:val="22"/>
          <w:szCs w:val="22"/>
          <w:color w:val="auto"/>
        </w:rPr>
        <w:t>": A written opinion addressed to the Collateral Trustee, the Loan Agent and, if required by the terms hereof, each Rating Agency, as applicable, in form and substance reasonably satisfactory to the Collateral Trustee and the Loan Agent (and, if so addressed, each Rating Agency, as applicable), of an attorney admitted to practice, or a nationally or internationally recognized and reputable law firm one or more of the partners of which are admitted to practice, before the highest court of any state of the United States or the District of Columbia, which attorney or law firm, as the case may be, may, except as otherwise expressly provided herein, be counsel for the Issuer, and which attorney or law firm, as the case may be, shall be reasonably satisfactory to the Collateral Trustee and the Loan Agent. Whenever an Opinion of Counsel is required hereunder, such Opinion of Counsel may rely on opinions of other counsel who are so admitted and so satisfactory, which opinions of other counsel shall accompany</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such Opinion of Counsel and shall be addressed to the Collateral Trustee and the Loan Agent (and, if required by the terms hereof, each Rating Agency, as applicable) or shall state that the Collateral Trustee and the Loan Agent (and, if required by the terms hereof, each Rating Agency, as applicable) shall be entitled to rely thereon.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Redemption</w:t>
      </w:r>
      <w:r>
        <w:rPr>
          <w:rFonts w:ascii="Times New Roman" w:cs="Times New Roman" w:eastAsia="Times New Roman" w:hAnsi="Times New Roman"/>
          <w:sz w:val="22"/>
          <w:szCs w:val="22"/>
          <w:color w:val="auto"/>
        </w:rPr>
        <w:t xml:space="preserve">": A redemption of the Secured Debt in accordance with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1497"/>
        <w:spacing w:after="0" w:line="28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Plan Law</w:t>
      </w:r>
      <w:r>
        <w:rPr>
          <w:rFonts w:ascii="Times New Roman" w:cs="Times New Roman" w:eastAsia="Times New Roman" w:hAnsi="Times New Roman"/>
          <w:sz w:val="22"/>
          <w:szCs w:val="22"/>
          <w:color w:val="auto"/>
        </w:rPr>
        <w:t>": Any state, local, other federal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U.S. laws or regulations that are substantially similar to the prohibited transaction provisions of Section 406 of ERISA or Section 4975 of the Code.</w:t>
      </w:r>
    </w:p>
    <w:p>
      <w:pPr>
        <w:spacing w:after="0" w:line="17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w:t>
      </w:r>
      <w:r>
        <w:rPr>
          <w:rFonts w:ascii="Times New Roman" w:cs="Times New Roman" w:eastAsia="Times New Roman" w:hAnsi="Times New Roman"/>
          <w:sz w:val="22"/>
          <w:szCs w:val="22"/>
          <w:color w:val="auto"/>
        </w:rPr>
        <w:t xml:space="preserve">": With respect to (a) (i) the Class A-1L-A Loans, any of the Class A-1L-A Loans incurred pursuant to the Class A-1L-A Credit Agreement, to the extent such Class A-1L-A Loan has not been repaid in accordance with the Class A-1L-A Credit Agreement or converted to Class A-1 Notes pursuant to </w:t>
      </w:r>
      <w:r>
        <w:rPr>
          <w:rFonts w:ascii="Times New Roman" w:cs="Times New Roman" w:eastAsia="Times New Roman" w:hAnsi="Times New Roman"/>
          <w:sz w:val="22"/>
          <w:szCs w:val="22"/>
          <w:u w:val="single" w:color="auto"/>
          <w:color w:val="auto"/>
        </w:rPr>
        <w:t>Section 2.5(o)</w:t>
      </w:r>
      <w:r>
        <w:rPr>
          <w:rFonts w:ascii="Times New Roman" w:cs="Times New Roman" w:eastAsia="Times New Roman" w:hAnsi="Times New Roman"/>
          <w:sz w:val="22"/>
          <w:szCs w:val="22"/>
          <w:color w:val="auto"/>
        </w:rPr>
        <w:t xml:space="preserve"> or (ii) the Class A-1L-B Loans, any of the Class A-1L-B Loans incurred pursuant to the Class A-1L-B Credit Agreement, to the extent such Class A-1L-B Loans have not been repaid in accordance with the Class A-1L-B Credit Agreement and (b) the Notes or the Notes of any specified Class, as of any date of determination, all of the Notes or all of the Notes of such Class, as the case may be, theretofore authenticated and delivered under this Indenture, except:</w:t>
      </w:r>
    </w:p>
    <w:p>
      <w:pPr>
        <w:spacing w:after="0" w:line="183" w:lineRule="exact"/>
        <w:rPr>
          <w:sz w:val="20"/>
          <w:szCs w:val="20"/>
          <w:color w:val="auto"/>
        </w:rPr>
      </w:pPr>
    </w:p>
    <w:p>
      <w:pPr>
        <w:ind w:left="1500" w:right="60" w:firstLine="1024"/>
        <w:spacing w:after="0" w:line="258" w:lineRule="auto"/>
        <w:tabs>
          <w:tab w:leader="none" w:pos="295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Notes theretofore canceled by the Note Registrar or delivered to the Note Registrar for cancellation in accordance with the terms of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1500" w:firstLine="1024"/>
        <w:spacing w:after="0" w:line="238" w:lineRule="auto"/>
        <w:tabs>
          <w:tab w:leader="none" w:pos="295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Notes or portions thereof for whose payment or redemption funds in the necessary amount have been theretofore irrevocably deposited with the Collateral Trustee or any Paying Agent in trust for the Holders of such Notes pursuant to </w:t>
      </w:r>
      <w:r>
        <w:rPr>
          <w:rFonts w:ascii="Times New Roman" w:cs="Times New Roman" w:eastAsia="Times New Roman" w:hAnsi="Times New Roman"/>
          <w:sz w:val="22"/>
          <w:szCs w:val="22"/>
          <w:u w:val="single" w:color="auto"/>
          <w:color w:val="auto"/>
        </w:rPr>
        <w:t>Section 4.1(a)(ii)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Notes or portions thereof are to be redeemed, notice of such redemption has been duly given pursuant to this Indenture or provision therefor satisfactory to the Collateral Trustee has been made;</w:t>
      </w:r>
    </w:p>
    <w:p>
      <w:pPr>
        <w:spacing w:after="0" w:line="176" w:lineRule="exact"/>
        <w:rPr>
          <w:rFonts w:ascii="Times New Roman" w:cs="Times New Roman" w:eastAsia="Times New Roman" w:hAnsi="Times New Roman"/>
          <w:sz w:val="22"/>
          <w:szCs w:val="22"/>
          <w:color w:val="auto"/>
        </w:rPr>
      </w:pPr>
    </w:p>
    <w:p>
      <w:pPr>
        <w:jc w:val="both"/>
        <w:ind w:left="1500" w:firstLine="1024"/>
        <w:spacing w:after="0" w:line="271" w:lineRule="exact"/>
        <w:tabs>
          <w:tab w:leader="none" w:pos="295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in exchange for or in lieu of which other Notes have been authenticated and delivered pursuant to this Indenture, unless proof satisfactory to the Collateral Trustee is presented that any such Notes are held by a "protected purchaser" (within the meaning of Section 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303 of the UCC); and</w:t>
      </w:r>
    </w:p>
    <w:p>
      <w:pPr>
        <w:spacing w:after="0" w:line="145" w:lineRule="exact"/>
        <w:rPr>
          <w:rFonts w:ascii="Times New Roman" w:cs="Times New Roman" w:eastAsia="Times New Roman" w:hAnsi="Times New Roman"/>
          <w:sz w:val="22"/>
          <w:szCs w:val="22"/>
          <w:color w:val="auto"/>
        </w:rPr>
      </w:pPr>
    </w:p>
    <w:p>
      <w:pPr>
        <w:ind w:left="1500" w:right="40" w:firstLine="1024"/>
        <w:spacing w:after="0" w:line="258" w:lineRule="auto"/>
        <w:tabs>
          <w:tab w:leader="none" w:pos="295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Notes alleged to have been mutilated, destroyed, lost or stolen for which replacement Notes have been issued as provided in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determining whether the Holders of the requisite Aggregate Outstanding Amount have given any request, demand, authorization, direction, notice, consent or waiver hereunder, (1) Debt owned by the Issuer and (only in the case of a vote on (A) the removal of the Collateral Manager for "cause," (B) the approval of a successor Collateral Manager if the appointment of the Collateral Manager is being terminated pursuant to the Collateral Management Agreement for "cause" and (C) the waiver of any event constituting "cause") Collateral Manager Notes shall be disregarded and deemed not to be Outstanding, except that, in determining whether the Collateral Trustee shall be protected in relying upon any such request, demand, authorization, direction,</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notice, consent or waiver, only Debt that a Trust Officer of the Collateral Trustee actually knows to be so owned shall be so disregarded and (2) Debt so owned that has been pledged in good faith shall be regarded as Outstanding if the pledgee establishes to the reasonable satisfaction of the Collateral Trustee the pledgee's right so to act with respect to such Debt and that the pledgee is not one of the Persons specified above.</w:t>
      </w:r>
    </w:p>
    <w:p>
      <w:pPr>
        <w:spacing w:after="0" w:line="18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Overcollateralization Ratio</w:t>
      </w:r>
      <w:r>
        <w:rPr>
          <w:rFonts w:ascii="Times New Roman" w:cs="Times New Roman" w:eastAsia="Times New Roman" w:hAnsi="Times New Roman"/>
          <w:sz w:val="22"/>
          <w:szCs w:val="22"/>
          <w:color w:val="auto"/>
        </w:rPr>
        <w:t xml:space="preserve">": With respect to any specified Class or Classes of Secured Debt as of any date of determination, the percentage derived from: (i) the Adjusted Collateral Principal Amount on such date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 the Aggregate Outstanding Amount on such date of such Class or Classes (including, in the case of the Deferrable Notes, any accrued Deferred Interest that remains unpaid) and each Priority Class with respect to such Class or Classes of Secured Debt. For purposes of calculating the Overcollateralization Ratio, the Class A-1 Debt, the Class A-2 Notes and the Class B Notes shall be treated as a single Class.</w:t>
      </w:r>
    </w:p>
    <w:p>
      <w:pPr>
        <w:spacing w:after="0" w:line="181"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Overcollateralization Ratio Test</w:t>
      </w:r>
      <w:r>
        <w:rPr>
          <w:rFonts w:ascii="Times New Roman" w:cs="Times New Roman" w:eastAsia="Times New Roman" w:hAnsi="Times New Roman"/>
          <w:sz w:val="22"/>
          <w:szCs w:val="22"/>
          <w:color w:val="auto"/>
        </w:rPr>
        <w:t>": A test that is satisfied with respect to any Class or Classes of Secured Debt as of the Effective Date and any other date thereafter on which such test is required to be determined hereunder, if (i) the Overcollateralization Ratio for such Class or Classes on such date is at least equal to the Required Overcollateralization Ratio for such Class or Classes or (ii) such Class or Classes of Secured Debt is no longer outstanding.</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Partial Deferrable Obligation</w:t>
      </w:r>
      <w:r>
        <w:rPr>
          <w:rFonts w:ascii="Times New Roman" w:cs="Times New Roman" w:eastAsia="Times New Roman" w:hAnsi="Times New Roman"/>
          <w:sz w:val="22"/>
          <w:szCs w:val="22"/>
          <w:color w:val="auto"/>
        </w:rPr>
        <w:t xml:space="preserve">": Any Collateral Obligation that by its terms permits the deferral or capitalization of payment of accrued, unpaid interest and that by the terms of the related Underlying Document carries a required current cash pay interest rate of not less than (a) in the case of a Floating Rate Obligation, the Benchmark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1.00%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or (b) in the case of a Fixed Rate Obligation, the zero-coupon swap rate in a fixed/floating interest rate swap with a term equal to five years.</w:t>
      </w:r>
    </w:p>
    <w:p>
      <w:pPr>
        <w:spacing w:after="0" w:line="17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Partial Refinancing Interest Proceeds</w:t>
      </w:r>
      <w:r>
        <w:rPr>
          <w:rFonts w:ascii="Times New Roman" w:cs="Times New Roman" w:eastAsia="Times New Roman" w:hAnsi="Times New Roman"/>
          <w:sz w:val="22"/>
          <w:szCs w:val="22"/>
          <w:color w:val="auto"/>
        </w:rPr>
        <w:t>": In connection with a redemption by Refinancing of one or more Classes of Secured Debt, with respect to each such Class, Interest Proceeds up to the amount of accrued and unpaid interest on such Class, but only to the extent that such Interest Proceeds would be available under the Priority of Payments to pay accrued and unpaid interest on such Class on the Redemption Date or, in the case of a Refinancing occurring on a date other than a Payment Date, only to the extent that such Interest Proceeds would be available under the Priority of Payments to pay accrued and unpaid interest on such Class on the next Payment Date, taking into account scheduled distributions on the Assets that are expected to be received prior to the next Determination Date.</w:t>
      </w:r>
    </w:p>
    <w:p>
      <w:pPr>
        <w:spacing w:after="0" w:line="18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Participation Interest</w:t>
      </w:r>
      <w:r>
        <w:rPr>
          <w:rFonts w:ascii="Times New Roman" w:cs="Times New Roman" w:eastAsia="Times New Roman" w:hAnsi="Times New Roman"/>
          <w:sz w:val="22"/>
          <w:szCs w:val="22"/>
          <w:color w:val="auto"/>
        </w:rPr>
        <w:t>": A participation interest in a loan that, at the time of acquisition, or the Issuer's commitment to acquire the same, satisfies each of the following criteria: (i) such loan would constitute a Collateral Obligation were it acquired directly, (ii) the seller of the participation is the lender on the loan, (iii) the aggregate participation in the loan does not exceed the principal amount or commitment of such loan, (iv) such participation does not grant, in the aggregate, to the participant in such participation a greater interest than the seller holds in the loan or commitment that is the subject of the participation, (v) the entire purchase price for such participation is paid in full at the time of its acquisition (or, in the case of a participation in a Revolving Collateral Obligation or Delayed Drawdown Collateral Obligation, at the time of the funding of such loan), (vi) the participation provides the participant all of the economic benefit</w:t>
      </w:r>
    </w:p>
    <w:p>
      <w:pPr>
        <w:spacing w:after="0" w:line="15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85" w:lineRule="exact"/>
        <w:rPr>
          <w:sz w:val="20"/>
          <w:szCs w:val="20"/>
          <w:color w:val="auto"/>
        </w:rPr>
      </w:pPr>
    </w:p>
    <w:p>
      <w:pPr>
        <w:jc w:val="both"/>
        <w:spacing w:after="0" w:line="264" w:lineRule="exact"/>
        <w:rPr>
          <w:sz w:val="20"/>
          <w:szCs w:val="20"/>
          <w:color w:val="auto"/>
        </w:rPr>
      </w:pPr>
      <w:r>
        <w:rPr>
          <w:rFonts w:ascii="Times New Roman" w:cs="Times New Roman" w:eastAsia="Times New Roman" w:hAnsi="Times New Roman"/>
          <w:sz w:val="22"/>
          <w:szCs w:val="22"/>
          <w:color w:val="auto"/>
        </w:rPr>
        <w:t>and risk of the whole or part of the loan or commitment that is the subject of the loan participation, and (vii) the participation is documented under a Loan Syndications and Trading Association, Loan Market Association or similar agreement standard for loan participation transactions among institutional market participants. For the avoidance of doubt, a Participation Interest shall not include a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participation interest in any loan.</w:t>
      </w:r>
    </w:p>
    <w:p>
      <w:pPr>
        <w:spacing w:after="0" w:line="147"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Paying Agent</w:t>
      </w:r>
      <w:r>
        <w:rPr>
          <w:rFonts w:ascii="Times New Roman" w:cs="Times New Roman" w:eastAsia="Times New Roman" w:hAnsi="Times New Roman"/>
          <w:sz w:val="21"/>
          <w:szCs w:val="21"/>
          <w:color w:val="auto"/>
        </w:rPr>
        <w:t xml:space="preserve">": The Collateral Trustee in its capacity as Paying Agent, and any successor or other Person authorized by the Issuer to pay the principal of or interest on any Secured Debt on behalf of the Issuer as specified in </w:t>
      </w:r>
      <w:r>
        <w:rPr>
          <w:rFonts w:ascii="Times New Roman" w:cs="Times New Roman" w:eastAsia="Times New Roman" w:hAnsi="Times New Roman"/>
          <w:sz w:val="21"/>
          <w:szCs w:val="21"/>
          <w:u w:val="single" w:color="auto"/>
          <w:color w:val="auto"/>
        </w:rPr>
        <w:t>Section 7.2</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Account</w:t>
      </w:r>
      <w:r>
        <w:rPr>
          <w:rFonts w:ascii="Times New Roman" w:cs="Times New Roman" w:eastAsia="Times New Roman" w:hAnsi="Times New Roman"/>
          <w:sz w:val="22"/>
          <w:szCs w:val="22"/>
          <w:color w:val="auto"/>
        </w:rPr>
        <w:t xml:space="preserve">": The account established pursuant to </w:t>
      </w:r>
      <w:r>
        <w:rPr>
          <w:rFonts w:ascii="Times New Roman" w:cs="Times New Roman" w:eastAsia="Times New Roman" w:hAnsi="Times New Roman"/>
          <w:sz w:val="22"/>
          <w:szCs w:val="22"/>
          <w:u w:val="single" w:color="auto"/>
          <w:color w:val="auto"/>
        </w:rPr>
        <w:t>Section 10.3(a)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Payment Date</w:t>
      </w:r>
      <w:r>
        <w:rPr>
          <w:rFonts w:ascii="Times New Roman" w:cs="Times New Roman" w:eastAsia="Times New Roman" w:hAnsi="Times New Roman"/>
          <w:sz w:val="21"/>
          <w:szCs w:val="21"/>
          <w:color w:val="auto"/>
        </w:rPr>
        <w:t>": The 20th day of January, April, July and October of each year (or, if such day is not a Business Day, the next succeeding Business Day), commencing on the Payment Date in July 2025, except that the final scheduled Payment Date (subject to any earlier redemption or payment of the Debt) shall be the Payment Date in April 2037, as well as any other date not specified above that is a Redemption Date in connection with a redemption in whole but not in part.</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The United States Pension Benefit Guaranty Corporation.</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With respect to the Assets: (i) security interests, liens and other encumbrances created pursuant to the Transaction Documents, (ii) with respect to agented Collateral Obligations, security interests, liens and other encumbrances in favor of the lead agent, the collateral agent or the paying agent on behalf of all holders of indebtedness of such Obligor under the related facility, (iii) with respect to any Equity Security, any security interests, liens and other encumbrances granted on such Equity Security to secure indebtedness of the related Obligor and/or any security interests, liens and other rights or encumbrances granted under any governing documents or other agreement between or among or binding upon the Issuer as the holder of equity in such Obligor and (iv) security interests, liens and other encumbrances, if any, which have priority over first priority perfected security interests in the Collateral Obligations or any portion thereof under the UCC or any other applicable law.</w:t>
      </w:r>
    </w:p>
    <w:p>
      <w:pPr>
        <w:spacing w:after="0" w:line="183"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Offer</w:t>
      </w:r>
      <w:r>
        <w:rPr>
          <w:rFonts w:ascii="Times New Roman" w:cs="Times New Roman" w:eastAsia="Times New Roman" w:hAnsi="Times New Roman"/>
          <w:sz w:val="21"/>
          <w:szCs w:val="21"/>
          <w:color w:val="auto"/>
        </w:rPr>
        <w:t xml:space="preserve">": An Offer (i) pursuant to the terms of which the offeror offers to acquire a debt obligation (including a Collateral Obligation) in exchange for consideration consisting solely of Cash in an amount equal to or greater than the full face amount of such debt obligation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any accrued and unpaid interest and (ii) as to which the Collateral Manager has determined in its reasonable commercial judgment that the offeror has sufficient access to financing to consummate the Offer.</w:t>
      </w:r>
    </w:p>
    <w:p>
      <w:pPr>
        <w:spacing w:after="0" w:line="16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RIC Distribution Date</w:t>
      </w:r>
      <w:r>
        <w:rPr>
          <w:rFonts w:ascii="Times New Roman" w:cs="Times New Roman" w:eastAsia="Times New Roman" w:hAnsi="Times New Roman"/>
          <w:sz w:val="22"/>
          <w:szCs w:val="22"/>
          <w:color w:val="auto"/>
        </w:rPr>
        <w:t>": Any date designated under this Indenture for the payment of a Permitted RIC Distribution.</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Permitted RIC Distributions</w:t>
      </w:r>
      <w:r>
        <w:rPr>
          <w:rFonts w:ascii="Times New Roman" w:cs="Times New Roman" w:eastAsia="Times New Roman" w:hAnsi="Times New Roman"/>
          <w:sz w:val="22"/>
          <w:szCs w:val="22"/>
          <w:color w:val="auto"/>
        </w:rPr>
        <w:t>": Distributions to a Holder of Subordinated Notes to the extent required (as determined by the Issuer, or the Collateral Manager on its behalf) to allow such Holder to make sufficient distributions to qualify as a regulated investment company within the meaning of Section 851 of the Code and to otherwise eliminate U.S. federal or state income or excise taxes payable by such Holder in or with respect to any taxable year of such Holder (or any</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calendar year, as relevant);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amount of any such payments made in or with respect to any such taxable year (or calendar year, as relevant) of such Holder shall not exceed 102% of the amounts that the Issuer would have been required to distribute to such Holder to: (i) allow the Issuer to satisfy the minimum distribution requirements that would be imposed by Section 852(a) of the Code (or any successor thereto) to maintain its eligibility to be subject to tax as a regulated investment company for any such taxable year, (ii) reduce to zero for any such taxable year the Issuer's liability for U.S. federal income taxes imposed on (x) its investment company taxable income pursuant to Section 852(b)(1) of the Code (or any successor thereto) or</w:t>
      </w:r>
    </w:p>
    <w:p>
      <w:pPr>
        <w:spacing w:after="0" w:line="3" w:lineRule="exact"/>
        <w:rPr>
          <w:sz w:val="20"/>
          <w:szCs w:val="20"/>
          <w:color w:val="auto"/>
        </w:rPr>
      </w:pPr>
    </w:p>
    <w:p>
      <w:pPr>
        <w:jc w:val="both"/>
        <w:ind w:firstLine="8"/>
        <w:spacing w:after="0" w:line="231" w:lineRule="auto"/>
        <w:tabs>
          <w:tab w:leader="none" w:pos="3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its net capital gain pursuant to Section 852(b)(3) of the Code (or any successor thereto), and (iii) reduce to zero the Issuer's liability for U.S. federal excise taxes for any such calendar year imposed pursuant to Section 4982 of the Code (or any successor thereto), in the case of each of (i), (ii) or (iii), calculated assuming that the Issuer had qualified to be subject to tax as a regulated investment company under the Code, (B) after the occurrence and during the continuance of an Event of Default, the amount of Permitted RIC Distributions made in any calendar quarter shall not exceed U.S.$1,500,000 (or such greater amount consented to by the Majority of the Controlling Class) and (C) amounts may be distributed pursuant to this definition only from Interest Proceeds to the extent available in the Interest Collection Subaccount and only so long as (w) all Coverage Tests are satisfied immediately prior to and immediately after giving effect to such Permitted RIC Distribution, (x) after giving effect on a </w:t>
      </w:r>
      <w:r>
        <w:rPr>
          <w:rFonts w:ascii="Times New Roman" w:cs="Times New Roman" w:eastAsia="Times New Roman" w:hAnsi="Times New Roman"/>
          <w:sz w:val="22"/>
          <w:szCs w:val="22"/>
          <w:i w:val="1"/>
          <w:iCs w:val="1"/>
          <w:color w:val="auto"/>
        </w:rPr>
        <w:t>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forma </w:t>
      </w:r>
      <w:r>
        <w:rPr>
          <w:rFonts w:ascii="Times New Roman" w:cs="Times New Roman" w:eastAsia="Times New Roman" w:hAnsi="Times New Roman"/>
          <w:sz w:val="22"/>
          <w:szCs w:val="22"/>
          <w:color w:val="auto"/>
        </w:rPr>
        <w:t>basis to the application of Interest Proceeds to the payment of Permitted RIC Distributions and taking into account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Scheduled Distributions that are expected to be received prior to the next Payment Date, sufficient Interest Proceeds will be available on the next Payment Date to pay in full all amounts due on all Classes of Secured Debt under the Priority of Payments and all Coverage Tests are expected to be satisfied on the next Payment Date, (y) the Issuer gives at least one (1) Business Day's prior written notice thereof to the Collateral Manager, the Collateral Trustee and the Collateral Administrator and (z) the Issuer and the Collateral Manager confirm in writing (which may be by email) to the Collateral Trustee and the Collateral Administrator that the conditions to a Permitted RIC Distribution set forth herein are satisfied.</w:t>
      </w:r>
    </w:p>
    <w:p>
      <w:pPr>
        <w:spacing w:after="0" w:line="185"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Use</w:t>
      </w:r>
      <w:r>
        <w:rPr>
          <w:rFonts w:ascii="Times New Roman" w:cs="Times New Roman" w:eastAsia="Times New Roman" w:hAnsi="Times New Roman"/>
          <w:sz w:val="22"/>
          <w:szCs w:val="22"/>
          <w:color w:val="auto"/>
        </w:rPr>
        <w:t xml:space="preserve">": With respect to any Cash Contribution, any of the following uses as determined by the Collateral Manager: (i) the transfer of the applicable portion of such amount to the Interest Collection Subaccount for application as Interest Proceeds; (ii) the transfer of the applicable portion of such amount to the Principal Collection Subaccount for application as Principal Proceeds (so long as the Issuer has consented thereto); (iii) the payment of any transaction costs (including fees) in connection with any Refinancing, Re-Pricing or an additional issuance of Secured Debt (in each case, so long as the Issuer has consented thereto); (iv) to make payments in connection with the exercise of an option, warrant, right of conversion, preemptive right, rights offering, credit bid or similar right in connection with the workout or restructuring of a Collateral Obligation, in each case, subject to the limitations set forth in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and (v) any other use of funds permitted under, or otherwise not prohibited under, this Indenture.</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An individual, corporation (including a business trust), partnership, limited liability company, joint venture, association, joint stock company, statutory trust, trust (including any beneficiary thereof), unincorporated association or government or any agency or political subdivision thereof.</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Placement Agent</w:t>
      </w:r>
      <w:r>
        <w:rPr>
          <w:rFonts w:ascii="Times New Roman" w:cs="Times New Roman" w:eastAsia="Times New Roman" w:hAnsi="Times New Roman"/>
          <w:sz w:val="22"/>
          <w:szCs w:val="22"/>
          <w:color w:val="auto"/>
        </w:rPr>
        <w:t>": GreensLedge Capital Markets LLC, in its capacity as placement agent of the Secured Notes under the Placement Agreement.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Placement Agreement</w:t>
      </w:r>
      <w:r>
        <w:rPr>
          <w:rFonts w:ascii="Times New Roman" w:cs="Times New Roman" w:eastAsia="Times New Roman" w:hAnsi="Times New Roman"/>
          <w:sz w:val="22"/>
          <w:szCs w:val="22"/>
          <w:color w:val="auto"/>
        </w:rPr>
        <w:t>": The placement agency agreement dated as of February 20, 2025, by and among the Issuer, the Collateral Manager, the Transferor and the Placement Agent, as amended from time to time in accordance with the terms thereof.</w:t>
      </w:r>
    </w:p>
    <w:p>
      <w:pPr>
        <w:spacing w:after="0" w:line="17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Asset Regulation</w:t>
      </w:r>
      <w:r>
        <w:rPr>
          <w:rFonts w:ascii="Times New Roman" w:cs="Times New Roman" w:eastAsia="Times New Roman" w:hAnsi="Times New Roman"/>
          <w:sz w:val="22"/>
          <w:szCs w:val="22"/>
          <w:color w:val="auto"/>
        </w:rPr>
        <w:t>": The U.S. Department of Labor regulations under 29 C.F.R. § 2510.3-101, as modified by Section 3(42) of ERISA.</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Company</w:t>
      </w:r>
      <w:r>
        <w:rPr>
          <w:rFonts w:ascii="Times New Roman" w:cs="Times New Roman" w:eastAsia="Times New Roman" w:hAnsi="Times New Roman"/>
          <w:sz w:val="22"/>
          <w:szCs w:val="22"/>
          <w:color w:val="auto"/>
        </w:rPr>
        <w:t>": Any company that is controlled by the Collateral Manager, an Affiliate thereof, or an account, fund, client or portfolio established and controlled by the Collateral Manager or an Affiliate thereof.</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Posting Agent</w:t>
      </w:r>
      <w:r>
        <w:rPr>
          <w:rFonts w:ascii="Times New Roman" w:cs="Times New Roman" w:eastAsia="Times New Roman" w:hAnsi="Times New Roman"/>
          <w:sz w:val="22"/>
          <w:szCs w:val="22"/>
          <w:color w:val="auto"/>
        </w:rPr>
        <w:t>”: Western Alliance Trust Company, N.A., in its capacity as Posting Agent under the Posting Agent Letter Agreement.</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Posting Agent Letter Agreement</w:t>
      </w:r>
      <w:r>
        <w:rPr>
          <w:rFonts w:ascii="Times New Roman" w:cs="Times New Roman" w:eastAsia="Times New Roman" w:hAnsi="Times New Roman"/>
          <w:sz w:val="22"/>
          <w:szCs w:val="22"/>
          <w:color w:val="auto"/>
        </w:rPr>
        <w:t>”: The Posting Agent Letter Agreement dated as of February 5, 2025 among the Posting Agent, the Issuer and the Collateral Manager.</w:t>
      </w:r>
    </w:p>
    <w:p>
      <w:pPr>
        <w:spacing w:after="0" w:line="124"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Reinvestment Period Settlement Obligation</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12.2(a)</w:t>
      </w:r>
      <w:r>
        <w:rPr>
          <w:rFonts w:ascii="Times New Roman" w:cs="Times New Roman" w:eastAsia="Times New Roman" w:hAnsi="Times New Roman"/>
          <w:sz w:val="22"/>
          <w:szCs w:val="22"/>
          <w:color w:val="auto"/>
        </w:rPr>
        <w:t>.</w:t>
      </w:r>
    </w:p>
    <w:p>
      <w:pPr>
        <w:spacing w:after="0" w:line="254"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PRASR</w:t>
      </w:r>
      <w:r>
        <w:rPr>
          <w:rFonts w:ascii="Times New Roman" w:cs="Times New Roman" w:eastAsia="Times New Roman" w:hAnsi="Times New Roman"/>
          <w:sz w:val="22"/>
          <w:szCs w:val="22"/>
          <w:color w:val="auto"/>
        </w:rPr>
        <w:t>”: The Securitization Part of the rulebook of published policy of the Prudential Regulation Authority of the Bank of England.</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Primary Business Activity</w:t>
      </w:r>
      <w:r>
        <w:rPr>
          <w:rFonts w:ascii="Times New Roman" w:cs="Times New Roman" w:eastAsia="Times New Roman" w:hAnsi="Times New Roman"/>
          <w:sz w:val="22"/>
          <w:szCs w:val="22"/>
          <w:color w:val="auto"/>
        </w:rPr>
        <w:t>": XE "Primary Business Activity" In relation to a consolidated group of companies, for the purposes of determining whether a debt obligation or debt security is an ESG Prohibited Obligation, where such group derives more than 50 percent of its revenues from the relevant business, trade or production (as applicable).</w:t>
      </w:r>
    </w:p>
    <w:p>
      <w:pPr>
        <w:spacing w:after="0" w:line="17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Balance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with respect to (a) any Asset other than a Revolving Collateral Obligation, Delayed Drawdown Collateral Obligation or Delayed Funding Restructured Asset, as of any date of determination, the outstanding principal amount of such Asset (excluding any capitalized interest) and (b) any Revolving Collateral Obligation, Delayed Drawdown Collateral Obligation or Delayed Funding Restructured Asset, as of any date of determination, the outstanding principal amount of such Revolving Collateral Obligation, Delayed Drawdown Collateral Obligation or Delayed Funding Restructured Asset (excluding any capitalized interest),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(except as expressly set forth herein) any undrawn commitments that have not been irrevocably reduced or withdrawn with respect to such Revolving Collateral Obligation, Delayed Drawdown Collateral Obligation or Delayed Funding Restructured Asset;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all purposes the Principal Balance of (1) any Equity Security or interest only strip shall be deemed to be zero and (2) any Defaulted Obligation that is not sold or terminated within three years after becoming a Defaulted Obligation shall be deemed to be zero.</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Collection Subaccount</w:t>
      </w:r>
      <w:r>
        <w:rPr>
          <w:rFonts w:ascii="Times New Roman" w:cs="Times New Roman" w:eastAsia="Times New Roman" w:hAnsi="Times New Roman"/>
          <w:sz w:val="22"/>
          <w:szCs w:val="22"/>
          <w:color w:val="auto"/>
        </w:rPr>
        <w:t xml:space="preserve">": The account established pursuant to </w:t>
      </w:r>
      <w:r>
        <w:rPr>
          <w:rFonts w:ascii="Times New Roman" w:cs="Times New Roman" w:eastAsia="Times New Roman" w:hAnsi="Times New Roman"/>
          <w:sz w:val="22"/>
          <w:szCs w:val="22"/>
          <w:u w:val="single" w:color="auto"/>
          <w:color w:val="auto"/>
        </w:rPr>
        <w:t>Section 10.2(a)</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Financed Accrued Interest</w:t>
      </w:r>
      <w:r>
        <w:rPr>
          <w:rFonts w:ascii="Times New Roman" w:cs="Times New Roman" w:eastAsia="Times New Roman" w:hAnsi="Times New Roman"/>
          <w:sz w:val="22"/>
          <w:szCs w:val="22"/>
          <w:color w:val="auto"/>
        </w:rPr>
        <w:t>": The amount of Principal Proceeds, if any, applied towards the purchase of accrued interest on a Collateral Obligation.</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Financed Capitalized Interest</w:t>
      </w:r>
      <w:r>
        <w:rPr>
          <w:rFonts w:ascii="Times New Roman" w:cs="Times New Roman" w:eastAsia="Times New Roman" w:hAnsi="Times New Roman"/>
          <w:sz w:val="22"/>
          <w:szCs w:val="22"/>
          <w:color w:val="auto"/>
        </w:rPr>
        <w:t>": The amount of Principal Proceeds, if any, applied towards the purchase of capitalized interest on a Deferrable Obligation or Partial Deferrable Obligation.</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Principal Proceeds</w:t>
      </w:r>
      <w:r>
        <w:rPr>
          <w:rFonts w:ascii="Times New Roman" w:cs="Times New Roman" w:eastAsia="Times New Roman" w:hAnsi="Times New Roman"/>
          <w:sz w:val="22"/>
          <w:szCs w:val="22"/>
          <w:color w:val="auto"/>
        </w:rPr>
        <w:t>": With respect to any Collection Period or Determination Date, all amounts received by the Issuer during the related Collection Period that do not constitute Interest Proceeds and any other amounts that have been designated as Principal Proceeds pursuant to the terms of this Indenture.</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Priority Category</w:t>
      </w:r>
      <w:r>
        <w:rPr>
          <w:rFonts w:ascii="Times New Roman" w:cs="Times New Roman" w:eastAsia="Times New Roman" w:hAnsi="Times New Roman"/>
          <w:sz w:val="22"/>
          <w:szCs w:val="22"/>
          <w:color w:val="auto"/>
        </w:rPr>
        <w:t xml:space="preserve">": With respect to any Collateral Obligation, the applicable category listed in the table under the heading "Priority Category" in clause 1(b) of </w:t>
      </w:r>
      <w:r>
        <w:rPr>
          <w:rFonts w:ascii="Times New Roman" w:cs="Times New Roman" w:eastAsia="Times New Roman" w:hAnsi="Times New Roman"/>
          <w:sz w:val="22"/>
          <w:szCs w:val="22"/>
          <w:u w:val="single" w:color="auto"/>
          <w:color w:val="auto"/>
        </w:rPr>
        <w:t>Schedule 5</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Priority Class</w:t>
      </w:r>
      <w:r>
        <w:rPr>
          <w:rFonts w:ascii="Times New Roman" w:cs="Times New Roman" w:eastAsia="Times New Roman" w:hAnsi="Times New Roman"/>
          <w:sz w:val="22"/>
          <w:szCs w:val="22"/>
          <w:color w:val="auto"/>
        </w:rPr>
        <w:t xml:space="preserve">": With respect to any specified Class of Debt, each Class of Debt that ranks senior to such Class, as indicated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Priority of Payments</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11.1(a)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Any suit in equity, action at law or other judicial or administrative proceeding.</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Proposed Portfolio</w:t>
      </w:r>
      <w:r>
        <w:rPr>
          <w:rFonts w:ascii="Times New Roman" w:cs="Times New Roman" w:eastAsia="Times New Roman" w:hAnsi="Times New Roman"/>
          <w:sz w:val="22"/>
          <w:szCs w:val="22"/>
          <w:color w:val="auto"/>
        </w:rPr>
        <w:t>": The portfolio of Collateral Obligations and Eligible Investments resulting from the proposed purchase, sale, maturity or other disposition of a Collateral Obligation or a proposed reinvestment in an additional Collateral Obligation, as the case may be.</w:t>
      </w:r>
    </w:p>
    <w:p>
      <w:pPr>
        <w:spacing w:after="0" w:line="17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QIB/QP</w:t>
      </w:r>
      <w:r>
        <w:rPr>
          <w:rFonts w:ascii="Times New Roman" w:cs="Times New Roman" w:eastAsia="Times New Roman" w:hAnsi="Times New Roman"/>
          <w:sz w:val="22"/>
          <w:szCs w:val="22"/>
          <w:color w:val="auto"/>
        </w:rPr>
        <w:t>": Any Person that, at the time of its acquisition, purported acquisition or proposed acquisition of Notes is both a Qualified Institutional Buyer and a Qualified Purchaser.</w:t>
      </w:r>
    </w:p>
    <w:p>
      <w:pPr>
        <w:spacing w:after="0" w:line="15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Qualified Broker/Dealer</w:t>
      </w:r>
      <w:r>
        <w:rPr>
          <w:rFonts w:ascii="Times New Roman" w:cs="Times New Roman" w:eastAsia="Times New Roman" w:hAnsi="Times New Roman"/>
          <w:sz w:val="21"/>
          <w:szCs w:val="21"/>
          <w:color w:val="auto"/>
        </w:rPr>
        <w:t>": Any of Antares Capital; Ares Capital Corporation; Bank of America/Merrill Lynch; The Bank of Montreal; The Bank of New York Mellon; Barclays Bank plc; BNP Paribas; Broadpoint Securities; Calyon; Citibank, N.A.; Credit Agricole S.A.; Canadian Imperial Bank of Commerce; Deutsche Bank AG; Dresdner Bank AG; GE Capital; Goldman Sachs &amp; Co.; Golub Capital; Guggenheim; HSBC Bank; Imperial Capital LLC; Jefferies &amp; Company, Inc.; JPMorgan Chase Bank, N.A.; KeyBank National Association; Lloyds TSB Bank; Madison Capital; Merrill Lynch, Pierce, Fenner</w:t>
      </w:r>
    </w:p>
    <w:p>
      <w:pPr>
        <w:spacing w:after="0" w:line="1" w:lineRule="exact"/>
        <w:rPr>
          <w:sz w:val="20"/>
          <w:szCs w:val="20"/>
          <w:color w:val="auto"/>
        </w:rPr>
      </w:pPr>
    </w:p>
    <w:p>
      <w:pPr>
        <w:jc w:val="both"/>
        <w:ind w:firstLine="8"/>
        <w:spacing w:after="0" w:line="252" w:lineRule="exact"/>
        <w:tabs>
          <w:tab w:leader="none" w:pos="22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Smith Incorporated; Morgan Stanley &amp; Co.; Natixis; NatWest Markets plc; NewStar Financial, Inc.; Northern Trust Company; Royal Bank of Canada; Société Générale; SunTrust Banks, Inc.; The Toronto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Dominion Bank; UBS AG; U.S. Bank National Association; and Wells Fargo Bank, National Association.</w:t>
      </w:r>
    </w:p>
    <w:p>
      <w:pPr>
        <w:spacing w:after="0" w:line="179"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Institutional Buyer</w:t>
      </w:r>
      <w:r>
        <w:rPr>
          <w:rFonts w:ascii="Times New Roman" w:cs="Times New Roman" w:eastAsia="Times New Roman" w:hAnsi="Times New Roman"/>
          <w:sz w:val="22"/>
          <w:szCs w:val="22"/>
          <w:color w:val="auto"/>
        </w:rPr>
        <w:t>": A "qualified institutional buyer" within the meaning specified in Rule 144A under the Securities Act.</w:t>
      </w:r>
    </w:p>
    <w:p>
      <w:pPr>
        <w:spacing w:after="0" w:line="158" w:lineRule="exact"/>
        <w:rPr>
          <w:sz w:val="20"/>
          <w:szCs w:val="20"/>
          <w:color w:val="auto"/>
        </w:rPr>
      </w:pPr>
    </w:p>
    <w:p>
      <w:pPr>
        <w:ind w:firstLine="1497"/>
        <w:spacing w:after="0" w:line="285"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Purchaser</w:t>
      </w:r>
      <w:r>
        <w:rPr>
          <w:rFonts w:ascii="Times New Roman" w:cs="Times New Roman" w:eastAsia="Times New Roman" w:hAnsi="Times New Roman"/>
          <w:sz w:val="22"/>
          <w:szCs w:val="22"/>
          <w:color w:val="auto"/>
        </w:rPr>
        <w:t>": A "qualified purchaser" within the meaning specified in Section 2(a)(51) of the 1940 Act and Rule 2a51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 or 2a51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under the 1940 Act.</w:t>
      </w:r>
    </w:p>
    <w:p>
      <w:pPr>
        <w:spacing w:after="0" w:line="12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50"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Ramp</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Up Account</w:t>
      </w:r>
      <w:r>
        <w:rPr>
          <w:rFonts w:ascii="Times New Roman" w:cs="Times New Roman" w:eastAsia="Times New Roman" w:hAnsi="Times New Roman"/>
          <w:sz w:val="22"/>
          <w:szCs w:val="22"/>
          <w:color w:val="auto"/>
        </w:rPr>
        <w:t xml:space="preserve">": The account established pursuant to </w:t>
      </w:r>
      <w:r>
        <w:rPr>
          <w:rFonts w:ascii="Times New Roman" w:cs="Times New Roman" w:eastAsia="Times New Roman" w:hAnsi="Times New Roman"/>
          <w:sz w:val="22"/>
          <w:szCs w:val="22"/>
          <w:u w:val="single" w:color="auto"/>
          <w:color w:val="auto"/>
        </w:rPr>
        <w:t>Section 10.3(c)</w:t>
      </w:r>
      <w:r>
        <w:rPr>
          <w:rFonts w:ascii="Times New Roman" w:cs="Times New Roman" w:eastAsia="Times New Roman" w:hAnsi="Times New Roman"/>
          <w:sz w:val="22"/>
          <w:szCs w:val="22"/>
          <w:color w:val="auto"/>
        </w:rPr>
        <w:t>.</w:t>
      </w:r>
    </w:p>
    <w:p>
      <w:pPr>
        <w:spacing w:after="0" w:line="254"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w:t>
      </w:r>
      <w:r>
        <w:rPr>
          <w:rFonts w:ascii="Times New Roman" w:cs="Times New Roman" w:eastAsia="Times New Roman" w:hAnsi="Times New Roman"/>
          <w:sz w:val="22"/>
          <w:szCs w:val="22"/>
          <w:color w:val="auto"/>
        </w:rPr>
        <w:t>": S&amp;P or, with respect to the Secured Debt or the Collateral Obligations, as applicable, if at any time S&amp;P ceases to provide rating services with respect to debt obligations, any other nationally recognized investment rating agency selected by the Issuer (or the Collateral Manager on behalf of the Issuer). Notwithstanding anything to the contrary herein, references herein to "the Rating Agencies," "each Rating Agency" and words of similar effect shall be deemed to refer solely to S&amp;P.</w:t>
      </w:r>
    </w:p>
    <w:p>
      <w:pPr>
        <w:spacing w:after="0" w:line="177"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As to any Payment Date, Redemption Date or date designated for a Permitted RIC Distribution, as applicable, with respect to the Notes and the Subordinated Notes, the date 15 days prior to such date.</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Recurring Revenue</w:t>
      </w:r>
      <w:r>
        <w:rPr>
          <w:rFonts w:ascii="Times New Roman" w:cs="Times New Roman" w:eastAsia="Times New Roman" w:hAnsi="Times New Roman"/>
          <w:sz w:val="22"/>
          <w:szCs w:val="22"/>
          <w:color w:val="auto"/>
        </w:rPr>
        <w:t xml:space="preserve"> XE "Recurring Revenue" ": The definition of annualized recurring revenue used in the Underlying Documents for each such Collateral Obligation, any comparable term or definition for "Recurring Revenue", "Revenue" or "Adjusted Revenue" in the Underlying Documents for each such Collateral Obligation, or if there is no such term in the Underlying Documents, all recurring maintenance, service, support, hosting, subscription and other revenues identified by the Collateral Manager (including, without limitation, software as a service subscription revenue), of the related Obligor and any of its parents or subsidiaries that are obligated with respect to such Collateral Obligation pursuant to its Underlying Documents (determined on a consolidated basis without duplication in accordance with GAAP or IFRS, as applicable).</w:t>
      </w:r>
    </w:p>
    <w:p>
      <w:pPr>
        <w:spacing w:after="0" w:line="18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Recurring Revenue Loan</w:t>
      </w:r>
      <w:r>
        <w:rPr>
          <w:rFonts w:ascii="Times New Roman" w:cs="Times New Roman" w:eastAsia="Times New Roman" w:hAnsi="Times New Roman"/>
          <w:sz w:val="22"/>
          <w:szCs w:val="22"/>
          <w:color w:val="auto"/>
        </w:rPr>
        <w:t xml:space="preserve"> XE "Recurring Revenue Loan" ": A Senior Secured Loan that (i) is underwritten to Recurring Revenue, (ii) requires the Obligor to comply with a maximum Recurring Revenue Multiple or minimum Recurring Revenue financial covenant, (iii) at the time of origination of the Loan, does not include and would not customarily be expected to include (as determined by the Collateral Manager) a financial covenant based on "debt to EBITDA", "debt to EBIT" or a similar multiple of debt to operating cash flow and (iv) is not subordinate to a working capital loan.</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Recurring Revenue Multiple</w:t>
      </w:r>
      <w:r>
        <w:rPr>
          <w:rFonts w:ascii="Times New Roman" w:cs="Times New Roman" w:eastAsia="Times New Roman" w:hAnsi="Times New Roman"/>
          <w:sz w:val="22"/>
          <w:szCs w:val="22"/>
          <w:color w:val="auto"/>
        </w:rPr>
        <w:t xml:space="preserve"> XE "Recurring Revenue Multiple" ": With respect to any Loan for any relevant period of measurement, either (a) the meaning of "Recurring Revenue Multiple" or comparable definition set forth in the Underlying Documents for such Loan, or (b) in the case of any Loan with respect to which the related Underlying Documents do not include a definition of "Recurring Revenue Multiple" or comparable definition, the aggregate indebtedness of the related Obligor that is pari passu with or senior to such Loan divided by Recurring Revenue.</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Date</w:t>
      </w:r>
      <w:r>
        <w:rPr>
          <w:rFonts w:ascii="Times New Roman" w:cs="Times New Roman" w:eastAsia="Times New Roman" w:hAnsi="Times New Roman"/>
          <w:sz w:val="22"/>
          <w:szCs w:val="22"/>
          <w:color w:val="auto"/>
        </w:rPr>
        <w:t xml:space="preserve">": Any Business Day specified for a redemption of a Class of Debt in accordance with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9.8</w:t>
      </w:r>
      <w:r>
        <w:rPr>
          <w:rFonts w:ascii="Times New Roman" w:cs="Times New Roman" w:eastAsia="Times New Roman" w:hAnsi="Times New Roman"/>
          <w:sz w:val="22"/>
          <w:szCs w:val="22"/>
          <w:color w:val="auto"/>
        </w:rPr>
        <w:t xml:space="preserve"> or any Payment Date specified for a redemption of Debt in accordance with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5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Price</w:t>
      </w:r>
      <w:r>
        <w:rPr>
          <w:rFonts w:ascii="Times New Roman" w:cs="Times New Roman" w:eastAsia="Times New Roman" w:hAnsi="Times New Roman"/>
          <w:sz w:val="22"/>
          <w:szCs w:val="22"/>
          <w:color w:val="auto"/>
        </w:rPr>
        <w:t>": For (a) the Secured Debt of each Class to be redeemed or sold and transferred (as applicable) in connection with a Tax Redemption, Clean-Up Call Redemption, Optional Redemption or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Pricing, (x) 100% of the Aggregate Outstanding Amount of such Class,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(y) accrued and unpaid interest thereon (including, for the avoidance of doubt, Deferred</w:t>
      </w:r>
    </w:p>
    <w:p>
      <w:pPr>
        <w:spacing w:after="0" w:line="15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85" w:lineRule="exact"/>
        <w:rPr>
          <w:sz w:val="20"/>
          <w:szCs w:val="20"/>
          <w:color w:val="auto"/>
        </w:rPr>
      </w:pPr>
    </w:p>
    <w:p>
      <w:pPr>
        <w:jc w:val="both"/>
        <w:spacing w:after="0" w:line="248" w:lineRule="exact"/>
        <w:rPr>
          <w:sz w:val="20"/>
          <w:szCs w:val="20"/>
          <w:color w:val="auto"/>
        </w:rPr>
      </w:pPr>
      <w:r>
        <w:rPr>
          <w:rFonts w:ascii="Times New Roman" w:cs="Times New Roman" w:eastAsia="Times New Roman" w:hAnsi="Times New Roman"/>
          <w:sz w:val="22"/>
          <w:szCs w:val="22"/>
          <w:color w:val="auto"/>
        </w:rPr>
        <w:t xml:space="preserve">Interest on such Class due and payable pursuant to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 interest on any accrued and unpaid Deferred Interest and defaulted interest) to the Redemption Date or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Pricing Date; and (b) each Subordinated Note, its proportional share (based on the Aggregate Outstanding Amount of the Subordinated Notes) of the amount of the proceeds of the Assets remaining after giving effect to the Optional Redemption, Tax Redemption or Clean-Up Call Redemption of the Secured Debt in whole or after all Secured Debt has been repaid in full and payment in full of (and/or creation of a reserve for) all expenses (including all Collateral Management Fees and Administrative Expenses) of the Issuer;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connection with any Tax Redemption, Clean-Up Call Redemption or Optional Redemption of the Secured Debt in whole or of any Class of Secured Debt in connection with a Refinancing of such Class, Holders of 100% of the Aggregate Outstanding Amount of any Class of Secured Debt being redeemed may elect to receive less than 100% of the Redemption Price that would otherwise be payable to the Holders of such Class of Secured Debt.</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w:t>
      </w:r>
      <w:r>
        <w:rPr>
          <w:rFonts w:ascii="Times New Roman" w:cs="Times New Roman" w:eastAsia="Times New Roman" w:hAnsi="Times New Roman"/>
          <w:sz w:val="22"/>
          <w:szCs w:val="22"/>
          <w:color w:val="auto"/>
        </w:rPr>
        <w:t>": A loan or an issuance of replacement securities, whose terms in each case will be negotiated by the Issuer or, upon request by the Issuer, by the Collateral Manager on behalf of the Issuer, from one or more financial institutions or purchasers to refinance the Secured Debt in connection with an Optional Redemption.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Proceeds</w:t>
      </w:r>
      <w:r>
        <w:rPr>
          <w:rFonts w:ascii="Times New Roman" w:cs="Times New Roman" w:eastAsia="Times New Roman" w:hAnsi="Times New Roman"/>
          <w:sz w:val="22"/>
          <w:szCs w:val="22"/>
          <w:color w:val="auto"/>
        </w:rPr>
        <w:t>": The net Cash proceeds from a Refinancing.</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Regional Diversity Measure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85"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Registered</w:t>
      </w:r>
      <w:r>
        <w:rPr>
          <w:rFonts w:ascii="Times New Roman" w:cs="Times New Roman" w:eastAsia="Times New Roman" w:hAnsi="Times New Roman"/>
          <w:sz w:val="22"/>
          <w:szCs w:val="22"/>
          <w:color w:val="auto"/>
        </w:rPr>
        <w:t>": In registered form for U.S. federal income tax purposes (or in registered or bearer form if not a "registration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required obligation" as defined in section 163(f)(2)(A) of the Code).</w:t>
      </w:r>
    </w:p>
    <w:p>
      <w:pPr>
        <w:spacing w:after="0" w:line="14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S</w:t>
      </w:r>
      <w:r>
        <w:rPr>
          <w:rFonts w:ascii="Times New Roman" w:cs="Times New Roman" w:eastAsia="Times New Roman" w:hAnsi="Times New Roman"/>
          <w:sz w:val="22"/>
          <w:szCs w:val="22"/>
          <w:color w:val="auto"/>
        </w:rPr>
        <w:t>": Regulation S, as amended, under the Securities Act.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S Global Secured Note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2.2(b)(i)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Reinvestment Period</w:t>
      </w:r>
      <w:r>
        <w:rPr>
          <w:rFonts w:ascii="Times New Roman" w:cs="Times New Roman" w:eastAsia="Times New Roman" w:hAnsi="Times New Roman"/>
          <w:sz w:val="22"/>
          <w:szCs w:val="22"/>
          <w:color w:val="auto"/>
        </w:rPr>
        <w:t xml:space="preserve">": The period from and including the Closing Date to and including the earliest of (i) the Payment Date occurring in April 2029, (ii) the date of the acceleration of the Maturity of any Class of Secured Debt pursuant to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(iii) the date on which the Collateral Manager reasonably determines that it can no longer reinvest in additional Collateral Obligations in accordance with the terms hereof or the Collateral Management Agreement for a period of not less than 20 days, or (iv) the date of any Tax Redemption, Clean-Up Call Redemption or Optional Redemption of the Secured Debt in whole other than in connection with a Refinancing;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clause (iii), the Collateral Manager will notify the Collateral Trustee, the Loan Agent and the Collateral Administrator of such determination;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Reinvestment Period is terminated pursuant to clause (ii) or clause (iii) above, the Reinvestment Period may be reinstated at any time prior to the date set forth in clause (i) above with the consent of the Collateral Manager, written notice to each Rating Agency and, in the case of termination under clause (ii), if the acceleration has been rescinded in accordance with the terms of this Indenture.</w:t>
      </w:r>
    </w:p>
    <w:p>
      <w:pPr>
        <w:spacing w:after="0" w:line="183"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Reinvestment Target Par Balance</w:t>
      </w:r>
      <w:r>
        <w:rPr>
          <w:rFonts w:ascii="Times New Roman" w:cs="Times New Roman" w:eastAsia="Times New Roman" w:hAnsi="Times New Roman"/>
          <w:sz w:val="22"/>
          <w:szCs w:val="22"/>
          <w:color w:val="auto"/>
        </w:rPr>
        <w:t xml:space="preserve">": As of any date of determination, the Target Initial Par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 the amount of any reduction in the Aggregate Outstanding Amount</w:t>
      </w:r>
    </w:p>
    <w:p>
      <w:pPr>
        <w:spacing w:after="0" w:line="133"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of the Debt through the payment of Principal Proceeds (excluding any repayment of Deferred Interest)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Aggregate Outstanding Amount of any additional Debt issued or incurred, as applicable, under and in accordance with </w:t>
      </w:r>
      <w:r>
        <w:rPr>
          <w:rFonts w:ascii="Times New Roman" w:cs="Times New Roman" w:eastAsia="Times New Roman" w:hAnsi="Times New Roman"/>
          <w:sz w:val="22"/>
          <w:szCs w:val="22"/>
          <w:u w:val="single" w:color="auto"/>
          <w:color w:val="auto"/>
        </w:rPr>
        <w:t>Sections 2.13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3.2</w:t>
      </w:r>
      <w:r>
        <w:rPr>
          <w:rFonts w:ascii="Times New Roman" w:cs="Times New Roman" w:eastAsia="Times New Roman" w:hAnsi="Times New Roman"/>
          <w:sz w:val="22"/>
          <w:szCs w:val="22"/>
          <w:color w:val="auto"/>
        </w:rPr>
        <w:t xml:space="preserve"> and the Credit Agreements, or, if greater, the aggregate amount of Principal Proceeds that result from the issuance or incurrence, as applicable, of such additional Debt.</w:t>
      </w:r>
    </w:p>
    <w:p>
      <w:pPr>
        <w:spacing w:after="0" w:line="141"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Priced Class</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9.7(a)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Pricing</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9.7(a)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Pricing Date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9.7(b)</w:t>
      </w:r>
      <w:r>
        <w:rPr>
          <w:rFonts w:ascii="Times New Roman" w:cs="Times New Roman" w:eastAsia="Times New Roman" w:hAnsi="Times New Roman"/>
          <w:sz w:val="22"/>
          <w:szCs w:val="22"/>
          <w:color w:val="auto"/>
        </w:rPr>
        <w:t>.</w:t>
      </w:r>
    </w:p>
    <w:p>
      <w:pPr>
        <w:spacing w:after="0" w:line="254"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Re-Pricing Eligible Notes</w:t>
      </w:r>
      <w:r>
        <w:rPr>
          <w:rFonts w:ascii="Times New Roman" w:cs="Times New Roman" w:eastAsia="Times New Roman" w:hAnsi="Times New Roman"/>
          <w:sz w:val="22"/>
          <w:szCs w:val="22"/>
          <w:color w:val="auto"/>
        </w:rPr>
        <w:t xml:space="preserve"> XE "Re-Pricing Eligible Notes" ": Each Class of Notes designated as "Re-Pricing Eligible Notes" under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24"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Pricing Intermediary</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9.7(a)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Pricing, Mandatory Tender and Election to Retain Announcement</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9.7(b)(i)</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Pricing Rate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9.7(b)(i)</w:t>
      </w:r>
      <w:r>
        <w:rPr>
          <w:rFonts w:ascii="Times New Roman" w:cs="Times New Roman" w:eastAsia="Times New Roman" w:hAnsi="Times New Roman"/>
          <w:sz w:val="22"/>
          <w:szCs w:val="22"/>
          <w:color w:val="auto"/>
        </w:rPr>
        <w:t>.</w:t>
      </w:r>
    </w:p>
    <w:p>
      <w:pPr>
        <w:spacing w:after="0" w:line="2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Re-Pricing Redemption</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9.7(b)(iv)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Re-Pricing Replacement Notes</w:t>
      </w:r>
      <w:r>
        <w:rPr>
          <w:rFonts w:ascii="Times New Roman" w:cs="Times New Roman" w:eastAsia="Times New Roman" w:hAnsi="Times New Roman"/>
          <w:sz w:val="22"/>
          <w:szCs w:val="22"/>
          <w:color w:val="auto"/>
        </w:rPr>
        <w:t>”: Notes issued in connection with a Re-Pricing.</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Re-Pricing Sale Price</w:t>
      </w:r>
      <w:r>
        <w:rPr>
          <w:rFonts w:ascii="Times New Roman" w:cs="Times New Roman" w:eastAsia="Times New Roman" w:hAnsi="Times New Roman"/>
          <w:sz w:val="22"/>
          <w:szCs w:val="22"/>
          <w:color w:val="auto"/>
        </w:rPr>
        <w:t>": With respect to each Re-Priced Class of Secured Notes, an amount equal to 100% of the Aggregate Outstanding Amount of such Notes, plus accrued and unpaid interest thereon (including Deferred Interest, interest on any accrued and unpaid Deferred Interest and, in the case of a Re-Priced Class that is not a Class of Deferred Interest Notes, any interest on any defaulted interest) to the Re-Pricing Date, if any, with respect to such Re-Priced Class of Secured Notes. For the avoidance of doubt, in connection with a Mandatory Tender and transfer of Secured Notes of a Re-Priced Class held by Non-Consenting Holders, the Secured Notes subject to such Mandatory Tender and transfer shall not be redeemed and shall remain Outstanding from and after the related Re-Pricing Date notwithstanding the receipt of the Re-Pricing Sale Price delivered to such Non-Consenting Holders in connection therewith.</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Repurchase and Substitution Limit</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12.3(c)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Interest Coverage Ratio</w:t>
      </w:r>
      <w:r>
        <w:rPr>
          <w:rFonts w:ascii="Times New Roman" w:cs="Times New Roman" w:eastAsia="Times New Roman" w:hAnsi="Times New Roman"/>
          <w:sz w:val="22"/>
          <w:szCs w:val="22"/>
          <w:color w:val="auto"/>
        </w:rPr>
        <w:t>": (a) For the Class A-1 Debt, the Class A-2 Notes and the Class B Notes, 115.0%, (b) for the Class C Notes, 110.0% and (c) for the Class D Notes, 105.0%.</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Overcollateralization Ratio</w:t>
      </w:r>
      <w:r>
        <w:rPr>
          <w:rFonts w:ascii="Times New Roman" w:cs="Times New Roman" w:eastAsia="Times New Roman" w:hAnsi="Times New Roman"/>
          <w:sz w:val="22"/>
          <w:szCs w:val="22"/>
          <w:color w:val="auto"/>
        </w:rPr>
        <w:t>": (a) For the Class A-1 Debt the Class A-2 Notes and the Class B Notes, 137.1%, (b) for the Class C Notes, 123.6% and (c) for the Class D Notes, 116.0%.</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S&amp;P Credit Estimate Information</w:t>
      </w:r>
      <w:r>
        <w:rPr>
          <w:rFonts w:ascii="Times New Roman" w:cs="Times New Roman" w:eastAsia="Times New Roman" w:hAnsi="Times New Roman"/>
          <w:sz w:val="22"/>
          <w:szCs w:val="22"/>
          <w:color w:val="auto"/>
        </w:rPr>
        <w:t>": S&amp;P's " Credit FAQ: Anatomy Of A Credit Estimate: What It Means And How We Do It" dated January 14, 2021 and any other available information S&amp;P reasonably requests in order to produce a credit estimate for a particular asset.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Reset Amendment</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8.2(a)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w:t>
      </w:r>
      <w:r>
        <w:rPr>
          <w:rFonts w:ascii="Times New Roman" w:cs="Times New Roman" w:eastAsia="Times New Roman" w:hAnsi="Times New Roman"/>
          <w:sz w:val="22"/>
          <w:szCs w:val="22"/>
          <w:color w:val="auto"/>
        </w:rPr>
        <w:t>": With respect to the Issuer, an action in writing by its designated manager.</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With respect to (i) the Collateral Trustee, the Loan Agent or the Collateral Administrator, a Trust Officer, and (ii) any other any Person, any duly authorized director, officer or manager of such Person with direct responsibility for the administration of the applicable agreement and also, with respect to a particular matter, any other duly authorized director, officer or manager of such Person to whom such matter is referred because of such director's, officer's or manager's knowledge of and familiarity with the particular subject. Each party may receive and accept a certification of the authority of any other party as conclusive evidence of the authority of any Person to act, and such certification may be considered as in full force and effect until receipt by such other party of written notice to the contrary.</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Trading Period</w:t>
      </w:r>
      <w:r>
        <w:rPr>
          <w:rFonts w:ascii="Times New Roman" w:cs="Times New Roman" w:eastAsia="Times New Roman" w:hAnsi="Times New Roman"/>
          <w:sz w:val="22"/>
          <w:szCs w:val="22"/>
          <w:color w:val="auto"/>
        </w:rPr>
        <w:t xml:space="preserve">": The period during which (a) S&amp;P's rating of the Class A-1L-A Loans, the Class A-1L-B Loans or the Class A-1 Notes (to the extent outstanding) is one or more sub-categories below its rating on the Closing Date or has been withdrawn and not reinstated or (b) S&amp;P's rating of any of the Class B Notes, the Class C Notes or the Class D Notes (to the extent outstanding) is two or more sub-categories below its rating on the Closing Date or has been withdrawn and not reinstated;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period will not be a Restricted Trading Period (i) if after giving effect to any sale (and any related reinvestment) or purchase of the relevant Collateral Obligation, the Aggregate Principal Balance of all Collateral Obligations plus, without duplication, amounts on deposit in the Principal Collection Subaccount, the Contribution Account (to the extent such amounts have been designated for application as Principal Proceeds pursuant to the definition of "Permitted Use") and the Ramp-Up Account will be equal to or greater than the Reinvestment Target Par Balance or (ii) so long as S&amp;P’s rating of such Class has not been further downgraded, withdrawn or put on watch for potential downgrade, upon the direction of the Issuer with the consent of a Majority of the Controlling Class.</w:t>
      </w:r>
    </w:p>
    <w:p>
      <w:pPr>
        <w:spacing w:after="0" w:line="18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Restructured Asset</w:t>
      </w:r>
      <w:r>
        <w:rPr>
          <w:rFonts w:ascii="Times New Roman" w:cs="Times New Roman" w:eastAsia="Times New Roman" w:hAnsi="Times New Roman"/>
          <w:sz w:val="22"/>
          <w:szCs w:val="22"/>
          <w:color w:val="auto"/>
        </w:rPr>
        <w:t>": A security, debt obligation or other interest acquired by the Issuer resulting from, or received in connection with, the exercise of an option, warrant, right of conversion, pre-emptive right, rights offering, credit bid or similar right in connection with the workout or restructuring of a Collateral Obligation or an Equity Security. For the avoidance of doubt, a Restructured Asset will constitute an Equity Security unless and until, as of any date following the acquisition thereof by the Issuer, such Restructured Asset either (i) constitutes a Collateral Restructured Asset or (ii) satisfies each of the requirements set forth in the definition of "Collateral Obligation" (without regard to any carveouts for Collateral Restructured Assets set forth in this Indenture), after which such Restructured Asset shall constitute a Collateral Obligation</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all purposes under this Indenture. The acquisition of Restructured Assets will not be required to satisfy the Investment Criteria.</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Restructured Asset Proceeds</w:t>
      </w:r>
      <w:r>
        <w:rPr>
          <w:rFonts w:ascii="Times New Roman" w:cs="Times New Roman" w:eastAsia="Times New Roman" w:hAnsi="Times New Roman"/>
          <w:sz w:val="22"/>
          <w:szCs w:val="22"/>
          <w:color w:val="auto"/>
        </w:rPr>
        <w:t>": Any proceeds received by the Issuer (including all Sale Proceeds and payments of interest and principal in respect thereof) on a Restructured Asset (for the avoidance of doubt, including any Restructured Asset that constitutes a Collateral Obligation) acquired by the Issuer in accordance with the terms hereof.</w:t>
      </w:r>
    </w:p>
    <w:p>
      <w:pPr>
        <w:spacing w:after="0" w:line="17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Retention Deficiency</w:t>
      </w:r>
      <w:r>
        <w:rPr>
          <w:rFonts w:ascii="Times New Roman" w:cs="Times New Roman" w:eastAsia="Times New Roman" w:hAnsi="Times New Roman"/>
          <w:sz w:val="22"/>
          <w:szCs w:val="22"/>
          <w:color w:val="auto"/>
        </w:rPr>
        <w:t>": A failure by the EU/UK Retention Holder to hold the EU/UK Retention Interest as required by the Retention of Net Economic Interest Letter.</w:t>
      </w:r>
    </w:p>
    <w:p>
      <w:pPr>
        <w:spacing w:after="0" w:line="158" w:lineRule="exact"/>
        <w:rPr>
          <w:sz w:val="20"/>
          <w:szCs w:val="20"/>
          <w:color w:val="auto"/>
        </w:rPr>
      </w:pPr>
    </w:p>
    <w:p>
      <w:pPr>
        <w:ind w:left="1500"/>
        <w:spacing w:after="0"/>
        <w:tabs>
          <w:tab w:leader="none" w:pos="346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Retention Interest</w:t>
      </w:r>
      <w:r>
        <w:rPr>
          <w:rFonts w:ascii="Times New Roman" w:cs="Times New Roman" w:eastAsia="Times New Roman" w:hAnsi="Times New Roman"/>
          <w:sz w:val="22"/>
          <w:szCs w:val="22"/>
          <w:color w:val="auto"/>
        </w:rPr>
        <w:t>":</w:t>
        <w:tab/>
        <w:t>The EU/UK Retention Interest and/or the U.S. Retention Interest, as the context may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require.</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Retention of Net Economic Interest Letter</w:t>
      </w:r>
      <w:r>
        <w:rPr>
          <w:rFonts w:ascii="Times New Roman" w:cs="Times New Roman" w:eastAsia="Times New Roman" w:hAnsi="Times New Roman"/>
          <w:sz w:val="22"/>
          <w:szCs w:val="22"/>
          <w:color w:val="auto"/>
        </w:rPr>
        <w:t>": The letter relating to the retention of net economic interest in accordance with the Securitization Regulations, dated as of the Closing Date and addressed by the EU/UK Retention Holder to the Issuer and the Placement Agent.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Revolver Funding Account</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Collateral Obligation</w:t>
      </w:r>
      <w:r>
        <w:rPr>
          <w:rFonts w:ascii="Times New Roman" w:cs="Times New Roman" w:eastAsia="Times New Roman" w:hAnsi="Times New Roman"/>
          <w:sz w:val="21"/>
          <w:szCs w:val="21"/>
          <w:color w:val="auto"/>
        </w:rPr>
        <w:t xml:space="preserve">": Any Collateral Obligation (other than a Delayed Drawdown Collateral Obligation) that is a loan (including, without limitation, revolving loans, including funded and unfunded portions of revolving credit lines (including any portions thereof that may be drawn by the borrower relating to its letter of credit facilities), unfunded commitments under specific facilities and other similar loans) that by its terms may require one or more future advances to be made to the borrower by the Issuer;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Collateral Obligation will be a Revolving Collateral Obligation only until all commitments to make advances to the borrower expire or are terminated or irrevocably reduced to zero.</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Risk Retention Issuance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2.13(b)</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17g</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14.17(a)</w:t>
      </w:r>
      <w:r>
        <w:rPr>
          <w:rFonts w:ascii="Times New Roman" w:cs="Times New Roman" w:eastAsia="Times New Roman" w:hAnsi="Times New Roman"/>
          <w:sz w:val="22"/>
          <w:szCs w:val="22"/>
          <w:color w:val="auto"/>
        </w:rPr>
        <w:t>.</w:t>
      </w:r>
    </w:p>
    <w:p>
      <w:pPr>
        <w:spacing w:after="0" w:line="2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144A</w:t>
      </w:r>
      <w:r>
        <w:rPr>
          <w:rFonts w:ascii="Times New Roman" w:cs="Times New Roman" w:eastAsia="Times New Roman" w:hAnsi="Times New Roman"/>
          <w:sz w:val="22"/>
          <w:szCs w:val="22"/>
          <w:color w:val="auto"/>
        </w:rPr>
        <w:t>": Rule 144A, as amended, under the Securities Act.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144A Global Note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2.2(b)(ii)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144A Global Secured Note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2.2(b)(ii)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144A Global Subordinated Note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2.2(b)(ii)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144A Information</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S&amp;P Global Ratings, an S&amp;P Global Inc. business, and any successor or successors thereto.</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85"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S&amp;P CDO Monitor</w:t>
      </w:r>
      <w:r>
        <w:rPr>
          <w:rFonts w:ascii="Times New Roman" w:cs="Times New Roman" w:eastAsia="Times New Roman" w:hAnsi="Times New Roman"/>
          <w:sz w:val="21"/>
          <w:szCs w:val="21"/>
          <w:color w:val="auto"/>
        </w:rPr>
        <w:t xml:space="preserve"> ": The dynamic, analytical computer model developed by S&amp;P used to calculate the default frequency in terms of the amount of debt assumed to default as a percentage of the original principal amount of the Collateral Obligations consistent with a specified benchmark rating level based upon certain assumptions (including the applicable Weighted Average S&amp;P Recovery Rate) and S&amp;P's proprietary corporate default studies, as may be amended by S&amp;P from time to time upon notice to the Issuer, the Collateral Trustee, the Loan Agent, the Collateral Manager and the Collateral Administrator. Each S&amp;P CDO Monitor will be chosen by the Collateral Manager (with notice to the Collateral Administrator) and associated with either (x) a Weighted Average S&amp;P Recovery Rate and a Weighted Average Floating Spread from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Schedule 5</w:t>
      </w:r>
      <w:r>
        <w:rPr>
          <w:rFonts w:ascii="Times New Roman" w:cs="Times New Roman" w:eastAsia="Times New Roman" w:hAnsi="Times New Roman"/>
          <w:sz w:val="21"/>
          <w:szCs w:val="21"/>
          <w:color w:val="auto"/>
        </w:rPr>
        <w:t xml:space="preserve"> or (y) a Weighted Average S&amp;P Recovery Rate and a Weighted Average Floating Spread confirmed by S&amp;P,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as of any date of determination the Weighted Average S&amp;P Recovery Rate for the most senior Class of Secured Debt then Outstanding equals or exceeds the Weighted Average S&amp;P Recovery Rate for such Class chosen by the Collateral Manager and the Weighted Average Floating Spread equals or exceeds the Weighted Average Floating Spread chosen by the Collateral Manager.</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S&amp;P CDO Monitor Benchmarks</w:t>
      </w:r>
      <w:r>
        <w:rPr>
          <w:rFonts w:ascii="Times New Roman" w:cs="Times New Roman" w:eastAsia="Times New Roman" w:hAnsi="Times New Roman"/>
          <w:sz w:val="22"/>
          <w:szCs w:val="22"/>
          <w:color w:val="auto"/>
        </w:rPr>
        <w:t>": The S&amp;P Weighted Average Rating Factor, the Default Rate Dispersion, the Obligor Diversity Measure, the Industry Diversity Measure, the Regional Diversity Measure and the S&amp;P Weighted Average Life.</w:t>
      </w:r>
    </w:p>
    <w:p>
      <w:pPr>
        <w:spacing w:after="0" w:line="139"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CDO Monitor 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Model Adjustments</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7.18(f)</w:t>
      </w:r>
      <w:r>
        <w:rPr>
          <w:rFonts w:ascii="Times New Roman" w:cs="Times New Roman" w:eastAsia="Times New Roman" w:hAnsi="Times New Roman"/>
          <w:sz w:val="22"/>
          <w:szCs w:val="22"/>
          <w:color w:val="auto"/>
        </w:rPr>
        <w:t>.</w:t>
      </w:r>
    </w:p>
    <w:p>
      <w:pPr>
        <w:spacing w:after="0" w:line="254"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S&amp;P CDO Monitor Switchover Date</w:t>
      </w:r>
      <w:r>
        <w:rPr>
          <w:rFonts w:ascii="Times New Roman" w:cs="Times New Roman" w:eastAsia="Times New Roman" w:hAnsi="Times New Roman"/>
          <w:sz w:val="21"/>
          <w:szCs w:val="21"/>
          <w:color w:val="auto"/>
        </w:rPr>
        <w:t>": The date specified by the Collateral Manager, on not less than five Business Days' prior written notice to S&amp;P, the Collateral Trustee, Loan Agent and the Collateral Administrator, upon which the Collateral Manager shall cease utilizing the S&amp;P CDO Monitor in determining compliance with the S&amp;P CDO Monitor Test.</w:t>
      </w:r>
    </w:p>
    <w:p>
      <w:pPr>
        <w:spacing w:after="0" w:line="157" w:lineRule="exact"/>
        <w:rPr>
          <w:sz w:val="20"/>
          <w:szCs w:val="20"/>
          <w:color w:val="auto"/>
        </w:rPr>
      </w:pPr>
    </w:p>
    <w:p>
      <w:pPr>
        <w:jc w:val="both"/>
        <w:ind w:firstLine="1497"/>
        <w:spacing w:after="0" w:line="249"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CDO Monitor Test</w:t>
      </w:r>
      <w:r>
        <w:rPr>
          <w:rFonts w:ascii="Times New Roman" w:cs="Times New Roman" w:eastAsia="Times New Roman" w:hAnsi="Times New Roman"/>
          <w:sz w:val="22"/>
          <w:szCs w:val="22"/>
          <w:color w:val="auto"/>
        </w:rPr>
        <w:t>": A test that will be satisfied on any date of determination during the Reinvestment Period (and, prior to the S&amp;P CDO Monitor Switchover Date, following receipt by the Collateral Manager of the Class Break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even Default Rates for each S&amp;P CDO Monitor input file (in accordance with the definition of "Class Break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even Default Rate")) if, after giving effect to the sale of a Collateral Obligation or the purchase of a Collateral Obligation, the Class Default Differential of the Proposed Portfolio with respect to the most senior Class of Secured Debt then Outstanding (other than the Class A-1 Debt) is positive. The S&amp;P CDO Monitor Test will be considered to be improved if the Class Default Differential of the Proposed Portfolio with respect to the most senior Class of Secured Debt then Outstanding (other than the Class A-1 Debt) is greater than the corresponding Class Default Differential of the Current Portfolio.</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Collateral Value</w:t>
      </w:r>
      <w:r>
        <w:rPr>
          <w:rFonts w:ascii="Times New Roman" w:cs="Times New Roman" w:eastAsia="Times New Roman" w:hAnsi="Times New Roman"/>
          <w:sz w:val="22"/>
          <w:szCs w:val="22"/>
          <w:color w:val="auto"/>
        </w:rPr>
        <w:t>": With respect to any Defaulted Obligation, Deferring Obligation or Closing Date Participation Interest, the lesser of (i) the S&amp;P Recovery Amount of such Collateral Obligation, as of the relevant Measurement Date and (ii) the Market Value of such Collateral Obligation, as of the relevant Measurement Date.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Deemed Rating Confirmation</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7.18(f)</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Equivalent Diversity Score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Equivalent Rating Factor</w:t>
      </w:r>
      <w:r>
        <w:rPr>
          <w:rFonts w:ascii="Times New Roman" w:cs="Times New Roman" w:eastAsia="Times New Roman" w:hAnsi="Times New Roman"/>
          <w:sz w:val="22"/>
          <w:szCs w:val="22"/>
          <w:color w:val="auto"/>
        </w:rPr>
        <w:t>": With respect to any Collateral Obligation, the S&amp;P equivalent rating factor corresponding to the S&amp;P Rating of such Collateral Obligation in the following table:</w:t>
      </w:r>
    </w:p>
    <w:p>
      <w:pPr>
        <w:spacing w:after="0" w:line="185" w:lineRule="exact"/>
        <w:rPr>
          <w:sz w:val="20"/>
          <w:szCs w:val="20"/>
          <w:color w:val="auto"/>
        </w:rPr>
      </w:pPr>
    </w:p>
    <w:tbl>
      <w:tblPr>
        <w:tblLayout w:type="fixed"/>
        <w:tblInd w:w="2170" w:type="dxa"/>
        <w:tblCellMar>
          <w:top w:w="0" w:type="dxa"/>
          <w:left w:w="0" w:type="dxa"/>
          <w:bottom w:w="0" w:type="dxa"/>
          <w:right w:w="0" w:type="dxa"/>
        </w:tblCellMar>
      </w:tblPr>
      <w:tr>
        <w:trPr>
          <w:trHeight w:val="230"/>
        </w:trPr>
        <w:tc>
          <w:tcPr>
            <w:tcW w:w="3460" w:type="dxa"/>
            <w:vAlign w:val="bottom"/>
            <w:tcBorders>
              <w:left w:val="single" w:sz="8" w:color="BFBFBF"/>
              <w:bottom w:val="single" w:sz="8" w:color="auto"/>
              <w:right w:val="single" w:sz="8" w:color="BFBFBF"/>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S&amp;P Rating</w:t>
            </w:r>
          </w:p>
        </w:tc>
        <w:tc>
          <w:tcPr>
            <w:tcW w:w="3500" w:type="dxa"/>
            <w:vAlign w:val="bottom"/>
            <w:tcBorders>
              <w:bottom w:val="single" w:sz="8" w:color="auto"/>
              <w:right w:val="single" w:sz="8" w:color="BFBFBF"/>
            </w:tcBorders>
            <w:shd w:val="clear" w:color="auto" w:fill="BFBFBF"/>
          </w:tcPr>
          <w:p>
            <w:pPr>
              <w:ind w:left="500"/>
              <w:spacing w:after="0"/>
              <w:rPr>
                <w:sz w:val="20"/>
                <w:szCs w:val="20"/>
                <w:color w:val="auto"/>
              </w:rPr>
            </w:pPr>
            <w:r>
              <w:rPr>
                <w:rFonts w:ascii="Times New Roman" w:cs="Times New Roman" w:eastAsia="Times New Roman" w:hAnsi="Times New Roman"/>
                <w:sz w:val="20"/>
                <w:szCs w:val="20"/>
                <w:b w:val="1"/>
                <w:bCs w:val="1"/>
                <w:color w:val="auto"/>
              </w:rPr>
              <w:t>S&amp;P equivalent rating factor</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AAA</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AA+</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10</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AA</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20</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AA-</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40</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A+</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70</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A</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120</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4"/>
              </w:rPr>
              <w:t>A-</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180</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BBB+</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260</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BBB</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360</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BBB-</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610</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BB+</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940</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BB</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1,350</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5"/>
              </w:rPr>
              <w:t>BB-</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1,766</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B+</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2,220</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B</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2,720</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B-</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3,490</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CCC+</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4,770</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CCC</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6,500</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CCC-</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8,070</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CC</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10,000</w:t>
            </w:r>
          </w:p>
        </w:tc>
      </w:tr>
      <w:tr>
        <w:trPr>
          <w:trHeight w:val="223"/>
        </w:trPr>
        <w:tc>
          <w:tcPr>
            <w:tcW w:w="34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SD</w:t>
            </w:r>
          </w:p>
        </w:tc>
        <w:tc>
          <w:tcPr>
            <w:tcW w:w="350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10,000</w:t>
            </w:r>
          </w:p>
        </w:tc>
      </w:tr>
      <w:tr>
        <w:trPr>
          <w:trHeight w:val="223"/>
        </w:trPr>
        <w:tc>
          <w:tcPr>
            <w:tcW w:w="3460" w:type="dxa"/>
            <w:vAlign w:val="bottom"/>
            <w:tcBorders>
              <w:left w:val="single" w:sz="8" w:color="auto"/>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D</w:t>
            </w:r>
          </w:p>
        </w:tc>
        <w:tc>
          <w:tcPr>
            <w:tcW w:w="3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1355090</wp:posOffset>
            </wp:positionH>
            <wp:positionV relativeFrom="paragraph">
              <wp:posOffset>-3406775</wp:posOffset>
            </wp:positionV>
            <wp:extent cx="34290" cy="32658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3265805"/>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-3406775</wp:posOffset>
            </wp:positionV>
            <wp:extent cx="33655" cy="32658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326580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-166370</wp:posOffset>
            </wp:positionV>
            <wp:extent cx="33655" cy="179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179705"/>
                    </a:xfrm>
                    <a:prstGeom prst="rect">
                      <a:avLst/>
                    </a:prstGeom>
                    <a:noFill/>
                  </pic:spPr>
                </pic:pic>
              </a:graphicData>
            </a:graphic>
          </wp:anchor>
        </w:drawing>
      </w:r>
    </w:p>
    <w:p>
      <w:pPr>
        <w:spacing w:after="0" w:line="16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Equivalent Weighted Average Rating Factor</w:t>
      </w:r>
      <w:r>
        <w:rPr>
          <w:rFonts w:ascii="Times New Roman" w:cs="Times New Roman" w:eastAsia="Times New Roman" w:hAnsi="Times New Roman"/>
          <w:sz w:val="22"/>
          <w:szCs w:val="22"/>
          <w:color w:val="auto"/>
        </w:rPr>
        <w:t>": The number (</w:t>
      </w:r>
      <w:r>
        <w:rPr>
          <w:rFonts w:ascii="Times New Roman" w:cs="Times New Roman" w:eastAsia="Times New Roman" w:hAnsi="Times New Roman"/>
          <w:sz w:val="22"/>
          <w:szCs w:val="22"/>
          <w:i w:val="1"/>
          <w:iCs w:val="1"/>
          <w:color w:val="auto"/>
        </w:rPr>
        <w:t>rounded</w:t>
      </w:r>
      <w:r>
        <w:rPr>
          <w:rFonts w:ascii="Times New Roman" w:cs="Times New Roman" w:eastAsia="Times New Roman" w:hAnsi="Times New Roman"/>
          <w:sz w:val="22"/>
          <w:szCs w:val="22"/>
          <w:color w:val="auto"/>
        </w:rPr>
        <w:t xml:space="preserve"> up to the nearest whole number)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determined by: (a) summing the products of (i) the Principal Balance of each Collateral Obligation (excluding Equity Securities)</w:t>
      </w:r>
    </w:p>
    <w:p>
      <w:pPr>
        <w:spacing w:after="0" w:line="231" w:lineRule="auto"/>
        <w:rPr>
          <w:sz w:val="20"/>
          <w:szCs w:val="20"/>
          <w:color w:val="auto"/>
        </w:rPr>
      </w:pPr>
      <w:r>
        <w:rPr>
          <w:rFonts w:ascii="Times New Roman" w:cs="Times New Roman" w:eastAsia="Times New Roman" w:hAnsi="Times New Roman"/>
          <w:sz w:val="22"/>
          <w:szCs w:val="22"/>
          <w:i w:val="1"/>
          <w:iCs w:val="1"/>
          <w:color w:val="auto"/>
        </w:rPr>
        <w:t xml:space="preserve">multiplied by </w:t>
      </w:r>
      <w:r>
        <w:rPr>
          <w:rFonts w:ascii="Times New Roman" w:cs="Times New Roman" w:eastAsia="Times New Roman" w:hAnsi="Times New Roman"/>
          <w:sz w:val="22"/>
          <w:szCs w:val="22"/>
          <w:color w:val="auto"/>
        </w:rPr>
        <w:t>(ii) the S&amp;P Equivalent Rating Factor of such Collateral Obligation and (b)</w:t>
      </w:r>
      <w:r>
        <w:rPr>
          <w:rFonts w:ascii="Times New Roman" w:cs="Times New Roman" w:eastAsia="Times New Roman" w:hAnsi="Times New Roman"/>
          <w:sz w:val="22"/>
          <w:szCs w:val="22"/>
          <w:i w:val="1"/>
          <w:iCs w:val="1"/>
          <w:color w:val="auto"/>
        </w:rPr>
        <w:t xml:space="preserve"> dividing </w:t>
      </w:r>
      <w:r>
        <w:rPr>
          <w:rFonts w:ascii="Times New Roman" w:cs="Times New Roman" w:eastAsia="Times New Roman" w:hAnsi="Times New Roman"/>
          <w:sz w:val="22"/>
          <w:szCs w:val="22"/>
          <w:color w:val="auto"/>
        </w:rPr>
        <w:t>such sum by the Principal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Balance of all such Collateral Obligations.</w:t>
      </w:r>
    </w:p>
    <w:p>
      <w:pPr>
        <w:spacing w:after="0" w:line="182" w:lineRule="exact"/>
        <w:rPr>
          <w:sz w:val="20"/>
          <w:szCs w:val="20"/>
          <w:color w:val="auto"/>
        </w:rPr>
      </w:pPr>
    </w:p>
    <w:p>
      <w:pPr>
        <w:jc w:val="both"/>
        <w:ind w:right="20" w:firstLine="149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S&amp;P Industry Classification</w:t>
      </w:r>
      <w:r>
        <w:rPr>
          <w:rFonts w:ascii="Times New Roman" w:cs="Times New Roman" w:eastAsia="Times New Roman" w:hAnsi="Times New Roman"/>
          <w:sz w:val="21"/>
          <w:szCs w:val="21"/>
          <w:color w:val="auto"/>
        </w:rPr>
        <w:t xml:space="preserve">": The S&amp;P Industry Classifications set forth in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xml:space="preserve"> hereto, which industry classifications may be updated at the option of the Collateral Manager if S&amp;P publishes revised industry classifications.</w:t>
      </w:r>
    </w:p>
    <w:p>
      <w:pPr>
        <w:spacing w:after="0" w:line="13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Rating</w:t>
      </w:r>
      <w:r>
        <w:rPr>
          <w:rFonts w:ascii="Times New Roman" w:cs="Times New Roman" w:eastAsia="Times New Roman" w:hAnsi="Times New Roman"/>
          <w:sz w:val="22"/>
          <w:szCs w:val="22"/>
          <w:color w:val="auto"/>
        </w:rPr>
        <w:t>": With respect to any Collateral Obligation, as of any date of determination, the rating determined in accordance with the following methodology (except the rating of Current Pay Obligations shall be determined in accordance with clause (iv) of this definition):</w:t>
      </w:r>
    </w:p>
    <w:p>
      <w:pPr>
        <w:spacing w:after="0" w:line="173" w:lineRule="exact"/>
        <w:rPr>
          <w:sz w:val="20"/>
          <w:szCs w:val="20"/>
          <w:color w:val="auto"/>
        </w:rPr>
      </w:pPr>
    </w:p>
    <w:p>
      <w:pPr>
        <w:ind w:left="1500" w:right="40" w:firstLine="1024"/>
        <w:spacing w:after="0" w:line="258" w:lineRule="auto"/>
        <w:tabs>
          <w:tab w:leader="none" w:pos="295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if there is an issuer credit rating of the issuer of such Collateral Obligation by S&amp;P as published by S&amp;P, or the guarantor which unconditionally</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85" w:lineRule="exact"/>
        <w:rPr>
          <w:sz w:val="20"/>
          <w:szCs w:val="20"/>
          <w:color w:val="auto"/>
        </w:rPr>
      </w:pPr>
    </w:p>
    <w:p>
      <w:pPr>
        <w:jc w:val="both"/>
        <w:ind w:left="1500"/>
        <w:spacing w:after="0" w:line="252" w:lineRule="exact"/>
        <w:rPr>
          <w:sz w:val="20"/>
          <w:szCs w:val="20"/>
          <w:color w:val="auto"/>
        </w:rPr>
      </w:pPr>
      <w:r>
        <w:rPr>
          <w:rFonts w:ascii="Times New Roman" w:cs="Times New Roman" w:eastAsia="Times New Roman" w:hAnsi="Times New Roman"/>
          <w:sz w:val="21"/>
          <w:szCs w:val="21"/>
          <w:color w:val="auto"/>
        </w:rPr>
        <w:t xml:space="preserve">and irrevocably guarantees such Collateral Obligation pursuant to a form of guaranty that complies with the then-current S&amp;P Criteria, then the S&amp;P Rating shall be such rating (regardless of whether there is a published rating by S&amp;P on the Collateral Obligations of such issuer held by the Issuer;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private ratings (that is, ratings provided at the request of the Obligor) may be used for purposes of this definition if the related Obligor has consented to the disclosure thereof and a copy of such consent has been provided to S&amp;P) or (b) if there is no issuer credit rating of the issuer by S&amp;P but (1) there is a senior secured rating on any obligation or security of the issuer, then the S&amp;P Rating of such Collateral Obligation shall be one sub</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category below such rating; (2) if clause (1) above does not apply, but there is a senior unsecured rating on any obligation or security of the issuer, the S&amp;P Rating of such Collateral Obligation shall equal such rating; and (3) if neither clause (1) nor clause (2) above applies, but there is a subordinated rating on any obligation or security of the issuer, then the S&amp;P Rating of such Collateral Obligation shall be one sub</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category above such rating;</w:t>
      </w:r>
    </w:p>
    <w:p>
      <w:pPr>
        <w:spacing w:after="0" w:line="149" w:lineRule="exact"/>
        <w:rPr>
          <w:sz w:val="20"/>
          <w:szCs w:val="20"/>
          <w:color w:val="auto"/>
        </w:rPr>
      </w:pPr>
    </w:p>
    <w:p>
      <w:pPr>
        <w:jc w:val="both"/>
        <w:ind w:left="1500" w:firstLine="1024"/>
        <w:spacing w:after="0" w:line="249" w:lineRule="exact"/>
        <w:tabs>
          <w:tab w:leader="none" w:pos="295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Collateral Obligation that is a DIP Collateral Obligation, the S&amp;P Rating thereof will be the credit rating assigned to such issue by S&amp;P;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credit rating was assigned by S&amp;P within 12 months of such date of determination and (b) the Collateral Manager (on behalf of the Issuer) will notify S&amp;P if the Collateral Manager has actual knowledge of the occurrence of any material amendment or event with respect to such Collateral Obligation that would, in the reasonable business judgment of the Collateral Manager, have a material adverse impact on the credit quality of such Collateral Obligation, including any amortization modifications, extensions of maturity, reductions of principal amount owed,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payment of timely interest or principal due;</w:t>
      </w:r>
    </w:p>
    <w:p>
      <w:pPr>
        <w:spacing w:after="0" w:line="183" w:lineRule="exact"/>
        <w:rPr>
          <w:rFonts w:ascii="Times New Roman" w:cs="Times New Roman" w:eastAsia="Times New Roman" w:hAnsi="Times New Roman"/>
          <w:sz w:val="22"/>
          <w:szCs w:val="22"/>
          <w:color w:val="auto"/>
        </w:rPr>
      </w:pPr>
    </w:p>
    <w:p>
      <w:pPr>
        <w:ind w:left="1500" w:right="20" w:firstLine="1024"/>
        <w:spacing w:after="0" w:line="258" w:lineRule="auto"/>
        <w:tabs>
          <w:tab w:leader="none" w:pos="295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not a rating by S&amp;P on the issuer or on an obligation of the issuer, then the S&amp;P Rating may be determined pursuant to clauses (a) through (d) below:</w:t>
      </w:r>
    </w:p>
    <w:p>
      <w:pPr>
        <w:spacing w:after="0" w:line="158"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68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obligation of the issuer is publicly rated by (A) Moody’s but not Fitch, then the S&amp;P Rating will be the S&amp;P equivalent of such Moody’s rating, (B) Fitch but not Moody’s, then the S&amp;P Rating will be the S&amp;P equivalent of such Fitch rating or (C) both Moody’s and Fitch, then the S&amp;P Rating will be the S&amp;P equivalent of the lower of the Moody’s rating or the Fitch rating, as applicable;</w:t>
      </w:r>
    </w:p>
    <w:p>
      <w:pPr>
        <w:spacing w:after="0" w:line="180" w:lineRule="exact"/>
        <w:rPr>
          <w:rFonts w:ascii="Times New Roman" w:cs="Times New Roman" w:eastAsia="Times New Roman" w:hAnsi="Times New Roman"/>
          <w:sz w:val="22"/>
          <w:szCs w:val="22"/>
          <w:color w:val="auto"/>
        </w:rPr>
      </w:pPr>
    </w:p>
    <w:p>
      <w:pPr>
        <w:jc w:val="both"/>
        <w:ind w:left="1500" w:firstLine="754"/>
        <w:spacing w:after="0" w:line="235" w:lineRule="auto"/>
        <w:tabs>
          <w:tab w:leader="none" w:pos="268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S&amp;P Rating may be based on a credit estimate provided by S&amp;P, and in connection therewith, the Issuer, the Collateral Manager on behalf of the Issuer or the issuer of such Collateral Obligation shall, prior to or within thirty (30) days after the acquisition of such Collateral Obligation, apply (and concurrently submit all available Required S&amp;P Credit Estimate Information in respect of such application) to S&amp;P for a credit estimate which will be its S&amp;P Rating;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Required S&amp;P Credit Estimate Information is submitted within such thirty (30) day period, then, pending receipt from S&amp;P of such estimate, such Collateral Obligation shall have an S&amp;P Rating as determined by the Collateral</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85" w:lineRule="exact"/>
        <w:rPr>
          <w:sz w:val="20"/>
          <w:szCs w:val="20"/>
          <w:color w:val="auto"/>
        </w:rPr>
      </w:pPr>
    </w:p>
    <w:p>
      <w:pPr>
        <w:jc w:val="both"/>
        <w:ind w:left="1500"/>
        <w:spacing w:after="0" w:line="245" w:lineRule="exact"/>
        <w:rPr>
          <w:sz w:val="20"/>
          <w:szCs w:val="20"/>
          <w:color w:val="auto"/>
        </w:rPr>
      </w:pPr>
      <w:r>
        <w:rPr>
          <w:rFonts w:ascii="Times New Roman" w:cs="Times New Roman" w:eastAsia="Times New Roman" w:hAnsi="Times New Roman"/>
          <w:sz w:val="22"/>
          <w:szCs w:val="22"/>
          <w:color w:val="auto"/>
        </w:rPr>
        <w:t xml:space="preserve">Manager in its sole discretion if the Collateral Manager certifies to the Collateral Trustee and the Collateral Administrator that it believes that such S&amp;P Rating determined by the Collateral Manager is commercially reasonable and will be at least equal to such rating;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pending receipt from S&amp;P of such credit estimate, the S&amp;P Rating will be no higher than “B”;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if such Required S&amp;P Credit Estimate Information is not submitted within such thirty (30) day period, then, pending receipt from S&amp;P of such estimate, the Collateral Obligation shall have (A) the S&amp;P Rating as determined by the Collateral Manager for a period of up to ninety (90) days after the acquisition of such Collateral Obligation and (B) an S&amp;P Rating of “CCC-” following such ninety day period; unless, during such ninety day period, the Collateral Manager has requested the extension of such period and S&amp;P, in its sole discretion, has granted such request;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(I) if such ninety day period (or other extended period) elapses pending S&amp;P’s decision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such application, the S&amp;P Rating of such Collateral Obligation shall be “CCC-”; (II) if the Collateral Obligation has had a public rating by S&amp;P that S&amp;P has withdrawn or suspended within six months prior to the date of such application for a credit estimate in respect of such Collateral Obligation, the S&amp;P Rating in respect thereof shall be “CCC-” pending receipt from S&amp;P of such estimate, and S&amp;P may elect not to provide such estimate until a period of six months (or such other period as provided in S&amp;P’s then-current criteria) have elapsed after the withdrawal or suspension of the public rating; (III) such credit estimate shall expire 12 months after the date of the assignment thereof by S&amp;P, following which such Collateral Obligation shall have an S&amp;P Rating of “CCC</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for a period of 12 months unless, during such 12</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month period following the assignment of the credit estimate, the Issuer applies for renewal thereof in accordance with the Indenture (and concurrently submits all available Required S&amp;P Credit Estimate Information in respect of such renewal), in which case such credit estimate shall continue to be the S&amp;P Rating of such Collateral Obligation (and the Collateral Manager, by providing such credit estimate to the Collateral Trustee and the Collateral Administrator, will be deemed to certify to the Collateral Trustee and the Collateral Administrator that it believes that such S&amp;P Rating is commercially reasonable), until S&amp;P has confirmed or revised such credit estimate, upon which such confirmed or revised credit estimate shall be the S&amp;P Rating of such Collateral Obligation; and (IV) such confirmed or revised credit estimate shall expire on the next succeeding 12-month anniversary of the date of the assignment of the credit estimate by S&amp;P and (when renewed annually in accordance with the Indenture) on each 12-month anniversary thereafter;</w:t>
      </w:r>
    </w:p>
    <w:p>
      <w:pPr>
        <w:spacing w:after="0" w:line="186" w:lineRule="exact"/>
        <w:rPr>
          <w:sz w:val="20"/>
          <w:szCs w:val="20"/>
          <w:color w:val="auto"/>
        </w:rPr>
      </w:pPr>
    </w:p>
    <w:p>
      <w:pPr>
        <w:jc w:val="both"/>
        <w:ind w:left="1500" w:firstLine="754"/>
        <w:spacing w:after="0" w:line="236" w:lineRule="auto"/>
        <w:tabs>
          <w:tab w:leader="none" w:pos="268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DIP Collateral Obligation that has no issue rating by S&amp;P, the S&amp;P Rating of such DIP Collateral Obligation will be, at the election of the Issuer (at the direction of the Collateral Manager), “CCC-” or, for a period of up to 90 days (or such earlier date if an S&amp;P Rating is assigned prior to the expiration of such 90-day period), such higher rating as reasonably determined by the Collateral Manager (not to be called into question as a result of subsequent events) so long as the Collateral Manager reasonably expects that such DIP Collateral Obligation is newly issued and will be assigned an S&amp;P Rating equal to</w:t>
      </w:r>
    </w:p>
    <w:p>
      <w:pPr>
        <w:spacing w:after="0" w:line="160"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85" w:lineRule="exact"/>
        <w:rPr>
          <w:sz w:val="20"/>
          <w:szCs w:val="20"/>
          <w:color w:val="auto"/>
        </w:rPr>
      </w:pPr>
    </w:p>
    <w:p>
      <w:pPr>
        <w:jc w:val="both"/>
        <w:ind w:left="1500"/>
        <w:spacing w:after="0" w:line="236" w:lineRule="auto"/>
        <w:rPr>
          <w:sz w:val="20"/>
          <w:szCs w:val="20"/>
          <w:color w:val="auto"/>
        </w:rPr>
      </w:pPr>
      <w:r>
        <w:rPr>
          <w:rFonts w:ascii="Times New Roman" w:cs="Times New Roman" w:eastAsia="Times New Roman" w:hAnsi="Times New Roman"/>
          <w:sz w:val="22"/>
          <w:szCs w:val="22"/>
          <w:color w:val="auto"/>
        </w:rPr>
        <w:t>or higher than such S&amp;P Rating determined by the Collateral Manager no later than 90 days after such determination; provided, that (A) if such DIP Collateral Obligation has no issue rating by S&amp;P at the expiration of such 90-day period, the S&amp;P Rating will be, at the election of the Issuer “CCC-” or such lower rating as applicable in accordance with this definition of “S&amp;P Rating” and (B) the Collateral Manager will provide Required S&amp;P Credit Estimate Information with respect to such DIP Collateral Obligation to S&amp;P, if available; and</w:t>
      </w:r>
    </w:p>
    <w:p>
      <w:pPr>
        <w:spacing w:after="0" w:line="181" w:lineRule="exact"/>
        <w:rPr>
          <w:sz w:val="20"/>
          <w:szCs w:val="20"/>
          <w:color w:val="auto"/>
        </w:rPr>
      </w:pPr>
    </w:p>
    <w:p>
      <w:pPr>
        <w:jc w:val="both"/>
        <w:ind w:left="1500" w:firstLine="754"/>
        <w:spacing w:after="0" w:line="234" w:lineRule="auto"/>
        <w:tabs>
          <w:tab w:leader="none" w:pos="268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 Collateral Obligation that is not a Defaulted Obligation, the S&amp;P Rating of such Collateral Obligation will at the election of the Issuer (at the direction of the Collateral Manager) be “CCC-”;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 neither the issuer of such Collateral Obligation nor any of its Affiliates are subject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bankruptcy or reorganization proceedings, (ii) the issuer has not defaulted on any payment obligation in respect of any debt security or other obligation of the issuer at any time within the two year period ending on such date of determination, all such debt securities and other obligations of the issuer are current and the Collateral Manager reasonably expects them to remain current, and (iii) prior to or within thirty (30) days after such election, the Issuer shall have submitted all available Required S&amp;P Credit Estimate Information in respect of such Collateral Obligation to S&amp;P and thereafter shall submit such further available Required S&amp;P Credit Estimate Information in respect of such Collateral Obligation as reasonably requested by S&amp;P; or</w:t>
      </w:r>
    </w:p>
    <w:p>
      <w:pPr>
        <w:spacing w:after="0" w:line="179" w:lineRule="exact"/>
        <w:rPr>
          <w:rFonts w:ascii="Times New Roman" w:cs="Times New Roman" w:eastAsia="Times New Roman" w:hAnsi="Times New Roman"/>
          <w:sz w:val="22"/>
          <w:szCs w:val="22"/>
          <w:color w:val="auto"/>
        </w:rPr>
      </w:pPr>
    </w:p>
    <w:p>
      <w:pPr>
        <w:ind w:left="1500" w:right="40" w:firstLine="1024"/>
        <w:spacing w:after="0" w:line="258" w:lineRule="auto"/>
        <w:tabs>
          <w:tab w:leader="none" w:pos="295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S&amp;P Rating of any Current Pay Obligation will be the higher of “CCC” and the credit rating assigned to such issue by S&amp;P;</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the determination of the S&amp;P Rating, (x) if the applicable rating assigned by S&amp;P to an obligor or its obligations is on “credit watch positive” by S&amp;P, such rating will be treated as being one sub-category above such assigned rating and (y) if the applicable rating assigned by S&amp;P to an obligor or its obligations is on “credit watch negative” by S&amp;P, such rating will be treated as being one sub-category below such assigned rating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for purposes of the determination of the S&amp;P Rating, if (x) the issuer or Obligor of any Collateral Obligation was a debtor under Chapter 11 of the Bankruptcy Code, during which time such issuer, Obligor or Selling Institution, as applicable, or any of its obligations (including any Collateral Obligation) either had an S&amp;P rating of “SD” or “CC” or lower from S&amp;P or had an S&amp;P rating that was withdrawn by S&amp;P and (y) such issuer, Obligor or Selling Institution, as applicable, is no longer a debtor under Chapter 11 of the Bankruptcy Code, then, notwithstanding the fact that such issuer, Obligor or Selling Institution, as applicable, or any of its obligations (including any Collateral Obligation) continues to have an S&amp;P rating of “SD” or “CC” or lower from S&amp;P (or, in the case of any withdrawal, continues to have no S&amp;P rating), the S&amp;P Rating for any such obligation (including any Collateral Obligation), issuer, Obligor or Selling Institution, as applicable, shall be deemed to be “CCC-” for a period not exceeding twelve months from the deemed designation thereof, so long as S&amp;P has not taken any rating action with respect thereto since the date on which the issuer, Obligor or Selling Institution, as applicable, ceased to be a debtor under Chapter 11 of the Bankruptcy Code;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 if any issuer, Obligor or Selling Institution, as applicable, has not exited the applicable bankruptcy proceeding and (ii) the applicable rating assigned by S&amp;P to such issuer, Obligor or Selling Institution, as applicable,</w:t>
      </w:r>
    </w:p>
    <w:p>
      <w:pPr>
        <w:spacing w:after="0" w:line="15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or any of its obligations (including any Collateral Obligation) has been withdrawn, then the S&amp;P Rating for such issuer, Obligor or Selling Institution, as applicable, or any of its obligations (including any Collateral Obligation) shall be deemed to be such withdrawn S&amp;P rating, so long as S&amp;P has not taken any rating action with respect thereto since the date on which such S&amp;P rating was withdrawn.</w:t>
      </w:r>
    </w:p>
    <w:p>
      <w:pPr>
        <w:spacing w:after="0" w:line="180" w:lineRule="exact"/>
        <w:rPr>
          <w:sz w:val="20"/>
          <w:szCs w:val="20"/>
          <w:color w:val="auto"/>
        </w:rPr>
      </w:pPr>
    </w:p>
    <w:p>
      <w:pPr>
        <w:jc w:val="both"/>
        <w:ind w:firstLine="1497"/>
        <w:spacing w:after="0" w:line="255"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S&amp;P Rating Condition</w:t>
      </w:r>
      <w:r>
        <w:rPr>
          <w:rFonts w:ascii="Times New Roman" w:cs="Times New Roman" w:eastAsia="Times New Roman" w:hAnsi="Times New Roman"/>
          <w:sz w:val="22"/>
          <w:szCs w:val="22"/>
          <w:color w:val="auto"/>
        </w:rPr>
        <w:t>": With respect to any action taken or to be taken by or on behalf of the Issuer, a condition that is satisfied if S&amp;P provides written confirmation (including by means of electronic message, facsimile transmission, press release or posting to its website) to the Issuer, the Collateral Trustee and the Loan Agent (unless in the form of a press release or posted to its website) that no immediate withdrawal or reduction with respect to its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current rating by S&amp;P of any Class of Secured Debt will occur as a result of such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rating condition shall be deemed inapplicable with respect to such event or circumstance if (i) S&amp;P has given notice to the effect that it will no longer review events or circumstances of the type requiring satisfaction of the S&amp;P Rating Condition for purposes of evaluating whether to confirm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ratings (or initial ratings) of obligations rated by S&amp;P; or (ii) S&amp;P has communicated to the Issuer, the Collateral Manager, the Collateral Trustee or the Loan Agent (or their counsel) that it will not review such event or circumstance for purposes of evaluating whether to confirm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ratings (or Initial Ratings) of the Secured Debt.</w:t>
      </w:r>
    </w:p>
    <w:p>
      <w:pPr>
        <w:spacing w:after="0" w:line="14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Rating Factor</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6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Recovery Amount</w:t>
      </w:r>
      <w:r>
        <w:rPr>
          <w:rFonts w:ascii="Times New Roman" w:cs="Times New Roman" w:eastAsia="Times New Roman" w:hAnsi="Times New Roman"/>
          <w:sz w:val="22"/>
          <w:szCs w:val="22"/>
          <w:color w:val="auto"/>
        </w:rPr>
        <w:t xml:space="preserve">": With respect to any Collateral Obligation, an amount equal to: (a) the applicable S&amp;P Recovery Rate;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the Principal Balance of such Collateral Obligation.</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Recovery Rate</w:t>
      </w:r>
      <w:r>
        <w:rPr>
          <w:rFonts w:ascii="Times New Roman" w:cs="Times New Roman" w:eastAsia="Times New Roman" w:hAnsi="Times New Roman"/>
          <w:sz w:val="22"/>
          <w:szCs w:val="22"/>
          <w:color w:val="auto"/>
        </w:rPr>
        <w:t xml:space="preserve">": With respect to a Collateral Obligation, the recovery rate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5</w:t>
      </w:r>
      <w:r>
        <w:rPr>
          <w:rFonts w:ascii="Times New Roman" w:cs="Times New Roman" w:eastAsia="Times New Roman" w:hAnsi="Times New Roman"/>
          <w:sz w:val="22"/>
          <w:szCs w:val="22"/>
          <w:color w:val="auto"/>
        </w:rPr>
        <w:t xml:space="preserve"> using the Initial Rating of the most senior Class of Secured Debt Outstanding at the time of determination.</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Recovery Rating</w:t>
      </w:r>
      <w:r>
        <w:rPr>
          <w:rFonts w:ascii="Times New Roman" w:cs="Times New Roman" w:eastAsia="Times New Roman" w:hAnsi="Times New Roman"/>
          <w:sz w:val="22"/>
          <w:szCs w:val="22"/>
          <w:color w:val="auto"/>
        </w:rPr>
        <w:t xml:space="preserve">": With respect to a Collateral Obligation for which an S&amp;P Recovery Rate is being determined, the "Recovery Rating" assigned by S&amp;P to such Collateral Obligation based upon the tables set forth in </w:t>
      </w:r>
      <w:r>
        <w:rPr>
          <w:rFonts w:ascii="Times New Roman" w:cs="Times New Roman" w:eastAsia="Times New Roman" w:hAnsi="Times New Roman"/>
          <w:sz w:val="22"/>
          <w:szCs w:val="22"/>
          <w:u w:val="single" w:color="auto"/>
          <w:color w:val="auto"/>
        </w:rPr>
        <w:t>Schedule 5</w:t>
      </w:r>
      <w:r>
        <w:rPr>
          <w:rFonts w:ascii="Times New Roman" w:cs="Times New Roman" w:eastAsia="Times New Roman" w:hAnsi="Times New Roman"/>
          <w:sz w:val="22"/>
          <w:szCs w:val="22"/>
          <w:color w:val="auto"/>
        </w:rPr>
        <w:t xml:space="preserve"> hereto.</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Region Classification</w:t>
      </w:r>
      <w:r>
        <w:rPr>
          <w:rFonts w:ascii="Times New Roman" w:cs="Times New Roman" w:eastAsia="Times New Roman" w:hAnsi="Times New Roman"/>
          <w:sz w:val="22"/>
          <w:szCs w:val="22"/>
          <w:color w:val="auto"/>
        </w:rPr>
        <w:t xml:space="preserve">": The S&amp;P Region Classifications set forth in </w:t>
      </w:r>
      <w:r>
        <w:rPr>
          <w:rFonts w:ascii="Times New Roman" w:cs="Times New Roman" w:eastAsia="Times New Roman" w:hAnsi="Times New Roman"/>
          <w:sz w:val="22"/>
          <w:szCs w:val="22"/>
          <w:u w:val="single" w:color="auto"/>
          <w:color w:val="auto"/>
        </w:rPr>
        <w:t>Schedule 5</w:t>
      </w:r>
      <w:r>
        <w:rPr>
          <w:rFonts w:ascii="Times New Roman" w:cs="Times New Roman" w:eastAsia="Times New Roman" w:hAnsi="Times New Roman"/>
          <w:sz w:val="22"/>
          <w:szCs w:val="22"/>
          <w:color w:val="auto"/>
        </w:rPr>
        <w:t xml:space="preserve"> hereto, which region classifications may be updated at the option of the Collateral Manager if S&amp;P publishes revised region classifications.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Weighted Average Life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Weighted Average Rating Factor</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Schedule 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S&amp;P's Credit Estimate Guidelines</w:t>
      </w:r>
      <w:r>
        <w:rPr>
          <w:rFonts w:ascii="Times New Roman" w:cs="Times New Roman" w:eastAsia="Times New Roman" w:hAnsi="Times New Roman"/>
          <w:sz w:val="21"/>
          <w:szCs w:val="21"/>
          <w:color w:val="auto"/>
        </w:rPr>
        <w:t>": S&amp;P's " Credit FAQ: Anatomy Of A Credit Estimate: What It Means And How We Do It" dated January 14, 2021, as such guidelines may be amended, supplemented, or updated after the date hereof.</w:t>
      </w:r>
    </w:p>
    <w:p>
      <w:pPr>
        <w:spacing w:after="0" w:line="1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5.17</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85"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Proceeds</w:t>
      </w:r>
      <w:r>
        <w:rPr>
          <w:rFonts w:ascii="Times New Roman" w:cs="Times New Roman" w:eastAsia="Times New Roman" w:hAnsi="Times New Roman"/>
          <w:sz w:val="22"/>
          <w:szCs w:val="22"/>
          <w:color w:val="auto"/>
        </w:rPr>
        <w:t xml:space="preserve">": All proceeds (excluding accrued interest, if any) received with respect to Assets as a result of sales or other dispositions of such Assets in accordance with the restrictions described in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as applicable, less any reasonable expenses incurred by the Collateral Manager, the Collateral Administrator or the Collateral Trustee (other than amounts payable as Administrative Expenses) in connection with such sales or other disposition. Sale Proceeds will include Principal Financed Accrued Interest and Principal Financed Capitalized Interest received in respect of such sale or other disposition.</w:t>
      </w:r>
    </w:p>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 of Collateral Obligations</w:t>
      </w:r>
      <w:r>
        <w:rPr>
          <w:rFonts w:ascii="Times New Roman" w:cs="Times New Roman" w:eastAsia="Times New Roman" w:hAnsi="Times New Roman"/>
          <w:sz w:val="22"/>
          <w:szCs w:val="22"/>
          <w:color w:val="auto"/>
        </w:rPr>
        <w:t xml:space="preserve">": The schedule of Collateral Obligations attached as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which schedule shall include the borrower and Principal Balance of each Collateral Obligation included therein, as amended from time to time (without the consent of or any action on the part of any Person) to reflect the release of Collateral Obligations pursuant to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hereof and the inclusion of additional Collateral Obligations as provided in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12.3</w:t>
      </w:r>
      <w:r>
        <w:rPr>
          <w:rFonts w:ascii="Times New Roman" w:cs="Times New Roman" w:eastAsia="Times New Roman" w:hAnsi="Times New Roman"/>
          <w:sz w:val="22"/>
          <w:szCs w:val="22"/>
          <w:color w:val="auto"/>
        </w:rPr>
        <w:t xml:space="preserve"> hereof.</w:t>
      </w:r>
    </w:p>
    <w:p>
      <w:pPr>
        <w:spacing w:after="0" w:line="177" w:lineRule="exact"/>
        <w:rPr>
          <w:sz w:val="20"/>
          <w:szCs w:val="20"/>
          <w:color w:val="auto"/>
        </w:rPr>
      </w:pPr>
    </w:p>
    <w:p>
      <w:pPr>
        <w:jc w:val="both"/>
        <w:ind w:firstLine="1497"/>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Scheduled Distribution</w:t>
      </w:r>
      <w:r>
        <w:rPr>
          <w:rFonts w:ascii="Times New Roman" w:cs="Times New Roman" w:eastAsia="Times New Roman" w:hAnsi="Times New Roman"/>
          <w:sz w:val="22"/>
          <w:szCs w:val="22"/>
          <w:color w:val="auto"/>
        </w:rPr>
        <w:t xml:space="preserve">": With respect to any Collateral Obligation, each payment of principal and/or interest scheduled to be made by the related Obligor under the terms of such Collateral Obligation (determined in accordance with the assumptions specified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hereof) after (a) in the case of the initial Collateral Obligations, the Closing Date or (b) in the case of Collateral Obligations added or substituted after the Closing Date, the related Cut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Date, as adjusted pursuant to the terms of the related Underlying Documents.</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SECN</w:t>
      </w:r>
      <w:r>
        <w:rPr>
          <w:rFonts w:ascii="Times New Roman" w:cs="Times New Roman" w:eastAsia="Times New Roman" w:hAnsi="Times New Roman"/>
          <w:sz w:val="22"/>
          <w:szCs w:val="22"/>
          <w:color w:val="auto"/>
        </w:rPr>
        <w:t>": The securitization sourcebook of the handbook of rules and guidance adopted by the UK’s Financial Conduct Authority.</w:t>
      </w:r>
    </w:p>
    <w:p>
      <w:pPr>
        <w:spacing w:after="0" w:line="158" w:lineRule="exact"/>
        <w:rPr>
          <w:sz w:val="20"/>
          <w:szCs w:val="20"/>
          <w:color w:val="auto"/>
        </w:rPr>
      </w:pPr>
    </w:p>
    <w:p>
      <w:pPr>
        <w:jc w:val="both"/>
        <w:ind w:firstLine="1497"/>
        <w:spacing w:after="0" w:line="249"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Loan</w:t>
      </w:r>
      <w:r>
        <w:rPr>
          <w:rFonts w:ascii="Times New Roman" w:cs="Times New Roman" w:eastAsia="Times New Roman" w:hAnsi="Times New Roman"/>
          <w:sz w:val="22"/>
          <w:szCs w:val="22"/>
          <w:color w:val="auto"/>
        </w:rPr>
        <w:t>": Any Loan or assignment of or Participation Interest in a Loan that: (a) is not (and cannot by its terms become) subordinate in right of payment to any other obligation of the Obligor of the Loan (other than with respect to liquidation, trade claims, capitalized leases or similar obligations) but which is subordinated (with respect to liquidation preferences with respect to pledged collateral) to a Senior Secured Loan of the Obligor; and (b) is secured by a valid second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priority perfected security interest or lien in, to or on specified collateral (subject to customary exceptions for permitted liens, including, without limitation, any tax liens) securing the Obligor's obligations under the Second Lien Loan the value of which is adequate (in the commercially reasonable judgment of the Collateral Manager) to repay the Loan in accordance with its terms and to repay all other Loans of equal or higher seniority secured by a lien or security interest in the same collateral.</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Debt</w:t>
      </w:r>
      <w:r>
        <w:rPr>
          <w:rFonts w:ascii="Times New Roman" w:cs="Times New Roman" w:eastAsia="Times New Roman" w:hAnsi="Times New Roman"/>
          <w:sz w:val="22"/>
          <w:szCs w:val="22"/>
          <w:color w:val="auto"/>
        </w:rPr>
        <w:t>": The Class A-1 Loans and the Secured Notes.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Noteholders</w:t>
      </w:r>
      <w:r>
        <w:rPr>
          <w:rFonts w:ascii="Times New Roman" w:cs="Times New Roman" w:eastAsia="Times New Roman" w:hAnsi="Times New Roman"/>
          <w:sz w:val="22"/>
          <w:szCs w:val="22"/>
          <w:color w:val="auto"/>
        </w:rPr>
        <w:t>": The Holders of the Secured Notes.</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Notes</w:t>
      </w:r>
      <w:r>
        <w:rPr>
          <w:rFonts w:ascii="Times New Roman" w:cs="Times New Roman" w:eastAsia="Times New Roman" w:hAnsi="Times New Roman"/>
          <w:sz w:val="22"/>
          <w:szCs w:val="22"/>
          <w:color w:val="auto"/>
        </w:rPr>
        <w:t>": The Class A-1 Notes, the Class A-2 Notes, the Class B Notes, the Class C Notes and the Class D Notes, collectively.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The meaning specified in the Granting Clauses.</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Account Control Agreement</w:t>
      </w:r>
      <w:r>
        <w:rPr>
          <w:rFonts w:ascii="Times New Roman" w:cs="Times New Roman" w:eastAsia="Times New Roman" w:hAnsi="Times New Roman"/>
          <w:sz w:val="22"/>
          <w:szCs w:val="22"/>
          <w:color w:val="auto"/>
        </w:rPr>
        <w:t>": The Securities Account Control Agreement dated as of the Closing Date among the Issuer, the Collateral Trustee and the Custodian.</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The United States Securities Act of 1933, as amended.</w:t>
      </w:r>
    </w:p>
    <w:p>
      <w:pPr>
        <w:spacing w:after="0" w:line="172"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Intermediary</w:t>
      </w:r>
      <w:r>
        <w:rPr>
          <w:rFonts w:ascii="Times New Roman" w:cs="Times New Roman" w:eastAsia="Times New Roman" w:hAnsi="Times New Roman"/>
          <w:sz w:val="22"/>
          <w:szCs w:val="22"/>
          <w:color w:val="auto"/>
        </w:rPr>
        <w:t>": The meaning specified in Section 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102(a)(14) of the UCC.</w:t>
      </w:r>
    </w:p>
    <w:p>
      <w:pPr>
        <w:spacing w:after="0" w:line="254"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Securitization Regulations</w:t>
      </w:r>
      <w:r>
        <w:rPr>
          <w:rFonts w:ascii="Times New Roman" w:cs="Times New Roman" w:eastAsia="Times New Roman" w:hAnsi="Times New Roman"/>
          <w:sz w:val="21"/>
          <w:szCs w:val="21"/>
          <w:color w:val="auto"/>
        </w:rPr>
        <w:t>": Means (a) With respect to the European Union, European Union Regulation 2017/2402 as amended, varied or substituted from time to time, including (i) any technical standards thereunder as may be effective from time to time and (ii) any guidance relating thereto as may from time to time be published by an EU regulator (the “</w:t>
      </w:r>
      <w:r>
        <w:rPr>
          <w:rFonts w:ascii="Times New Roman" w:cs="Times New Roman" w:eastAsia="Times New Roman" w:hAnsi="Times New Roman"/>
          <w:sz w:val="21"/>
          <w:szCs w:val="21"/>
          <w:i w:val="1"/>
          <w:iCs w:val="1"/>
          <w:color w:val="auto"/>
        </w:rPr>
        <w:t>EU Securitization Regulation</w:t>
      </w:r>
      <w:r>
        <w:rPr>
          <w:rFonts w:ascii="Times New Roman" w:cs="Times New Roman" w:eastAsia="Times New Roman" w:hAnsi="Times New Roman"/>
          <w:sz w:val="21"/>
          <w:szCs w:val="21"/>
          <w:color w:val="auto"/>
        </w:rPr>
        <w:t>”); and (b) SR 2024, SECN and PRASR, together with the relevant provisions of the UK Financial Services and Markets Act 2000, as amended, varied or substituted from time to time (the "</w:t>
      </w:r>
      <w:r>
        <w:rPr>
          <w:rFonts w:ascii="Times New Roman" w:cs="Times New Roman" w:eastAsia="Times New Roman" w:hAnsi="Times New Roman"/>
          <w:sz w:val="21"/>
          <w:szCs w:val="21"/>
          <w:u w:val="single" w:color="auto"/>
          <w:color w:val="auto"/>
        </w:rPr>
        <w:t>UK Securitization Framework</w:t>
      </w:r>
      <w:r>
        <w:rPr>
          <w:rFonts w:ascii="Times New Roman" w:cs="Times New Roman" w:eastAsia="Times New Roman" w:hAnsi="Times New Roman"/>
          <w:sz w:val="21"/>
          <w:szCs w:val="21"/>
          <w:color w:val="auto"/>
        </w:rPr>
        <w:t>").</w:t>
      </w:r>
    </w:p>
    <w:p>
      <w:pPr>
        <w:spacing w:after="0" w:line="134"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Entitlement</w:t>
      </w:r>
      <w:r>
        <w:rPr>
          <w:rFonts w:ascii="Times New Roman" w:cs="Times New Roman" w:eastAsia="Times New Roman" w:hAnsi="Times New Roman"/>
          <w:sz w:val="22"/>
          <w:szCs w:val="22"/>
          <w:color w:val="auto"/>
        </w:rPr>
        <w:t>": The meaning specified in Section 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102(a)(17) of the UCC.</w:t>
      </w:r>
    </w:p>
    <w:p>
      <w:pPr>
        <w:spacing w:after="0" w:line="2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Selling Institution</w:t>
      </w:r>
      <w:r>
        <w:rPr>
          <w:rFonts w:ascii="Times New Roman" w:cs="Times New Roman" w:eastAsia="Times New Roman" w:hAnsi="Times New Roman"/>
          <w:sz w:val="22"/>
          <w:szCs w:val="22"/>
          <w:color w:val="auto"/>
        </w:rPr>
        <w:t>":  The entity obligated to make payments to the Issuer under the terms of a Participation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w:t>
      </w:r>
    </w:p>
    <w:p>
      <w:pPr>
        <w:spacing w:after="0" w:line="182" w:lineRule="exact"/>
        <w:rPr>
          <w:sz w:val="20"/>
          <w:szCs w:val="20"/>
          <w:color w:val="auto"/>
        </w:rPr>
      </w:pPr>
    </w:p>
    <w:p>
      <w:pPr>
        <w:jc w:val="both"/>
        <w:ind w:firstLine="1497"/>
        <w:spacing w:after="0" w:line="248"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Secured Loan</w:t>
      </w:r>
      <w:r>
        <w:rPr>
          <w:rFonts w:ascii="Times New Roman" w:cs="Times New Roman" w:eastAsia="Times New Roman" w:hAnsi="Times New Roman"/>
          <w:sz w:val="22"/>
          <w:szCs w:val="22"/>
          <w:color w:val="auto"/>
        </w:rPr>
        <w:t>": Any assignment of, or Participation Interest in, a Loan (other than a First Lien Last Out Loan) that: (a) is not (and cannot by its terms become) subordinate in right of payment to any other obligation of the obligor of the Loan (other than with respect to a Senior Working Capital Facility, if any, or trade claims, capitalized leases or similar obligations); (b) is secured by a valid first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priority perfected security interest or lien in, to or on specified collateral securing the obligor's obligations under the Loan, which security interest or lien is subject to customary liens and liens securing a Senior Working Capital Facility, if any; (c) the value of the collateral securing the Loan at the time of the purchase together with other attributes of the obligor (including, without limitation, its general financial condition, ability to generate cash flow available for debt service and other demands for that cash flow) is adequate (in the commercially reasonable judgment of the Collateral Manager) to repay the Loan in accordance with its terms and to repay all other debt of equal seniority secured by a first lien or security interest in the same collateral.</w:t>
      </w:r>
    </w:p>
    <w:p>
      <w:pPr>
        <w:spacing w:after="0" w:line="182"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Secured Note</w:t>
      </w:r>
      <w:r>
        <w:rPr>
          <w:rFonts w:ascii="Times New Roman" w:cs="Times New Roman" w:eastAsia="Times New Roman" w:hAnsi="Times New Roman"/>
          <w:sz w:val="22"/>
          <w:szCs w:val="22"/>
          <w:color w:val="auto"/>
        </w:rPr>
        <w:t>": An assignment of or Participation Interest in or other interest in a senior secured note issued pursuant to an indenture or equivalent document by a corporation, partnership, limited liability company, trust or other similar entity, bearing interest at a floating rate and that is secured by a pledge of collateral and has a senior pre-petition priority (including pari passu with other obligations of the Obligor, but subject to customary permitted liens, such as, but not limited to, any tax liens, liquidation, trade claims, capitalized leases or similar obligations) in any bankruptcy, reorganization, arrangement, insolvency, moratorium or liquidation proceedings.</w:t>
      </w:r>
    </w:p>
    <w:p>
      <w:pPr>
        <w:spacing w:after="0" w:line="17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u w:val="single" w:color="auto"/>
          <w:color w:val="auto"/>
        </w:rPr>
        <w:t>Senior Working Capital Facility</w:t>
      </w:r>
      <w:r>
        <w:rPr>
          <w:rFonts w:ascii="Times New Roman" w:cs="Times New Roman" w:eastAsia="Times New Roman" w:hAnsi="Times New Roman"/>
          <w:sz w:val="22"/>
          <w:szCs w:val="22"/>
          <w:color w:val="auto"/>
        </w:rPr>
        <w:t>" XE "Senior Working Capital Facility" : With respect to a Loan, a working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 facility incurred by the obligor of such Loan; provided that</w:t>
      </w:r>
    </w:p>
    <w:p>
      <w:pPr>
        <w:spacing w:after="0" w:line="133"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outstanding principal balance and unfunded commitments of such working capital facility do not exceed 20% of the sum of</w:t>
      </w:r>
    </w:p>
    <w:p>
      <w:pPr>
        <w:spacing w:after="0" w:line="14" w:lineRule="exact"/>
        <w:rPr>
          <w:sz w:val="20"/>
          <w:szCs w:val="20"/>
          <w:color w:val="auto"/>
        </w:rPr>
      </w:pPr>
    </w:p>
    <w:p>
      <w:pPr>
        <w:jc w:val="both"/>
        <w:ind w:firstLine="8"/>
        <w:spacing w:after="0" w:line="235" w:lineRule="auto"/>
        <w:tabs>
          <w:tab w:leader="none" w:pos="34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outstanding principal balance and unfunded commitments of such working capital facility, plus (y) the outstanding principal balance of the Loan, plus (z) the outstanding principal balance of any other debt for borrowed money incurred by such obligor that is pari passu with such Loan.</w:t>
      </w:r>
    </w:p>
    <w:p>
      <w:pPr>
        <w:spacing w:after="0" w:line="143" w:lineRule="exact"/>
        <w:rPr>
          <w:sz w:val="20"/>
          <w:szCs w:val="20"/>
          <w:color w:val="auto"/>
        </w:rPr>
      </w:pPr>
    </w:p>
    <w:p>
      <w:pPr>
        <w:jc w:val="both"/>
        <w:ind w:firstLine="1497"/>
        <w:spacing w:after="0" w:line="265"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Similar Law</w:t>
      </w:r>
      <w:r>
        <w:rPr>
          <w:rFonts w:ascii="Times New Roman" w:cs="Times New Roman" w:eastAsia="Times New Roman" w:hAnsi="Times New Roman"/>
          <w:sz w:val="22"/>
          <w:szCs w:val="22"/>
          <w:color w:val="auto"/>
        </w:rPr>
        <w:t>": Any federal, state, local,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U.S. or other law or regulation that could cause the underlying assets of the Issuer to be treated as assets of the investor in the Subordinated Notes by virtue of its interest therein and thereby subject the Issuer or the Collateral Manager (or other Persons responsible for the investment and operation of the Issuer's assets) to Other Plan Law.</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The Secured Overnight Financing Rate.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Redemption</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9.6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Redemption Amount</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9.6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Redemption Date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9.6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Amendment</w:t>
      </w:r>
      <w:r>
        <w:rPr>
          <w:rFonts w:ascii="Times New Roman" w:cs="Times New Roman" w:eastAsia="Times New Roman" w:hAnsi="Times New Roman"/>
          <w:sz w:val="22"/>
          <w:szCs w:val="22"/>
          <w:color w:val="auto"/>
        </w:rPr>
        <w:t>": With respect to any Collateral Obligation, any amendment, waiver or modification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which would:</w:t>
      </w:r>
    </w:p>
    <w:p>
      <w:pPr>
        <w:spacing w:after="0" w:line="182" w:lineRule="exact"/>
        <w:rPr>
          <w:sz w:val="20"/>
          <w:szCs w:val="20"/>
          <w:color w:val="auto"/>
        </w:rPr>
      </w:pPr>
    </w:p>
    <w:p>
      <w:pPr>
        <w:jc w:val="both"/>
        <w:ind w:left="760" w:firstLine="745"/>
        <w:spacing w:after="0" w:line="239"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the amortization schedule with respect to such Collateral Obligation in a manner that (i) reduces the dollar amount of any Scheduled Distribution by more than the greater of (x) 25% and (y) U.S.$250,000, (ii) postpones any Scheduled Distribution by more than two payment periods or (iii) causes the Weighted Average Life of the applicable Collateral Obligation to increase by more than 25%;</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or increase the cash interest rate payable by the Obligor thereunder by more than 100 basis points (excluding any increase in an interest rate arising by operation of a default or penalty interest clause under a Collateral Obligation or as a result of an increase in the interest rate index for any reason other than such amendment, waiver or modification);</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extend the stated maturity date of such Collateral Obligation by more than 24 months or beyond the Stated</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Maturity;</w:t>
      </w:r>
    </w:p>
    <w:p>
      <w:pPr>
        <w:spacing w:after="0" w:line="182" w:lineRule="exact"/>
        <w:rPr>
          <w:rFonts w:ascii="Times New Roman" w:cs="Times New Roman" w:eastAsia="Times New Roman" w:hAnsi="Times New Roman"/>
          <w:sz w:val="21"/>
          <w:szCs w:val="21"/>
          <w:color w:val="auto"/>
        </w:rPr>
      </w:pPr>
    </w:p>
    <w:p>
      <w:pPr>
        <w:jc w:val="both"/>
        <w:ind w:left="760" w:firstLine="745"/>
        <w:spacing w:after="0" w:line="244"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contractually or structurally subordinate such Collateral Obligation by operation of a priority of payments, turnover provisions, the transfer of assets in order to limit recourse to the related Obligor or the granting of liens (other than Permitted Liens) on any of the underlying collateral securing such Collateral Obligation;</w:t>
      </w:r>
    </w:p>
    <w:p>
      <w:pPr>
        <w:spacing w:after="0" w:line="173"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any party from its obligations under such Collateral Obligation, if such release would have a material adverse effect on the Collateral Obligation; or</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amount of the applicable Collateral Obligation.</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Obligor Information</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14.15(b)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SR 2024</w:t>
      </w:r>
      <w:r>
        <w:rPr>
          <w:rFonts w:ascii="Times New Roman" w:cs="Times New Roman" w:eastAsia="Times New Roman" w:hAnsi="Times New Roman"/>
          <w:sz w:val="22"/>
          <w:szCs w:val="22"/>
          <w:color w:val="auto"/>
        </w:rPr>
        <w:t>”: means the UK’s Securitization Regulations 2024 (SI 2024/102), as amended from time to time.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STAMP</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Standby Directed Investment</w:t>
      </w:r>
      <w:r>
        <w:rPr>
          <w:rFonts w:ascii="Times New Roman" w:cs="Times New Roman" w:eastAsia="Times New Roman" w:hAnsi="Times New Roman"/>
          <w:sz w:val="22"/>
          <w:szCs w:val="22"/>
          <w:color w:val="auto"/>
        </w:rPr>
        <w:t>": The investment specified from time to time in writing by the Issuer, or the Collateral Manager on behalf of the Issuer, to the Collateral Trustee, which investment is an Eligible Investment of the type described in clause (ii) or (iv) of the definition of "Eligible Investments" maturing not later than the earlier of (i) 30 days after the date of such investment (unless putable at par to the issuer thereof) or (ii) the Business Day immediately preceding the next Payment Date (or such other maturities expressly provided herein).</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Stated Maturity</w:t>
      </w:r>
      <w:r>
        <w:rPr>
          <w:rFonts w:ascii="Times New Roman" w:cs="Times New Roman" w:eastAsia="Times New Roman" w:hAnsi="Times New Roman"/>
          <w:sz w:val="22"/>
          <w:szCs w:val="22"/>
          <w:color w:val="auto"/>
        </w:rPr>
        <w:t xml:space="preserve">": With respect to any Class of Debt, the date specified as such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Step-Down Obligation</w:t>
      </w:r>
      <w:r>
        <w:rPr>
          <w:rFonts w:ascii="Times New Roman" w:cs="Times New Roman" w:eastAsia="Times New Roman" w:hAnsi="Times New Roman"/>
          <w:sz w:val="22"/>
          <w:szCs w:val="22"/>
          <w:color w:val="auto"/>
        </w:rPr>
        <w:t xml:space="preserve">": An obligation or security which by the terms of the related Underlying Documents provides for a decrease in the per annum interest rate on such obligation or security (other than by reason of any change in the applicable index or benchmark rate used to determine such interest rate) or in the spread over the applicable index or benchmark rate, solely as a function of the passage of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obligation or security providing for payment of a constant rate of interest at all times after the date of acquisition by the Issuer shall not constitute a Step-Down Obligation.</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Step-Up Obligation</w:t>
      </w:r>
      <w:r>
        <w:rPr>
          <w:rFonts w:ascii="Times New Roman" w:cs="Times New Roman" w:eastAsia="Times New Roman" w:hAnsi="Times New Roman"/>
          <w:sz w:val="22"/>
          <w:szCs w:val="22"/>
          <w:color w:val="auto"/>
        </w:rPr>
        <w:t xml:space="preserve">": An obligation or security which by the terms of the related Underlying Documents provides for an increase in the per annum interest rate on such obligation or security (other than by reason of any change in the applicable index or benchmark rate used to determine such interest rate), or in the spread over the applicable index or benchmark rate, solely as a function of the passage of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 obligation or security providing for payment of a constant rate of interest at all times after the date of acquisition by the Issuer does not constitute a Step-Up Obligation.</w:t>
      </w:r>
    </w:p>
    <w:p>
      <w:pPr>
        <w:spacing w:after="0" w:line="177" w:lineRule="exact"/>
        <w:rPr>
          <w:sz w:val="20"/>
          <w:szCs w:val="20"/>
          <w:color w:val="auto"/>
        </w:rPr>
      </w:pPr>
    </w:p>
    <w:p>
      <w:pPr>
        <w:jc w:val="both"/>
        <w:ind w:firstLine="1497"/>
        <w:spacing w:after="0" w:line="271"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Structured Finance Obligation</w:t>
      </w:r>
      <w:r>
        <w:rPr>
          <w:rFonts w:ascii="Times New Roman" w:cs="Times New Roman" w:eastAsia="Times New Roman" w:hAnsi="Times New Roman"/>
          <w:sz w:val="22"/>
          <w:szCs w:val="22"/>
          <w:color w:val="auto"/>
        </w:rPr>
        <w:t>": Any obligation issued by a special purpose vehicle and secured directly by, referenced to, or representing ownership of, a pool of receivables or other financial assets of any Obligor, including collateralized debt obligations and mortgage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backed securities.</w:t>
      </w:r>
    </w:p>
    <w:p>
      <w:pPr>
        <w:spacing w:after="0" w:line="14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Notes</w:t>
      </w:r>
      <w:r>
        <w:rPr>
          <w:rFonts w:ascii="Times New Roman" w:cs="Times New Roman" w:eastAsia="Times New Roman" w:hAnsi="Times New Roman"/>
          <w:sz w:val="22"/>
          <w:szCs w:val="22"/>
          <w:color w:val="auto"/>
        </w:rPr>
        <w:t xml:space="preserve">": The Subordinated Notes issued pursuant to this Indenture and having the characteristics specified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Substitute Collateral Obligations</w:t>
      </w:r>
      <w:r>
        <w:rPr>
          <w:rFonts w:ascii="Times New Roman" w:cs="Times New Roman" w:eastAsia="Times New Roman" w:hAnsi="Times New Roman"/>
          <w:sz w:val="22"/>
          <w:szCs w:val="22"/>
          <w:color w:val="auto"/>
        </w:rPr>
        <w:t xml:space="preserve">": Collateral Obligations conveyed by the Transferor to the Issuer as substitute Collateral Obligations pursuant to </w:t>
      </w:r>
      <w:r>
        <w:rPr>
          <w:rFonts w:ascii="Times New Roman" w:cs="Times New Roman" w:eastAsia="Times New Roman" w:hAnsi="Times New Roman"/>
          <w:sz w:val="22"/>
          <w:szCs w:val="22"/>
          <w:u w:val="single" w:color="auto"/>
          <w:color w:val="auto"/>
        </w:rPr>
        <w:t>Section 12.3(a)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Substitute Collateral Obligations Qualification Conditions</w:t>
      </w:r>
      <w:r>
        <w:rPr>
          <w:rFonts w:ascii="Times New Roman" w:cs="Times New Roman" w:eastAsia="Times New Roman" w:hAnsi="Times New Roman"/>
          <w:sz w:val="22"/>
          <w:szCs w:val="22"/>
          <w:color w:val="auto"/>
        </w:rPr>
        <w:t>": The following conditions:</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85" w:lineRule="exact"/>
        <w:rPr>
          <w:sz w:val="20"/>
          <w:szCs w:val="20"/>
          <w:color w:val="auto"/>
        </w:rPr>
      </w:pPr>
    </w:p>
    <w:p>
      <w:pPr>
        <w:jc w:val="both"/>
        <w:ind w:left="1500" w:right="20" w:firstLine="1024"/>
        <w:spacing w:after="0" w:line="244" w:lineRule="auto"/>
        <w:tabs>
          <w:tab w:leader="none" w:pos="295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Coverage Tests, Collateral Quality Test and Concentration Limitations are satisfied, or if not satisfied, are maintained or improved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each substitution after the end of the Reinvestment Period, the Coverage Tests must be satisfied);</w:t>
      </w:r>
    </w:p>
    <w:p>
      <w:pPr>
        <w:spacing w:after="0" w:line="173" w:lineRule="exact"/>
        <w:rPr>
          <w:rFonts w:ascii="Times New Roman" w:cs="Times New Roman" w:eastAsia="Times New Roman" w:hAnsi="Times New Roman"/>
          <w:sz w:val="22"/>
          <w:szCs w:val="22"/>
          <w:color w:val="auto"/>
        </w:rPr>
      </w:pPr>
    </w:p>
    <w:p>
      <w:pPr>
        <w:jc w:val="both"/>
        <w:ind w:left="1500" w:firstLine="1024"/>
        <w:spacing w:after="0" w:line="238" w:lineRule="auto"/>
        <w:tabs>
          <w:tab w:leader="none" w:pos="295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Balance of such Substitute Collateral Obligation (or, if more than one Substitute Collateral Obligation will be added in replacement of a Collateral Obligation or Collateral Obligations, the Aggregate Principal Balance of such Substitute Collateral Obligations) equals or exceeds the Principal Balance of the Collateral Obligation being substituted for and the Net Exposure Amount, if any, with respect thereto shall have been deposited in the Revolver Funding Account;</w:t>
      </w:r>
    </w:p>
    <w:p>
      <w:pPr>
        <w:spacing w:after="0" w:line="176" w:lineRule="exact"/>
        <w:rPr>
          <w:rFonts w:ascii="Times New Roman" w:cs="Times New Roman" w:eastAsia="Times New Roman" w:hAnsi="Times New Roman"/>
          <w:sz w:val="22"/>
          <w:szCs w:val="22"/>
          <w:color w:val="auto"/>
        </w:rPr>
      </w:pPr>
    </w:p>
    <w:p>
      <w:pPr>
        <w:jc w:val="both"/>
        <w:ind w:left="1500" w:firstLine="1024"/>
        <w:spacing w:after="0" w:line="239" w:lineRule="auto"/>
        <w:tabs>
          <w:tab w:leader="none" w:pos="295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Market Value of such Substitute Collateral Obligation (or, if more than one Substitute Collateral Obligation will be added in replacement of a Collateral Obligation or Collateral Obligations, the aggregate Market Value of such Substitute Collateral Obligations) equals or exceeds the Market Value of the Collateral Obligation being substituted;</w:t>
      </w:r>
    </w:p>
    <w:p>
      <w:pPr>
        <w:spacing w:after="0" w:line="180" w:lineRule="exact"/>
        <w:rPr>
          <w:rFonts w:ascii="Times New Roman" w:cs="Times New Roman" w:eastAsia="Times New Roman" w:hAnsi="Times New Roman"/>
          <w:sz w:val="22"/>
          <w:szCs w:val="22"/>
          <w:color w:val="auto"/>
        </w:rPr>
      </w:pPr>
    </w:p>
    <w:p>
      <w:pPr>
        <w:jc w:val="both"/>
        <w:ind w:left="1500" w:firstLine="1024"/>
        <w:spacing w:after="0" w:line="249" w:lineRule="auto"/>
        <w:tabs>
          <w:tab w:leader="none" w:pos="295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if any of the Collateral Obligations being substituted for are Second Lien Loans, the Aggregate Principal Balance of all Substitute Collateral Obligations that are Second Lien Loans equals or is less than the Principal Balance of the Collateral Obligation(s) being substituted for that are Second Lien Loans and</w:t>
      </w:r>
    </w:p>
    <w:p>
      <w:pPr>
        <w:spacing w:after="0" w:line="1" w:lineRule="exact"/>
        <w:rPr>
          <w:rFonts w:ascii="Times New Roman" w:cs="Times New Roman" w:eastAsia="Times New Roman" w:hAnsi="Times New Roman"/>
          <w:sz w:val="21"/>
          <w:szCs w:val="21"/>
          <w:color w:val="auto"/>
        </w:rPr>
      </w:pPr>
    </w:p>
    <w:p>
      <w:pPr>
        <w:ind w:left="1500" w:firstLine="5"/>
        <w:spacing w:after="0" w:line="237" w:lineRule="auto"/>
        <w:tabs>
          <w:tab w:leader="none" w:pos="182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none of the Collateral Obligations being substituted for are Second Lien Loans, no Substitute Collateral Obligation is a Second Lien Loan;</w:t>
      </w:r>
    </w:p>
    <w:p>
      <w:pPr>
        <w:spacing w:after="0" w:line="178" w:lineRule="exact"/>
        <w:rPr>
          <w:rFonts w:ascii="Times New Roman" w:cs="Times New Roman" w:eastAsia="Times New Roman" w:hAnsi="Times New Roman"/>
          <w:sz w:val="22"/>
          <w:szCs w:val="22"/>
          <w:color w:val="auto"/>
        </w:rPr>
      </w:pPr>
    </w:p>
    <w:p>
      <w:pPr>
        <w:jc w:val="both"/>
        <w:ind w:left="1500" w:firstLine="1024"/>
        <w:spacing w:after="0" w:line="244" w:lineRule="auto"/>
        <w:tabs>
          <w:tab w:leader="none" w:pos="295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substitution after the end of the Reinvestment Period, the stated maturity date of each Substitute Collateral Obligation is the same or earlier than the stated maturity date of the Collateral Obligation being substituted for; and</w:t>
      </w:r>
    </w:p>
    <w:p>
      <w:pPr>
        <w:spacing w:after="0" w:line="173" w:lineRule="exact"/>
        <w:rPr>
          <w:rFonts w:ascii="Times New Roman" w:cs="Times New Roman" w:eastAsia="Times New Roman" w:hAnsi="Times New Roman"/>
          <w:sz w:val="22"/>
          <w:szCs w:val="22"/>
          <w:color w:val="auto"/>
        </w:rPr>
      </w:pPr>
    </w:p>
    <w:p>
      <w:pPr>
        <w:ind w:left="1500" w:right="40" w:firstLine="1024"/>
        <w:spacing w:after="0" w:line="258" w:lineRule="auto"/>
        <w:tabs>
          <w:tab w:leader="none" w:pos="295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S&amp;P Rating of each Substitute Collateral Obligation is equal to or higher than the S&amp;P Rating of the Collateral Obligation being substituted for.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Substitution Event</w:t>
      </w:r>
      <w:r>
        <w:rPr>
          <w:rFonts w:ascii="Times New Roman" w:cs="Times New Roman" w:eastAsia="Times New Roman" w:hAnsi="Times New Roman"/>
          <w:sz w:val="22"/>
          <w:szCs w:val="22"/>
          <w:color w:val="auto"/>
        </w:rPr>
        <w:t>": An event which shall have occurred with respect to any Collateral Obligation that:</w:t>
      </w:r>
    </w:p>
    <w:p>
      <w:pPr>
        <w:spacing w:after="0" w:line="206" w:lineRule="exact"/>
        <w:rPr>
          <w:sz w:val="20"/>
          <w:szCs w:val="20"/>
          <w:color w:val="auto"/>
        </w:rPr>
      </w:pPr>
    </w:p>
    <w:p>
      <w:pPr>
        <w:ind w:left="2960" w:hanging="436"/>
        <w:spacing w:after="0"/>
        <w:tabs>
          <w:tab w:leader="none" w:pos="29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a Defaulted Obligation;</w:t>
      </w:r>
    </w:p>
    <w:p>
      <w:pPr>
        <w:spacing w:after="0" w:line="206" w:lineRule="exact"/>
        <w:rPr>
          <w:rFonts w:ascii="Times New Roman" w:cs="Times New Roman" w:eastAsia="Times New Roman" w:hAnsi="Times New Roman"/>
          <w:sz w:val="22"/>
          <w:szCs w:val="22"/>
          <w:color w:val="auto"/>
        </w:rPr>
      </w:pPr>
    </w:p>
    <w:p>
      <w:pPr>
        <w:ind w:left="2960" w:hanging="436"/>
        <w:spacing w:after="0"/>
        <w:tabs>
          <w:tab w:leader="none" w:pos="29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 Material Covenant Default;</w:t>
      </w:r>
    </w:p>
    <w:p>
      <w:pPr>
        <w:spacing w:after="0" w:line="206" w:lineRule="exact"/>
        <w:rPr>
          <w:rFonts w:ascii="Times New Roman" w:cs="Times New Roman" w:eastAsia="Times New Roman" w:hAnsi="Times New Roman"/>
          <w:sz w:val="22"/>
          <w:szCs w:val="22"/>
          <w:color w:val="auto"/>
        </w:rPr>
      </w:pPr>
    </w:p>
    <w:p>
      <w:pPr>
        <w:ind w:left="2960" w:hanging="436"/>
        <w:spacing w:after="0"/>
        <w:tabs>
          <w:tab w:leader="none" w:pos="29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subject to a proposed Specified Amendment; or</w:t>
      </w:r>
    </w:p>
    <w:p>
      <w:pPr>
        <w:spacing w:after="0" w:line="206" w:lineRule="exact"/>
        <w:rPr>
          <w:rFonts w:ascii="Times New Roman" w:cs="Times New Roman" w:eastAsia="Times New Roman" w:hAnsi="Times New Roman"/>
          <w:sz w:val="22"/>
          <w:szCs w:val="22"/>
          <w:color w:val="auto"/>
        </w:rPr>
      </w:pPr>
    </w:p>
    <w:p>
      <w:pPr>
        <w:ind w:left="2960" w:hanging="436"/>
        <w:spacing w:after="0"/>
        <w:tabs>
          <w:tab w:leader="none" w:pos="29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a Credit Risk Obligation.</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Substitution Period</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12.3(a)(ii)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Successor Entity</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7.10(a)</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85"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Supermajority</w:t>
      </w:r>
      <w:r>
        <w:rPr>
          <w:rFonts w:ascii="Times New Roman" w:cs="Times New Roman" w:eastAsia="Times New Roman" w:hAnsi="Times New Roman"/>
          <w:sz w:val="22"/>
          <w:szCs w:val="22"/>
          <w:color w:val="auto"/>
        </w:rPr>
        <w:t xml:space="preserve">": With respect to the Debt or any Class thereof, the Holders of more than two thirds of the Aggregate Outstanding Amount of such Class,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 the Class A-1L-A Loans, a "Supermajority of the Class A-1L-A Lenders" at any time means Class A-1L-A Lenders holding more than two thirds of the Aggregate Outstanding Amount of the Class A-1L-A Loans Outstanding at such time and (b) the Class A-1L-B Loans, a "Supermajority of the Class A-1L-B Lenders" at any time means Class A-1L-B Lenders holding more than two thirds of the Aggregate Outstanding Amount of the Class A-1L-B Loans Outstanding at such time.</w:t>
      </w:r>
    </w:p>
    <w:p>
      <w:pPr>
        <w:spacing w:after="0" w:line="18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Synthetic Security</w:t>
      </w:r>
      <w:r>
        <w:rPr>
          <w:rFonts w:ascii="Times New Roman" w:cs="Times New Roman" w:eastAsia="Times New Roman" w:hAnsi="Times New Roman"/>
          <w:sz w:val="22"/>
          <w:szCs w:val="22"/>
          <w:color w:val="auto"/>
        </w:rPr>
        <w:t>": A security or swap transaction, other than a Participation Interest, that has payments associated with either payments of interest on and/or principal of a reference obligation or the credit performance of a reference obligation.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Initial Par Amount</w:t>
      </w:r>
      <w:r>
        <w:rPr>
          <w:rFonts w:ascii="Times New Roman" w:cs="Times New Roman" w:eastAsia="Times New Roman" w:hAnsi="Times New Roman"/>
          <w:sz w:val="22"/>
          <w:szCs w:val="22"/>
          <w:color w:val="auto"/>
        </w:rPr>
        <w:t>": U.S.$475,000,000.</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Target Initial Par Condition</w:t>
      </w:r>
      <w:r>
        <w:rPr>
          <w:rFonts w:ascii="Times New Roman" w:cs="Times New Roman" w:eastAsia="Times New Roman" w:hAnsi="Times New Roman"/>
          <w:sz w:val="21"/>
          <w:szCs w:val="21"/>
          <w:color w:val="auto"/>
        </w:rPr>
        <w:t xml:space="preserve">": A condition satisfied as of the Effective Date if the Aggregate Principal Balance of Collateral Obligations (i) that are held by the Issuer and (ii) of which the Issuer has committed to purchase on such date, together with (a) the amount of any proceeds of prepayments, maturities or redemptions of Collateral Obligations purchased by the Issuer prior to such date and (b) without duplication of clause (a) above, amounts designated as Principal Proceeds and transferred to the Collection Account (other than any such amounts that have been reinvested or committed to be reinvested in Collateral Obligations by the Issuer on the Effective Date), will equal or exceed the Target Initial Par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this definition, any Collateral Obligation that either (x) becomes a Defaulted Obligation prior to the Effective Date or</w:t>
      </w:r>
    </w:p>
    <w:p>
      <w:pPr>
        <w:spacing w:after="0" w:line="6" w:lineRule="exact"/>
        <w:rPr>
          <w:sz w:val="20"/>
          <w:szCs w:val="20"/>
          <w:color w:val="auto"/>
        </w:rPr>
      </w:pPr>
    </w:p>
    <w:p>
      <w:pPr>
        <w:ind w:firstLine="8"/>
        <w:spacing w:after="0" w:line="237" w:lineRule="auto"/>
        <w:tabs>
          <w:tab w:leader="none" w:pos="3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Closing Date Participation Interest and has not been elevated to an assignment by the Effective Date shall be treated as having a Principal Balance equal to its S&amp;P Collateral Value.</w:t>
      </w:r>
    </w:p>
    <w:p>
      <w:pPr>
        <w:spacing w:after="0" w:line="17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Any tax, levy, impost, duty, charge, assessment, deduction, withholding or fee of any nature (including interest, penalties and additions thereto) imposed by any governmental taxing authority.</w:t>
      </w:r>
    </w:p>
    <w:p>
      <w:pPr>
        <w:spacing w:after="0" w:line="15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Event</w:t>
      </w:r>
      <w:r>
        <w:rPr>
          <w:rFonts w:ascii="Times New Roman" w:cs="Times New Roman" w:eastAsia="Times New Roman" w:hAnsi="Times New Roman"/>
          <w:sz w:val="22"/>
          <w:szCs w:val="22"/>
          <w:color w:val="auto"/>
        </w:rPr>
        <w:t>": Any event that occurs if (i)(x) any Obligor under any Collateral Obligation being required to deduct or withhold from any payment under such Collateral Obligation to the Issuer for or on account of any Tax for whatever reason and such Obligor is not required to pay to the Issuer such additional amount as is necessary to ensure that the net amount actually received by the Issuer (free and clear of Taxes, whether assessed against such Obligor or the Issuer) will equal the full amount that the Issuer would have received had no such deduction or withholding occurred and (y) the total amount of such deductions or withholdings on the Assets results in a payment by, or charge or tax burden to, the Issuer that results or will result in the withholding of 5% or more of Scheduled Distributions for any Collection Period, or (ii) any jurisdiction imposing net income, profits or similar Tax on the Issuer (including, for this purpose, any Tax required to be withheld under Section 1446 of the Code) in an aggregate amount in any Collection Period in excess of U.S.$1,000,000.</w:t>
      </w:r>
    </w:p>
    <w:p>
      <w:pPr>
        <w:spacing w:after="0" w:line="18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Notwithstanding anything in this Indenture, the Collateral Manager shall give the Collateral Trustee prompt written notice of the occurrence of a Tax Event upon its discovery</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thereof. Until the Collateral Trustee receives written notice from the Collateral Manager or otherwise, the Collateral Trustee shall not be deemed to have notice or knowledge to the contrary.</w:t>
      </w:r>
    </w:p>
    <w:p>
      <w:pPr>
        <w:spacing w:after="0" w:line="158" w:lineRule="exact"/>
        <w:rPr>
          <w:sz w:val="20"/>
          <w:szCs w:val="20"/>
          <w:color w:val="auto"/>
        </w:rPr>
      </w:pPr>
    </w:p>
    <w:p>
      <w:pPr>
        <w:jc w:val="both"/>
        <w:ind w:firstLine="1497"/>
        <w:spacing w:after="0" w:line="285"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Jurisdiction</w:t>
      </w:r>
      <w:r>
        <w:rPr>
          <w:rFonts w:ascii="Times New Roman" w:cs="Times New Roman" w:eastAsia="Times New Roman" w:hAnsi="Times New Roman"/>
          <w:sz w:val="22"/>
          <w:szCs w:val="22"/>
          <w:color w:val="auto"/>
        </w:rPr>
        <w:t>": The Bahamas, Bermuda, the British Virgin Islands, the Cayman Islands or the Channel Islands so long as each such tax advantaged jurisdiction is rated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by S&amp;P.</w:t>
      </w:r>
    </w:p>
    <w:p>
      <w:pPr>
        <w:spacing w:after="0" w:line="14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Redemption</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Regulation S Global Secured Note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2.2(b)(i)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xml:space="preserve"> XE "Term SOFR Administrator" ": CME Group Benchmark Administration Limited, or a successor administrator of the Term SOFR Reference Rate selected by the Collateral Manager with notice to the Collateral Trustee and the Collateral Administrator.</w:t>
      </w:r>
    </w:p>
    <w:p>
      <w:pPr>
        <w:spacing w:after="0" w:line="17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Rate</w:t>
      </w:r>
      <w:r>
        <w:rPr>
          <w:rFonts w:ascii="Times New Roman" w:cs="Times New Roman" w:eastAsia="Times New Roman" w:hAnsi="Times New Roman"/>
          <w:sz w:val="21"/>
          <w:szCs w:val="21"/>
          <w:color w:val="auto"/>
        </w:rPr>
        <w:t xml:space="preserve"> XE "Term SOFR Rate" ": The Term SOFR Reference Rate for the Index Maturity, as such rate is published by the Term SOFR Administrator on the related Interest Determination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as of 5:00 p.m. (New York City time) on any Interest Determination Date the Term SOFR Reference Rate for the Index Maturity has not been published by the Term SOFR Administrator, then the Term SOFR Rate will be (x) the Term SOFR Reference Rate for the Index Maturity as published by the Term SOFR Administrator on the first preceding U.S. Government Securities Business Day for which such Term SOFR Reference Rate for the Index Maturity was published by the Term SOFR Administrator so long as such first preceding U.S. Government Securities Business Day is not more than five Business Days prior to such Interest Determination Date or (y) if the Term SOFR Reference Rate cannot be determined in accordance with clause (x) of this proviso, the Term SOFR Rate shall be the Term SOFR Reference Rate as determined on the previous Interest Determination Date.</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xml:space="preserve"> XE "Term SOFR Reference Rate" ": The forward-looking term rate based 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SOFR.</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Credit Exposure</w:t>
      </w:r>
      <w:r>
        <w:rPr>
          <w:rFonts w:ascii="Times New Roman" w:cs="Times New Roman" w:eastAsia="Times New Roman" w:hAnsi="Times New Roman"/>
          <w:sz w:val="22"/>
          <w:szCs w:val="22"/>
          <w:color w:val="auto"/>
        </w:rPr>
        <w:t>": As of any date of determination, the Principal Balance of each Collateral Obligation that consists of a Participation Interest.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Credit Exposure Limits</w:t>
      </w:r>
      <w:r>
        <w:rPr>
          <w:rFonts w:ascii="Times New Roman" w:cs="Times New Roman" w:eastAsia="Times New Roman" w:hAnsi="Times New Roman"/>
          <w:sz w:val="22"/>
          <w:szCs w:val="22"/>
          <w:color w:val="auto"/>
        </w:rPr>
        <w:t>": Limits that shall be satisfied if the Third Party Credit Exposure with counterparties having the ratings below from S&amp;P do not exceed the percentage of the Collateral Principal Amount specified below:</w:t>
      </w:r>
    </w:p>
    <w:p>
      <w:pPr>
        <w:spacing w:after="0" w:line="368"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71" w:lineRule="exact"/>
        <w:rPr>
          <w:sz w:val="20"/>
          <w:szCs w:val="20"/>
          <w:color w:val="auto"/>
        </w:rPr>
      </w:pPr>
    </w:p>
    <w:tbl>
      <w:tblPr>
        <w:tblLayout w:type="fixed"/>
        <w:tblInd w:w="1280" w:type="dxa"/>
        <w:tblCellMar>
          <w:top w:w="0" w:type="dxa"/>
          <w:left w:w="0" w:type="dxa"/>
          <w:bottom w:w="0" w:type="dxa"/>
          <w:right w:w="0" w:type="dxa"/>
        </w:tblCellMar>
      </w:tblPr>
      <w:tr>
        <w:trPr>
          <w:trHeight w:val="253"/>
        </w:trPr>
        <w:tc>
          <w:tcPr>
            <w:tcW w:w="3920" w:type="dxa"/>
            <w:vAlign w:val="bottom"/>
          </w:tcPr>
          <w:p>
            <w:pPr>
              <w:spacing w:after="0"/>
              <w:rPr>
                <w:sz w:val="22"/>
                <w:szCs w:val="22"/>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Aggregate</w:t>
            </w: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Individual</w:t>
            </w:r>
          </w:p>
        </w:tc>
      </w:tr>
      <w:tr>
        <w:trPr>
          <w:trHeight w:val="243"/>
        </w:trPr>
        <w:tc>
          <w:tcPr>
            <w:tcW w:w="392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S&amp;P's credit rating of</w:t>
            </w:r>
          </w:p>
        </w:tc>
        <w:tc>
          <w:tcPr>
            <w:tcW w:w="26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Percentage</w:t>
            </w:r>
          </w:p>
        </w:tc>
        <w:tc>
          <w:tcPr>
            <w:tcW w:w="26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Percentage</w:t>
            </w:r>
          </w:p>
        </w:tc>
      </w:tr>
      <w:tr>
        <w:trPr>
          <w:trHeight w:val="286"/>
        </w:trPr>
        <w:tc>
          <w:tcPr>
            <w:tcW w:w="39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Selling Institution</w:t>
            </w: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Limit</w:t>
            </w: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Limit</w:t>
            </w:r>
          </w:p>
        </w:tc>
      </w:tr>
      <w:tr>
        <w:trPr>
          <w:trHeight w:val="211"/>
        </w:trPr>
        <w:tc>
          <w:tcPr>
            <w:tcW w:w="3920" w:type="dxa"/>
            <w:vAlign w:val="bottom"/>
            <w:tcBorders>
              <w:top w:val="single" w:sz="8" w:color="auto"/>
            </w:tcBorders>
          </w:tcPr>
          <w:p>
            <w:pPr>
              <w:jc w:val="center"/>
              <w:ind w:right="72"/>
              <w:spacing w:after="0" w:line="210" w:lineRule="exact"/>
              <w:rPr>
                <w:sz w:val="20"/>
                <w:szCs w:val="20"/>
                <w:color w:val="auto"/>
              </w:rPr>
            </w:pPr>
            <w:r>
              <w:rPr>
                <w:rFonts w:ascii="Times New Roman" w:cs="Times New Roman" w:eastAsia="Times New Roman" w:hAnsi="Times New Roman"/>
                <w:sz w:val="22"/>
                <w:szCs w:val="22"/>
                <w:color w:val="auto"/>
                <w:w w:val="96"/>
              </w:rPr>
              <w:t>AAA</w:t>
            </w:r>
          </w:p>
        </w:tc>
        <w:tc>
          <w:tcPr>
            <w:tcW w:w="120" w:type="dxa"/>
            <w:vAlign w:val="bottom"/>
          </w:tcPr>
          <w:p>
            <w:pPr>
              <w:spacing w:after="0"/>
              <w:rPr>
                <w:sz w:val="18"/>
                <w:szCs w:val="18"/>
                <w:color w:val="auto"/>
              </w:rPr>
            </w:pPr>
          </w:p>
        </w:tc>
        <w:tc>
          <w:tcPr>
            <w:tcW w:w="256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22"/>
                <w:szCs w:val="22"/>
                <w:color w:val="auto"/>
              </w:rPr>
              <w:t>20%</w:t>
            </w:r>
          </w:p>
        </w:tc>
        <w:tc>
          <w:tcPr>
            <w:tcW w:w="140" w:type="dxa"/>
            <w:vAlign w:val="bottom"/>
          </w:tcPr>
          <w:p>
            <w:pPr>
              <w:spacing w:after="0"/>
              <w:rPr>
                <w:sz w:val="18"/>
                <w:szCs w:val="18"/>
                <w:color w:val="auto"/>
              </w:rPr>
            </w:pPr>
          </w:p>
        </w:tc>
        <w:tc>
          <w:tcPr>
            <w:tcW w:w="254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22"/>
                <w:szCs w:val="22"/>
                <w:color w:val="auto"/>
              </w:rPr>
              <w:t>20%</w:t>
            </w:r>
          </w:p>
        </w:tc>
      </w:tr>
      <w:tr>
        <w:trPr>
          <w:trHeight w:val="243"/>
        </w:trPr>
        <w:tc>
          <w:tcPr>
            <w:tcW w:w="3920" w:type="dxa"/>
            <w:vAlign w:val="bottom"/>
          </w:tcPr>
          <w:p>
            <w:pPr>
              <w:jc w:val="center"/>
              <w:ind w:right="72"/>
              <w:spacing w:after="0" w:line="243" w:lineRule="exact"/>
              <w:rPr>
                <w:sz w:val="20"/>
                <w:szCs w:val="20"/>
                <w:color w:val="auto"/>
              </w:rPr>
            </w:pPr>
            <w:r>
              <w:rPr>
                <w:rFonts w:ascii="Times New Roman" w:cs="Times New Roman" w:eastAsia="Times New Roman" w:hAnsi="Times New Roman"/>
                <w:sz w:val="22"/>
                <w:szCs w:val="22"/>
                <w:color w:val="auto"/>
                <w:w w:val="94"/>
              </w:rPr>
              <w:t>AA+</w:t>
            </w:r>
          </w:p>
        </w:tc>
        <w:tc>
          <w:tcPr>
            <w:tcW w:w="26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16"/>
        </w:trPr>
        <w:tc>
          <w:tcPr>
            <w:tcW w:w="3920" w:type="dxa"/>
            <w:vAlign w:val="bottom"/>
          </w:tcPr>
          <w:p>
            <w:pPr>
              <w:jc w:val="center"/>
              <w:ind w:right="72"/>
              <w:spacing w:after="0" w:line="217" w:lineRule="exact"/>
              <w:rPr>
                <w:sz w:val="20"/>
                <w:szCs w:val="20"/>
                <w:color w:val="auto"/>
              </w:rPr>
            </w:pPr>
            <w:r>
              <w:rPr>
                <w:rFonts w:ascii="Times New Roman" w:cs="Times New Roman" w:eastAsia="Times New Roman" w:hAnsi="Times New Roman"/>
                <w:sz w:val="22"/>
                <w:szCs w:val="22"/>
                <w:color w:val="auto"/>
                <w:w w:val="94"/>
              </w:rPr>
              <w:t>AA</w:t>
            </w:r>
          </w:p>
        </w:tc>
        <w:tc>
          <w:tcPr>
            <w:tcW w:w="2680" w:type="dxa"/>
            <w:vAlign w:val="bottom"/>
            <w:gridSpan w:val="2"/>
          </w:tcPr>
          <w:p>
            <w:pPr>
              <w:ind w:left="120"/>
              <w:spacing w:after="0" w:line="217" w:lineRule="exact"/>
              <w:rPr>
                <w:sz w:val="20"/>
                <w:szCs w:val="20"/>
                <w:color w:val="auto"/>
              </w:rPr>
            </w:pPr>
            <w:r>
              <w:rPr>
                <w:rFonts w:ascii="Times New Roman" w:cs="Times New Roman" w:eastAsia="Times New Roman" w:hAnsi="Times New Roman"/>
                <w:sz w:val="22"/>
                <w:szCs w:val="22"/>
                <w:color w:val="auto"/>
              </w:rPr>
              <w:t>10%</w:t>
            </w:r>
          </w:p>
        </w:tc>
        <w:tc>
          <w:tcPr>
            <w:tcW w:w="2680" w:type="dxa"/>
            <w:vAlign w:val="bottom"/>
            <w:gridSpan w:val="2"/>
          </w:tcPr>
          <w:p>
            <w:pPr>
              <w:ind w:left="120"/>
              <w:spacing w:after="0" w:line="217" w:lineRule="exact"/>
              <w:rPr>
                <w:sz w:val="20"/>
                <w:szCs w:val="20"/>
                <w:color w:val="auto"/>
              </w:rPr>
            </w:pPr>
            <w:r>
              <w:rPr>
                <w:rFonts w:ascii="Times New Roman" w:cs="Times New Roman" w:eastAsia="Times New Roman" w:hAnsi="Times New Roman"/>
                <w:sz w:val="22"/>
                <w:szCs w:val="22"/>
                <w:color w:val="auto"/>
              </w:rPr>
              <w:t>10%</w:t>
            </w:r>
          </w:p>
        </w:tc>
      </w:tr>
      <w:tr>
        <w:trPr>
          <w:trHeight w:val="283"/>
        </w:trPr>
        <w:tc>
          <w:tcPr>
            <w:tcW w:w="3920" w:type="dxa"/>
            <w:vAlign w:val="bottom"/>
          </w:tcPr>
          <w:p>
            <w:pPr>
              <w:jc w:val="center"/>
              <w:ind w:right="72"/>
              <w:spacing w:after="0" w:line="253" w:lineRule="exact"/>
              <w:rPr>
                <w:sz w:val="20"/>
                <w:szCs w:val="20"/>
                <w:color w:val="auto"/>
              </w:rPr>
            </w:pPr>
            <w:r>
              <w:rPr>
                <w:rFonts w:ascii="Times New Roman" w:cs="Times New Roman" w:eastAsia="Times New Roman" w:hAnsi="Times New Roman"/>
                <w:sz w:val="22"/>
                <w:szCs w:val="22"/>
                <w:color w:val="auto"/>
                <w:w w:val="98"/>
              </w:rPr>
              <w:t>AA</w:t>
            </w:r>
            <w:r>
              <w:rPr>
                <w:rFonts w:ascii="MS PGothic" w:cs="MS PGothic" w:eastAsia="MS PGothic" w:hAnsi="MS PGothic"/>
                <w:sz w:val="22"/>
                <w:szCs w:val="22"/>
                <w:color w:val="auto"/>
                <w:w w:val="98"/>
              </w:rPr>
              <w:t>‑</w:t>
            </w: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10%</w:t>
            </w:r>
          </w:p>
        </w:tc>
      </w:tr>
      <w:tr>
        <w:trPr>
          <w:trHeight w:val="243"/>
        </w:trPr>
        <w:tc>
          <w:tcPr>
            <w:tcW w:w="392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color w:val="auto"/>
                <w:w w:val="98"/>
              </w:rPr>
              <w:t>A+</w:t>
            </w:r>
          </w:p>
        </w:tc>
        <w:tc>
          <w:tcPr>
            <w:tcW w:w="26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6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392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color w:val="auto"/>
              </w:rPr>
              <w:t>A</w:t>
            </w:r>
          </w:p>
        </w:tc>
        <w:tc>
          <w:tcPr>
            <w:tcW w:w="26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6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82"/>
        </w:trPr>
        <w:tc>
          <w:tcPr>
            <w:tcW w:w="392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Below A</w:t>
            </w: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0%</w:t>
            </w: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0%</w:t>
            </w:r>
          </w:p>
        </w:tc>
      </w:tr>
    </w:tbl>
    <w:p>
      <w:pPr>
        <w:spacing w:after="0" w:line="142" w:lineRule="exact"/>
        <w:rPr>
          <w:sz w:val="20"/>
          <w:szCs w:val="20"/>
          <w:color w:val="auto"/>
        </w:rPr>
      </w:pPr>
    </w:p>
    <w:p>
      <w:pPr>
        <w:jc w:val="both"/>
        <w:spacing w:after="0" w:line="287" w:lineRule="exact"/>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Selling Institution having an S&amp;P credit rating of "A" must also have a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S&amp;P rating of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otherwise its "Aggregate Percentage Limit" and "Individual Percentage Limit" (each as shown above) shall be 0%.</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Plan</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12.2(b)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Plan Period</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12.2(b)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This Indenture, the Collateral Management Agreement, the Master Loan Sale Agreement, the Credit Agreements, the Collateral Administration Agreement, the Securities Account Control Agreement, the Placement Agreement, the Posting Agent Letter Agreement and the Retention of Net Economic Interest Letter.</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Transaction Parties</w:t>
      </w:r>
      <w:r>
        <w:rPr>
          <w:rFonts w:ascii="Times New Roman" w:cs="Times New Roman" w:eastAsia="Times New Roman" w:hAnsi="Times New Roman"/>
          <w:sz w:val="22"/>
          <w:szCs w:val="22"/>
          <w:color w:val="auto"/>
        </w:rPr>
        <w:t>": The Issuer, the Transferor, the Collateral Manager, the Collateral Trustee, the Collateral Administrator, the Loan Agent, the Custodian and the Placement Agent.</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Agent</w:t>
      </w:r>
      <w:r>
        <w:rPr>
          <w:rFonts w:ascii="Times New Roman" w:cs="Times New Roman" w:eastAsia="Times New Roman" w:hAnsi="Times New Roman"/>
          <w:sz w:val="22"/>
          <w:szCs w:val="22"/>
          <w:color w:val="auto"/>
        </w:rPr>
        <w:t>": The Person or Persons, which may be the Issuer, authorized by the Issuer to exchange or register the transfer of Notes.</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Deposit Amount</w:t>
      </w:r>
      <w:r>
        <w:rPr>
          <w:rFonts w:ascii="Times New Roman" w:cs="Times New Roman" w:eastAsia="Times New Roman" w:hAnsi="Times New Roman"/>
          <w:sz w:val="22"/>
          <w:szCs w:val="22"/>
          <w:color w:val="auto"/>
        </w:rPr>
        <w:t>": On any date of determination with respect to any Collateral Obligation, an amount equal to the sum of the outstanding Principal Balance of such Collateral Obligation together with accrued interest thereon through such date of determination (but in no event less than the fair market value thereof).</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Transferor</w:t>
      </w:r>
      <w:r>
        <w:rPr>
          <w:rFonts w:ascii="Times New Roman" w:cs="Times New Roman" w:eastAsia="Times New Roman" w:hAnsi="Times New Roman"/>
          <w:sz w:val="21"/>
          <w:szCs w:val="21"/>
          <w:color w:val="auto"/>
        </w:rPr>
        <w:t>": PennantPark Floating Rate Capital Ltd., a Maryland corporation, together with its successors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assigns.</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The United States Department of Treasury regulations promulgated under the Code.</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Officer</w:t>
      </w:r>
      <w:r>
        <w:rPr>
          <w:rFonts w:ascii="Times New Roman" w:cs="Times New Roman" w:eastAsia="Times New Roman" w:hAnsi="Times New Roman"/>
          <w:sz w:val="22"/>
          <w:szCs w:val="22"/>
          <w:color w:val="auto"/>
        </w:rPr>
        <w:t>": When used with respect to (a) the Collateral Trustee or the Loan Agent, any officer within the Corporate Trust Office of the Collateral Trustee (or any successor group of the Bank) including any vice president, assistant vice president or officer of the Collateral Trustee or the Loan Agent, as applicable, customarily performing functions similar to those performed by the persons who at the time shall be such officers, respectively, or to whom any</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corporate trust matter is referred at the Corporate Trust Office because of such person's knowledge of and familiarity with the particular subject and in each case having direct responsibility for the administration of this Indenture and (b) the Collateral Administrator, any officer within the principal corporate trust office of the Collateral Administrator (or any successor group of the Collateral Administrator) including any vice president, assistant vice president or officer of the Collateral Administrator as applicable, customarily performing functions similar to those performed by the persons who at the time shall be such officers, respectively, or to whom any corporate trust matter is referred at the principal corporate trust office of the Collateral Administrator because of such person's knowledge of and familiarity with the particular subject and in each case having direct responsibility for the administration of this Indenture or the Collateral Administration Agreement.</w:t>
      </w:r>
    </w:p>
    <w:p>
      <w:pPr>
        <w:spacing w:after="0" w:line="17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The Uniform Commercial Code as in effect in the State of New York or, if different, the political subdivision of the United States that governs the perfection of the relevant security interest, as amended from time to time.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Retention Requirements</w:t>
      </w:r>
      <w:r>
        <w:rPr>
          <w:rFonts w:ascii="Times New Roman" w:cs="Times New Roman" w:eastAsia="Times New Roman" w:hAnsi="Times New Roman"/>
          <w:sz w:val="21"/>
          <w:szCs w:val="21"/>
          <w:color w:val="auto"/>
        </w:rPr>
        <w:t>": The requirements set out in Article 6 of Chapter 2 and Chapter 4 of the PRASR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SECN 5.</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Transparency Requirements</w:t>
      </w:r>
      <w:r>
        <w:rPr>
          <w:rFonts w:ascii="Times New Roman" w:cs="Times New Roman" w:eastAsia="Times New Roman" w:hAnsi="Times New Roman"/>
          <w:sz w:val="22"/>
          <w:szCs w:val="22"/>
          <w:color w:val="auto"/>
        </w:rPr>
        <w:t>": The information required by Article 7 of Chapter 2 of the PRASR, Chapter 5 of the PRASR (including its annexes) and Chapter 6 of the PRASR (including its annexes) together with SECN 6, 11 (including its annexes) and 12 (including its annexes).</w:t>
      </w:r>
    </w:p>
    <w:p>
      <w:pPr>
        <w:spacing w:after="0" w:line="139"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Uncertificated Security</w:t>
      </w:r>
      <w:r>
        <w:rPr>
          <w:rFonts w:ascii="Times New Roman" w:cs="Times New Roman" w:eastAsia="Times New Roman" w:hAnsi="Times New Roman"/>
          <w:sz w:val="22"/>
          <w:szCs w:val="22"/>
          <w:color w:val="auto"/>
        </w:rPr>
        <w:t>": The meaning specified in Section 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102(a)(18) of the UCC.</w:t>
      </w:r>
    </w:p>
    <w:p>
      <w:pPr>
        <w:spacing w:after="0" w:line="25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Underlying Document</w:t>
      </w:r>
      <w:r>
        <w:rPr>
          <w:rFonts w:ascii="Times New Roman" w:cs="Times New Roman" w:eastAsia="Times New Roman" w:hAnsi="Times New Roman"/>
          <w:sz w:val="22"/>
          <w:szCs w:val="22"/>
          <w:color w:val="auto"/>
        </w:rPr>
        <w:t>": The indenture, loan agreement, credit agreement or other customary agreement pursuant to which an Asset has been created or issued and each other agreement that governs the terms of or secures the obligations represented by such Asset or of which the holders of such Asset are the beneficiaries.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Unregistered Securities</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5.17(c)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Unsecured Loan</w:t>
      </w:r>
      <w:r>
        <w:rPr>
          <w:rFonts w:ascii="Times New Roman" w:cs="Times New Roman" w:eastAsia="Times New Roman" w:hAnsi="Times New Roman"/>
          <w:sz w:val="22"/>
          <w:szCs w:val="22"/>
          <w:color w:val="auto"/>
        </w:rPr>
        <w:t>": A senior unsecured Loan obligation of any Person which is not (and by its terms is not permitted to become) subordinate in right of payment to any other debt for borrowed money incurred by the Obligor under such Loan.</w:t>
      </w:r>
    </w:p>
    <w:p>
      <w:pPr>
        <w:spacing w:after="0" w:line="173"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USA PATRIOT Act</w:t>
      </w:r>
      <w:r>
        <w:rPr>
          <w:rFonts w:ascii="Times New Roman" w:cs="Times New Roman" w:eastAsia="Times New Roman" w:hAnsi="Times New Roman"/>
          <w:sz w:val="21"/>
          <w:szCs w:val="21"/>
          <w:color w:val="auto"/>
        </w:rPr>
        <w:t>": Collectively, (i) the United States Uniting and Strengthening America by Providing Appropriate Tools Required to Intercept and Obstruct Terrorism Act of 2001, signed into law on and effective as of October 26, 2001 and as amended, which, among other things, requires that financial institutions, a term that includes bank, broker-dealers and investment companies, establish and maintain compliance programs to guard against money laundering activities, and (ii) the laws, rules, regulations and executive orders in effect from time to time applicable to banking institutions and money laundering.</w:t>
      </w:r>
    </w:p>
    <w:p>
      <w:pPr>
        <w:spacing w:after="0" w:line="16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xml:space="preserve"> XE "U.S. Government Securities Business Day" ": Any day except for (a) a Saturday, (b) a Sunday or (c) a day on which the</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Securities Industry and Financial Markets Association recommends that the fixed income departments of its members be closed for the entire day for purposes of trading in United States government securities as indicated on the Securities Industry and Financial Markets Association website.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A "U.S. person" within the meaning specified in Regulation S.</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Retention Interest</w:t>
      </w:r>
      <w:r>
        <w:rPr>
          <w:rFonts w:ascii="Times New Roman" w:cs="Times New Roman" w:eastAsia="Times New Roman" w:hAnsi="Times New Roman"/>
          <w:sz w:val="22"/>
          <w:szCs w:val="22"/>
          <w:color w:val="auto"/>
        </w:rPr>
        <w:t>": The "eligible horizontal residual interest" held by the Transferor in accordance with the U.S. Risk Retention Rules.</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Risk Retention Rules</w:t>
      </w:r>
      <w:r>
        <w:rPr>
          <w:rFonts w:ascii="Times New Roman" w:cs="Times New Roman" w:eastAsia="Times New Roman" w:hAnsi="Times New Roman"/>
          <w:sz w:val="22"/>
          <w:szCs w:val="22"/>
          <w:color w:val="auto"/>
        </w:rPr>
        <w:t>": The United States federal interagency credit risk retention requirements of Section 15G of the Exchange Act, as added by Section 941 of Dodd-Frank, and promulgated at 17 C.F.R. Part 246.</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Waived Collateral Management Fee</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11.1(d)</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Coupon</w:t>
      </w:r>
      <w:r>
        <w:rPr>
          <w:rFonts w:ascii="Times New Roman" w:cs="Times New Roman" w:eastAsia="Times New Roman" w:hAnsi="Times New Roman"/>
          <w:sz w:val="22"/>
          <w:szCs w:val="22"/>
          <w:color w:val="auto"/>
        </w:rPr>
        <w:t xml:space="preserve">": As of any Measurement Date, is the number obtained by </w:t>
      </w:r>
      <w:r>
        <w:rPr>
          <w:rFonts w:ascii="Times New Roman" w:cs="Times New Roman" w:eastAsia="Times New Roman" w:hAnsi="Times New Roman"/>
          <w:sz w:val="22"/>
          <w:szCs w:val="22"/>
          <w:i w:val="1"/>
          <w:iCs w:val="1"/>
          <w:color w:val="auto"/>
        </w:rPr>
        <w:t>dividing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940" w:hanging="435"/>
        <w:spacing w:after="0"/>
        <w:tabs>
          <w:tab w:leader="none" w:pos="19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equal to the Aggregate Coupon; </w:t>
      </w:r>
      <w:r>
        <w:rPr>
          <w:rFonts w:ascii="Times New Roman" w:cs="Times New Roman" w:eastAsia="Times New Roman" w:hAnsi="Times New Roman"/>
          <w:sz w:val="22"/>
          <w:szCs w:val="22"/>
          <w:i w:val="1"/>
          <w:iCs w:val="1"/>
          <w:color w:val="auto"/>
        </w:rPr>
        <w:t>by</w:t>
      </w:r>
    </w:p>
    <w:p>
      <w:pPr>
        <w:spacing w:after="0" w:line="21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Aggregate Principal Balance of all Fixed Rate Obligations as of such Measurement Date (in each case including, for any Deferrable Obligation or Partial Deferrable Obligation, only the required current cash interest required by the Underlying Documents).</w:t>
      </w:r>
    </w:p>
    <w:p>
      <w:pPr>
        <w:spacing w:after="0" w:line="169"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Floating Spread</w:t>
      </w:r>
      <w:r>
        <w:rPr>
          <w:rFonts w:ascii="Times New Roman" w:cs="Times New Roman" w:eastAsia="Times New Roman" w:hAnsi="Times New Roman"/>
          <w:sz w:val="22"/>
          <w:szCs w:val="22"/>
          <w:color w:val="auto"/>
        </w:rPr>
        <w:t xml:space="preserve">": As of any Measurement Date, the number obtained by </w:t>
      </w:r>
      <w:r>
        <w:rPr>
          <w:rFonts w:ascii="Times New Roman" w:cs="Times New Roman" w:eastAsia="Times New Roman" w:hAnsi="Times New Roman"/>
          <w:sz w:val="22"/>
          <w:szCs w:val="22"/>
          <w:i w:val="1"/>
          <w:iCs w:val="1"/>
          <w:color w:val="auto"/>
        </w:rPr>
        <w:t>dividing</w:t>
      </w:r>
      <w:r>
        <w:rPr>
          <w:rFonts w:ascii="Times New Roman" w:cs="Times New Roman" w:eastAsia="Times New Roman" w:hAnsi="Times New Roman"/>
          <w:sz w:val="22"/>
          <w:szCs w:val="22"/>
          <w:color w:val="auto"/>
        </w:rPr>
        <w:t xml:space="preserve">: (a) the amount equal to (A) the Aggregate Funded Spread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Aggregate Unfunded Spread </w:t>
      </w:r>
      <w:r>
        <w:rPr>
          <w:rFonts w:ascii="Times New Roman" w:cs="Times New Roman" w:eastAsia="Times New Roman" w:hAnsi="Times New Roman"/>
          <w:sz w:val="22"/>
          <w:szCs w:val="22"/>
          <w:i w:val="1"/>
          <w:iCs w:val="1"/>
          <w:color w:val="auto"/>
        </w:rPr>
        <w:t>by</w:t>
      </w:r>
      <w:r>
        <w:rPr>
          <w:rFonts w:ascii="Times New Roman" w:cs="Times New Roman" w:eastAsia="Times New Roman" w:hAnsi="Times New Roman"/>
          <w:sz w:val="22"/>
          <w:szCs w:val="22"/>
          <w:color w:val="auto"/>
        </w:rPr>
        <w:t xml:space="preserve"> (b) an amount equal to the outstanding Aggregate Principal Balance of all Floating Rate Obligations as of such Measurement Date.</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Life</w:t>
      </w:r>
      <w:r>
        <w:rPr>
          <w:rFonts w:ascii="Times New Roman" w:cs="Times New Roman" w:eastAsia="Times New Roman" w:hAnsi="Times New Roman"/>
          <w:sz w:val="22"/>
          <w:szCs w:val="22"/>
          <w:color w:val="auto"/>
        </w:rPr>
        <w:t>": As of any date of determination with respect to all Collateral Obligations other than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Defaulted Obligations, the number of years following such date obtained by summing the products obtained by </w:t>
      </w:r>
      <w:r>
        <w:rPr>
          <w:rFonts w:ascii="Times New Roman" w:cs="Times New Roman" w:eastAsia="Times New Roman" w:hAnsi="Times New Roman"/>
          <w:sz w:val="22"/>
          <w:szCs w:val="22"/>
          <w:i w:val="1"/>
          <w:iCs w:val="1"/>
          <w:color w:val="auto"/>
        </w:rPr>
        <w:t>multiplying</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760" w:firstLine="745"/>
        <w:spacing w:after="0" w:line="262" w:lineRule="auto"/>
        <w:tabs>
          <w:tab w:leader="none" w:pos="194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Average Life at such time of each such Collateral Obligation </w:t>
      </w:r>
      <w:r>
        <w:rPr>
          <w:rFonts w:ascii="Times New Roman" w:cs="Times New Roman" w:eastAsia="Times New Roman" w:hAnsi="Times New Roman"/>
          <w:sz w:val="22"/>
          <w:szCs w:val="22"/>
          <w:i w:val="1"/>
          <w:iCs w:val="1"/>
          <w:color w:val="auto"/>
        </w:rPr>
        <w:t>by</w:t>
      </w:r>
      <w:r>
        <w:rPr>
          <w:rFonts w:ascii="Times New Roman" w:cs="Times New Roman" w:eastAsia="Times New Roman" w:hAnsi="Times New Roman"/>
          <w:sz w:val="22"/>
          <w:szCs w:val="22"/>
          <w:color w:val="auto"/>
        </w:rPr>
        <w:t xml:space="preserve"> (b) the Principal Balance of such Collateral Obligation;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and dividing such sum by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the Aggregate Principal Balance at such time of all such Collateral Obligations.</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For the purposes of the foregoing, the "Average Life" is, on any date of determination with respect to any Collateral Obligation, the quotient obtained by </w:t>
      </w:r>
      <w:r>
        <w:rPr>
          <w:rFonts w:ascii="Times New Roman" w:cs="Times New Roman" w:eastAsia="Times New Roman" w:hAnsi="Times New Roman"/>
          <w:sz w:val="22"/>
          <w:szCs w:val="22"/>
          <w:i w:val="1"/>
          <w:iCs w:val="1"/>
          <w:color w:val="auto"/>
        </w:rPr>
        <w:t>dividing</w:t>
      </w:r>
      <w:r>
        <w:rPr>
          <w:rFonts w:ascii="Times New Roman" w:cs="Times New Roman" w:eastAsia="Times New Roman" w:hAnsi="Times New Roman"/>
          <w:sz w:val="22"/>
          <w:szCs w:val="22"/>
          <w:color w:val="auto"/>
        </w:rPr>
        <w:t xml:space="preserve"> (i) the sum of the products of (a) the number of years (</w:t>
      </w:r>
      <w:r>
        <w:rPr>
          <w:rFonts w:ascii="Times New Roman" w:cs="Times New Roman" w:eastAsia="Times New Roman" w:hAnsi="Times New Roman"/>
          <w:sz w:val="22"/>
          <w:szCs w:val="22"/>
          <w:i w:val="1"/>
          <w:iCs w:val="1"/>
          <w:color w:val="auto"/>
        </w:rPr>
        <w:t>rounded</w:t>
      </w:r>
      <w:r>
        <w:rPr>
          <w:rFonts w:ascii="Times New Roman" w:cs="Times New Roman" w:eastAsia="Times New Roman" w:hAnsi="Times New Roman"/>
          <w:sz w:val="22"/>
          <w:szCs w:val="22"/>
          <w:color w:val="auto"/>
        </w:rPr>
        <w:t xml:space="preserve"> to the nearest one hundredth thereof) from such date of determination to the respective dates of each successive Scheduled Distribution of principal of such Collateral Obligation and (b) the respective amounts of principal of such</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Scheduled Distributions </w:t>
      </w:r>
      <w:r>
        <w:rPr>
          <w:rFonts w:ascii="Times New Roman" w:cs="Times New Roman" w:eastAsia="Times New Roman" w:hAnsi="Times New Roman"/>
          <w:sz w:val="22"/>
          <w:szCs w:val="22"/>
          <w:i w:val="1"/>
          <w:iCs w:val="1"/>
          <w:color w:val="auto"/>
        </w:rPr>
        <w:t>by</w:t>
      </w:r>
      <w:r>
        <w:rPr>
          <w:rFonts w:ascii="Times New Roman" w:cs="Times New Roman" w:eastAsia="Times New Roman" w:hAnsi="Times New Roman"/>
          <w:sz w:val="22"/>
          <w:szCs w:val="22"/>
          <w:color w:val="auto"/>
        </w:rPr>
        <w:t xml:space="preserve"> (ii) the sum of all successive Scheduled Distributions of principal on such Collateral Obligation.</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Life Test</w:t>
      </w:r>
      <w:r>
        <w:rPr>
          <w:rFonts w:ascii="Times New Roman" w:cs="Times New Roman" w:eastAsia="Times New Roman" w:hAnsi="Times New Roman"/>
          <w:sz w:val="22"/>
          <w:szCs w:val="22"/>
          <w:color w:val="auto"/>
        </w:rPr>
        <w:t>": A test satisfied on any date of determination if the Weighted Average Life of the Collateral Obligations as of such date is less than or equal to the number of years corresponding to the Closing Date or the most recent Payment Date on or preceding such date of determination as set forth in the table below:</w:t>
      </w:r>
    </w:p>
    <w:p>
      <w:pPr>
        <w:spacing w:after="0" w:line="163"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390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8"/>
              </w:rPr>
              <w:t>Payment Date</w:t>
            </w:r>
          </w:p>
        </w:tc>
        <w:tc>
          <w:tcPr>
            <w:tcW w:w="3620" w:type="dxa"/>
            <w:vAlign w:val="bottom"/>
          </w:tcPr>
          <w:p>
            <w:pPr>
              <w:spacing w:after="0"/>
              <w:rPr>
                <w:sz w:val="22"/>
                <w:szCs w:val="22"/>
                <w:color w:val="auto"/>
              </w:rPr>
            </w:pPr>
          </w:p>
        </w:tc>
      </w:tr>
      <w:tr>
        <w:trPr>
          <w:trHeight w:val="277"/>
        </w:trPr>
        <w:tc>
          <w:tcPr>
            <w:tcW w:w="39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22"/>
                <w:szCs w:val="22"/>
                <w:color w:val="auto"/>
                <w:w w:val="98"/>
              </w:rPr>
              <w:t>(or Closing Date)</w:t>
            </w:r>
          </w:p>
        </w:tc>
        <w:tc>
          <w:tcPr>
            <w:tcW w:w="36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color w:val="auto"/>
                <w:w w:val="98"/>
              </w:rPr>
              <w:t>Number of Years</w:t>
            </w:r>
          </w:p>
        </w:tc>
      </w:tr>
      <w:tr>
        <w:trPr>
          <w:trHeight w:val="243"/>
        </w:trPr>
        <w:tc>
          <w:tcPr>
            <w:tcW w:w="3900" w:type="dxa"/>
            <w:vAlign w:val="bottom"/>
            <w:tcBorders>
              <w:bottom w:val="single" w:sz="8" w:color="auto"/>
            </w:tcBorders>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98"/>
              </w:rPr>
              <w:t>Closing Date</w:t>
            </w:r>
          </w:p>
        </w:tc>
        <w:tc>
          <w:tcPr>
            <w:tcW w:w="3620" w:type="dxa"/>
            <w:vAlign w:val="bottom"/>
            <w:tcBorders>
              <w:bottom w:val="single" w:sz="8" w:color="auto"/>
            </w:tcBorders>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98"/>
              </w:rPr>
              <w:t>8.00</w:t>
            </w:r>
          </w:p>
        </w:tc>
      </w:tr>
      <w:tr>
        <w:trPr>
          <w:trHeight w:val="237"/>
        </w:trPr>
        <w:tc>
          <w:tcPr>
            <w:tcW w:w="3900" w:type="dxa"/>
            <w:vAlign w:val="bottom"/>
            <w:tcBorders>
              <w:bottom w:val="single" w:sz="8" w:color="auto"/>
            </w:tcBorders>
          </w:tcPr>
          <w:p>
            <w:pPr>
              <w:jc w:val="center"/>
              <w:ind w:right="32"/>
              <w:spacing w:after="0" w:line="237" w:lineRule="exact"/>
              <w:rPr>
                <w:sz w:val="20"/>
                <w:szCs w:val="20"/>
                <w:color w:val="auto"/>
              </w:rPr>
            </w:pPr>
            <w:r>
              <w:rPr>
                <w:rFonts w:ascii="Times New Roman" w:cs="Times New Roman" w:eastAsia="Times New Roman" w:hAnsi="Times New Roman"/>
                <w:sz w:val="22"/>
                <w:szCs w:val="22"/>
                <w:color w:val="auto"/>
                <w:w w:val="97"/>
              </w:rPr>
              <w:t>July 2025</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7.58</w:t>
            </w:r>
          </w:p>
        </w:tc>
      </w:tr>
      <w:tr>
        <w:trPr>
          <w:trHeight w:val="236"/>
        </w:trPr>
        <w:tc>
          <w:tcPr>
            <w:tcW w:w="390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7"/>
              </w:rPr>
              <w:t>October 2025</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7.33</w:t>
            </w:r>
          </w:p>
        </w:tc>
      </w:tr>
      <w:tr>
        <w:trPr>
          <w:trHeight w:val="237"/>
        </w:trPr>
        <w:tc>
          <w:tcPr>
            <w:tcW w:w="3900" w:type="dxa"/>
            <w:vAlign w:val="bottom"/>
            <w:tcBorders>
              <w:bottom w:val="single" w:sz="8" w:color="auto"/>
            </w:tcBorders>
          </w:tcPr>
          <w:p>
            <w:pPr>
              <w:jc w:val="center"/>
              <w:ind w:right="32"/>
              <w:spacing w:after="0" w:line="237" w:lineRule="exact"/>
              <w:rPr>
                <w:sz w:val="20"/>
                <w:szCs w:val="20"/>
                <w:color w:val="auto"/>
              </w:rPr>
            </w:pPr>
            <w:r>
              <w:rPr>
                <w:rFonts w:ascii="Times New Roman" w:cs="Times New Roman" w:eastAsia="Times New Roman" w:hAnsi="Times New Roman"/>
                <w:sz w:val="22"/>
                <w:szCs w:val="22"/>
                <w:color w:val="auto"/>
                <w:w w:val="98"/>
              </w:rPr>
              <w:t>January 2026</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7.08</w:t>
            </w:r>
          </w:p>
        </w:tc>
      </w:tr>
      <w:tr>
        <w:trPr>
          <w:trHeight w:val="237"/>
        </w:trPr>
        <w:tc>
          <w:tcPr>
            <w:tcW w:w="390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7"/>
              </w:rPr>
              <w:t>April 2026</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6.83</w:t>
            </w:r>
          </w:p>
        </w:tc>
      </w:tr>
      <w:tr>
        <w:trPr>
          <w:trHeight w:val="237"/>
        </w:trPr>
        <w:tc>
          <w:tcPr>
            <w:tcW w:w="3900" w:type="dxa"/>
            <w:vAlign w:val="bottom"/>
            <w:tcBorders>
              <w:bottom w:val="single" w:sz="8" w:color="auto"/>
            </w:tcBorders>
          </w:tcPr>
          <w:p>
            <w:pPr>
              <w:jc w:val="center"/>
              <w:ind w:right="32"/>
              <w:spacing w:after="0" w:line="237" w:lineRule="exact"/>
              <w:rPr>
                <w:sz w:val="20"/>
                <w:szCs w:val="20"/>
                <w:color w:val="auto"/>
              </w:rPr>
            </w:pPr>
            <w:r>
              <w:rPr>
                <w:rFonts w:ascii="Times New Roman" w:cs="Times New Roman" w:eastAsia="Times New Roman" w:hAnsi="Times New Roman"/>
                <w:sz w:val="22"/>
                <w:szCs w:val="22"/>
                <w:color w:val="auto"/>
                <w:w w:val="97"/>
              </w:rPr>
              <w:t>July 2026</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6.58</w:t>
            </w:r>
          </w:p>
        </w:tc>
      </w:tr>
      <w:tr>
        <w:trPr>
          <w:trHeight w:val="236"/>
        </w:trPr>
        <w:tc>
          <w:tcPr>
            <w:tcW w:w="390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7"/>
              </w:rPr>
              <w:t>October 2026</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6.33</w:t>
            </w:r>
          </w:p>
        </w:tc>
      </w:tr>
      <w:tr>
        <w:trPr>
          <w:trHeight w:val="237"/>
        </w:trPr>
        <w:tc>
          <w:tcPr>
            <w:tcW w:w="3900" w:type="dxa"/>
            <w:vAlign w:val="bottom"/>
            <w:tcBorders>
              <w:bottom w:val="single" w:sz="8" w:color="auto"/>
            </w:tcBorders>
          </w:tcPr>
          <w:p>
            <w:pPr>
              <w:jc w:val="center"/>
              <w:ind w:right="32"/>
              <w:spacing w:after="0" w:line="237" w:lineRule="exact"/>
              <w:rPr>
                <w:sz w:val="20"/>
                <w:szCs w:val="20"/>
                <w:color w:val="auto"/>
              </w:rPr>
            </w:pPr>
            <w:r>
              <w:rPr>
                <w:rFonts w:ascii="Times New Roman" w:cs="Times New Roman" w:eastAsia="Times New Roman" w:hAnsi="Times New Roman"/>
                <w:sz w:val="22"/>
                <w:szCs w:val="22"/>
                <w:color w:val="auto"/>
                <w:w w:val="98"/>
              </w:rPr>
              <w:t>January 2027</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6.08</w:t>
            </w:r>
          </w:p>
        </w:tc>
      </w:tr>
      <w:tr>
        <w:trPr>
          <w:trHeight w:val="237"/>
        </w:trPr>
        <w:tc>
          <w:tcPr>
            <w:tcW w:w="390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7"/>
              </w:rPr>
              <w:t>April 2027</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5.83</w:t>
            </w:r>
          </w:p>
        </w:tc>
      </w:tr>
      <w:tr>
        <w:trPr>
          <w:trHeight w:val="237"/>
        </w:trPr>
        <w:tc>
          <w:tcPr>
            <w:tcW w:w="3900" w:type="dxa"/>
            <w:vAlign w:val="bottom"/>
            <w:tcBorders>
              <w:bottom w:val="single" w:sz="8" w:color="auto"/>
            </w:tcBorders>
          </w:tcPr>
          <w:p>
            <w:pPr>
              <w:jc w:val="center"/>
              <w:ind w:right="32"/>
              <w:spacing w:after="0" w:line="237" w:lineRule="exact"/>
              <w:rPr>
                <w:sz w:val="20"/>
                <w:szCs w:val="20"/>
                <w:color w:val="auto"/>
              </w:rPr>
            </w:pPr>
            <w:r>
              <w:rPr>
                <w:rFonts w:ascii="Times New Roman" w:cs="Times New Roman" w:eastAsia="Times New Roman" w:hAnsi="Times New Roman"/>
                <w:sz w:val="22"/>
                <w:szCs w:val="22"/>
                <w:color w:val="auto"/>
                <w:w w:val="97"/>
              </w:rPr>
              <w:t>July 2027</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5.58</w:t>
            </w:r>
          </w:p>
        </w:tc>
      </w:tr>
      <w:tr>
        <w:trPr>
          <w:trHeight w:val="236"/>
        </w:trPr>
        <w:tc>
          <w:tcPr>
            <w:tcW w:w="390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7"/>
              </w:rPr>
              <w:t>October 2027</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5.33</w:t>
            </w:r>
          </w:p>
        </w:tc>
      </w:tr>
      <w:tr>
        <w:trPr>
          <w:trHeight w:val="237"/>
        </w:trPr>
        <w:tc>
          <w:tcPr>
            <w:tcW w:w="3900" w:type="dxa"/>
            <w:vAlign w:val="bottom"/>
            <w:tcBorders>
              <w:bottom w:val="single" w:sz="8" w:color="auto"/>
            </w:tcBorders>
          </w:tcPr>
          <w:p>
            <w:pPr>
              <w:jc w:val="center"/>
              <w:ind w:right="32"/>
              <w:spacing w:after="0" w:line="237" w:lineRule="exact"/>
              <w:rPr>
                <w:sz w:val="20"/>
                <w:szCs w:val="20"/>
                <w:color w:val="auto"/>
              </w:rPr>
            </w:pPr>
            <w:r>
              <w:rPr>
                <w:rFonts w:ascii="Times New Roman" w:cs="Times New Roman" w:eastAsia="Times New Roman" w:hAnsi="Times New Roman"/>
                <w:sz w:val="22"/>
                <w:szCs w:val="22"/>
                <w:color w:val="auto"/>
                <w:w w:val="98"/>
              </w:rPr>
              <w:t>January 2028</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5.08</w:t>
            </w:r>
          </w:p>
        </w:tc>
      </w:tr>
      <w:tr>
        <w:trPr>
          <w:trHeight w:val="236"/>
        </w:trPr>
        <w:tc>
          <w:tcPr>
            <w:tcW w:w="390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7"/>
              </w:rPr>
              <w:t>April 2028</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4.83</w:t>
            </w:r>
          </w:p>
        </w:tc>
      </w:tr>
      <w:tr>
        <w:trPr>
          <w:trHeight w:val="237"/>
        </w:trPr>
        <w:tc>
          <w:tcPr>
            <w:tcW w:w="3900" w:type="dxa"/>
            <w:vAlign w:val="bottom"/>
            <w:tcBorders>
              <w:bottom w:val="single" w:sz="8" w:color="auto"/>
            </w:tcBorders>
          </w:tcPr>
          <w:p>
            <w:pPr>
              <w:jc w:val="center"/>
              <w:ind w:right="32"/>
              <w:spacing w:after="0" w:line="237" w:lineRule="exact"/>
              <w:rPr>
                <w:sz w:val="20"/>
                <w:szCs w:val="20"/>
                <w:color w:val="auto"/>
              </w:rPr>
            </w:pPr>
            <w:r>
              <w:rPr>
                <w:rFonts w:ascii="Times New Roman" w:cs="Times New Roman" w:eastAsia="Times New Roman" w:hAnsi="Times New Roman"/>
                <w:sz w:val="22"/>
                <w:szCs w:val="22"/>
                <w:color w:val="auto"/>
                <w:w w:val="97"/>
              </w:rPr>
              <w:t>July 2028</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4.58</w:t>
            </w:r>
          </w:p>
        </w:tc>
      </w:tr>
      <w:tr>
        <w:trPr>
          <w:trHeight w:val="236"/>
        </w:trPr>
        <w:tc>
          <w:tcPr>
            <w:tcW w:w="390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7"/>
              </w:rPr>
              <w:t>October 2028</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4.33</w:t>
            </w:r>
          </w:p>
        </w:tc>
      </w:tr>
      <w:tr>
        <w:trPr>
          <w:trHeight w:val="237"/>
        </w:trPr>
        <w:tc>
          <w:tcPr>
            <w:tcW w:w="3900" w:type="dxa"/>
            <w:vAlign w:val="bottom"/>
            <w:tcBorders>
              <w:bottom w:val="single" w:sz="8" w:color="auto"/>
            </w:tcBorders>
          </w:tcPr>
          <w:p>
            <w:pPr>
              <w:jc w:val="center"/>
              <w:ind w:right="32"/>
              <w:spacing w:after="0" w:line="237" w:lineRule="exact"/>
              <w:rPr>
                <w:sz w:val="20"/>
                <w:szCs w:val="20"/>
                <w:color w:val="auto"/>
              </w:rPr>
            </w:pPr>
            <w:r>
              <w:rPr>
                <w:rFonts w:ascii="Times New Roman" w:cs="Times New Roman" w:eastAsia="Times New Roman" w:hAnsi="Times New Roman"/>
                <w:sz w:val="22"/>
                <w:szCs w:val="22"/>
                <w:color w:val="auto"/>
                <w:w w:val="98"/>
              </w:rPr>
              <w:t>January 2029</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4.08</w:t>
            </w:r>
          </w:p>
        </w:tc>
      </w:tr>
      <w:tr>
        <w:trPr>
          <w:trHeight w:val="236"/>
        </w:trPr>
        <w:tc>
          <w:tcPr>
            <w:tcW w:w="390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7"/>
              </w:rPr>
              <w:t>April 2029</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3.83</w:t>
            </w:r>
          </w:p>
        </w:tc>
      </w:tr>
      <w:tr>
        <w:trPr>
          <w:trHeight w:val="237"/>
        </w:trPr>
        <w:tc>
          <w:tcPr>
            <w:tcW w:w="3900" w:type="dxa"/>
            <w:vAlign w:val="bottom"/>
            <w:tcBorders>
              <w:bottom w:val="single" w:sz="8" w:color="auto"/>
            </w:tcBorders>
          </w:tcPr>
          <w:p>
            <w:pPr>
              <w:jc w:val="center"/>
              <w:ind w:right="32"/>
              <w:spacing w:after="0" w:line="237" w:lineRule="exact"/>
              <w:rPr>
                <w:sz w:val="20"/>
                <w:szCs w:val="20"/>
                <w:color w:val="auto"/>
              </w:rPr>
            </w:pPr>
            <w:r>
              <w:rPr>
                <w:rFonts w:ascii="Times New Roman" w:cs="Times New Roman" w:eastAsia="Times New Roman" w:hAnsi="Times New Roman"/>
                <w:sz w:val="22"/>
                <w:szCs w:val="22"/>
                <w:color w:val="auto"/>
                <w:w w:val="97"/>
              </w:rPr>
              <w:t>July 2029</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3.58</w:t>
            </w:r>
          </w:p>
        </w:tc>
      </w:tr>
      <w:tr>
        <w:trPr>
          <w:trHeight w:val="236"/>
        </w:trPr>
        <w:tc>
          <w:tcPr>
            <w:tcW w:w="390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7"/>
              </w:rPr>
              <w:t>October 2029</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3.33</w:t>
            </w:r>
          </w:p>
        </w:tc>
      </w:tr>
      <w:tr>
        <w:trPr>
          <w:trHeight w:val="237"/>
        </w:trPr>
        <w:tc>
          <w:tcPr>
            <w:tcW w:w="3900" w:type="dxa"/>
            <w:vAlign w:val="bottom"/>
            <w:tcBorders>
              <w:bottom w:val="single" w:sz="8" w:color="auto"/>
            </w:tcBorders>
          </w:tcPr>
          <w:p>
            <w:pPr>
              <w:jc w:val="center"/>
              <w:ind w:right="32"/>
              <w:spacing w:after="0" w:line="237" w:lineRule="exact"/>
              <w:rPr>
                <w:sz w:val="20"/>
                <w:szCs w:val="20"/>
                <w:color w:val="auto"/>
              </w:rPr>
            </w:pPr>
            <w:r>
              <w:rPr>
                <w:rFonts w:ascii="Times New Roman" w:cs="Times New Roman" w:eastAsia="Times New Roman" w:hAnsi="Times New Roman"/>
                <w:sz w:val="22"/>
                <w:szCs w:val="22"/>
                <w:color w:val="auto"/>
                <w:w w:val="98"/>
              </w:rPr>
              <w:t>January 2030</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3.08</w:t>
            </w:r>
          </w:p>
        </w:tc>
      </w:tr>
      <w:tr>
        <w:trPr>
          <w:trHeight w:val="237"/>
        </w:trPr>
        <w:tc>
          <w:tcPr>
            <w:tcW w:w="390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7"/>
              </w:rPr>
              <w:t>April 2030</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2.83</w:t>
            </w:r>
          </w:p>
        </w:tc>
      </w:tr>
      <w:tr>
        <w:trPr>
          <w:trHeight w:val="236"/>
        </w:trPr>
        <w:tc>
          <w:tcPr>
            <w:tcW w:w="3900" w:type="dxa"/>
            <w:vAlign w:val="bottom"/>
            <w:tcBorders>
              <w:bottom w:val="single" w:sz="8" w:color="auto"/>
            </w:tcBorders>
          </w:tcPr>
          <w:p>
            <w:pPr>
              <w:jc w:val="center"/>
              <w:ind w:right="32"/>
              <w:spacing w:after="0" w:line="237" w:lineRule="exact"/>
              <w:rPr>
                <w:sz w:val="20"/>
                <w:szCs w:val="20"/>
                <w:color w:val="auto"/>
              </w:rPr>
            </w:pPr>
            <w:r>
              <w:rPr>
                <w:rFonts w:ascii="Times New Roman" w:cs="Times New Roman" w:eastAsia="Times New Roman" w:hAnsi="Times New Roman"/>
                <w:sz w:val="22"/>
                <w:szCs w:val="22"/>
                <w:color w:val="auto"/>
                <w:w w:val="97"/>
              </w:rPr>
              <w:t>July 2030</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2.58</w:t>
            </w:r>
          </w:p>
        </w:tc>
      </w:tr>
      <w:tr>
        <w:trPr>
          <w:trHeight w:val="237"/>
        </w:trPr>
        <w:tc>
          <w:tcPr>
            <w:tcW w:w="390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7"/>
              </w:rPr>
              <w:t>October 2030</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2.33</w:t>
            </w:r>
          </w:p>
        </w:tc>
      </w:tr>
      <w:tr>
        <w:trPr>
          <w:trHeight w:val="236"/>
        </w:trPr>
        <w:tc>
          <w:tcPr>
            <w:tcW w:w="3900" w:type="dxa"/>
            <w:vAlign w:val="bottom"/>
            <w:tcBorders>
              <w:bottom w:val="single" w:sz="8" w:color="auto"/>
            </w:tcBorders>
          </w:tcPr>
          <w:p>
            <w:pPr>
              <w:jc w:val="center"/>
              <w:ind w:right="32"/>
              <w:spacing w:after="0" w:line="237" w:lineRule="exact"/>
              <w:rPr>
                <w:sz w:val="20"/>
                <w:szCs w:val="20"/>
                <w:color w:val="auto"/>
              </w:rPr>
            </w:pPr>
            <w:r>
              <w:rPr>
                <w:rFonts w:ascii="Times New Roman" w:cs="Times New Roman" w:eastAsia="Times New Roman" w:hAnsi="Times New Roman"/>
                <w:sz w:val="22"/>
                <w:szCs w:val="22"/>
                <w:color w:val="auto"/>
                <w:w w:val="98"/>
              </w:rPr>
              <w:t>January 2031</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2.08</w:t>
            </w:r>
          </w:p>
        </w:tc>
      </w:tr>
      <w:tr>
        <w:trPr>
          <w:trHeight w:val="237"/>
        </w:trPr>
        <w:tc>
          <w:tcPr>
            <w:tcW w:w="390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7"/>
              </w:rPr>
              <w:t>April 2031</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1.83</w:t>
            </w:r>
          </w:p>
        </w:tc>
      </w:tr>
      <w:tr>
        <w:trPr>
          <w:trHeight w:val="236"/>
        </w:trPr>
        <w:tc>
          <w:tcPr>
            <w:tcW w:w="3900" w:type="dxa"/>
            <w:vAlign w:val="bottom"/>
            <w:tcBorders>
              <w:bottom w:val="single" w:sz="8" w:color="auto"/>
            </w:tcBorders>
          </w:tcPr>
          <w:p>
            <w:pPr>
              <w:jc w:val="center"/>
              <w:ind w:right="32"/>
              <w:spacing w:after="0" w:line="237" w:lineRule="exact"/>
              <w:rPr>
                <w:sz w:val="20"/>
                <w:szCs w:val="20"/>
                <w:color w:val="auto"/>
              </w:rPr>
            </w:pPr>
            <w:r>
              <w:rPr>
                <w:rFonts w:ascii="Times New Roman" w:cs="Times New Roman" w:eastAsia="Times New Roman" w:hAnsi="Times New Roman"/>
                <w:sz w:val="22"/>
                <w:szCs w:val="22"/>
                <w:color w:val="auto"/>
                <w:w w:val="97"/>
              </w:rPr>
              <w:t>July 2031</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1.58</w:t>
            </w:r>
          </w:p>
        </w:tc>
      </w:tr>
      <w:tr>
        <w:trPr>
          <w:trHeight w:val="237"/>
        </w:trPr>
        <w:tc>
          <w:tcPr>
            <w:tcW w:w="390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7"/>
              </w:rPr>
              <w:t>October 2031</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1.33</w:t>
            </w:r>
          </w:p>
        </w:tc>
      </w:tr>
      <w:tr>
        <w:trPr>
          <w:trHeight w:val="236"/>
        </w:trPr>
        <w:tc>
          <w:tcPr>
            <w:tcW w:w="3900" w:type="dxa"/>
            <w:vAlign w:val="bottom"/>
            <w:tcBorders>
              <w:bottom w:val="single" w:sz="8" w:color="auto"/>
            </w:tcBorders>
          </w:tcPr>
          <w:p>
            <w:pPr>
              <w:jc w:val="center"/>
              <w:ind w:right="32"/>
              <w:spacing w:after="0" w:line="237" w:lineRule="exact"/>
              <w:rPr>
                <w:sz w:val="20"/>
                <w:szCs w:val="20"/>
                <w:color w:val="auto"/>
              </w:rPr>
            </w:pPr>
            <w:r>
              <w:rPr>
                <w:rFonts w:ascii="Times New Roman" w:cs="Times New Roman" w:eastAsia="Times New Roman" w:hAnsi="Times New Roman"/>
                <w:sz w:val="22"/>
                <w:szCs w:val="22"/>
                <w:color w:val="auto"/>
                <w:w w:val="98"/>
              </w:rPr>
              <w:t>January 2032</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1.08</w:t>
            </w:r>
          </w:p>
        </w:tc>
      </w:tr>
      <w:tr>
        <w:trPr>
          <w:trHeight w:val="237"/>
        </w:trPr>
        <w:tc>
          <w:tcPr>
            <w:tcW w:w="390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7"/>
              </w:rPr>
              <w:t>April 2032</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0.83</w:t>
            </w:r>
          </w:p>
        </w:tc>
      </w:tr>
      <w:tr>
        <w:trPr>
          <w:trHeight w:val="236"/>
        </w:trPr>
        <w:tc>
          <w:tcPr>
            <w:tcW w:w="3900" w:type="dxa"/>
            <w:vAlign w:val="bottom"/>
            <w:tcBorders>
              <w:bottom w:val="single" w:sz="8" w:color="auto"/>
            </w:tcBorders>
          </w:tcPr>
          <w:p>
            <w:pPr>
              <w:jc w:val="center"/>
              <w:ind w:right="32"/>
              <w:spacing w:after="0" w:line="237" w:lineRule="exact"/>
              <w:rPr>
                <w:sz w:val="20"/>
                <w:szCs w:val="20"/>
                <w:color w:val="auto"/>
              </w:rPr>
            </w:pPr>
            <w:r>
              <w:rPr>
                <w:rFonts w:ascii="Times New Roman" w:cs="Times New Roman" w:eastAsia="Times New Roman" w:hAnsi="Times New Roman"/>
                <w:sz w:val="22"/>
                <w:szCs w:val="22"/>
                <w:color w:val="auto"/>
                <w:w w:val="97"/>
              </w:rPr>
              <w:t>July 2032</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0.58</w:t>
            </w:r>
          </w:p>
        </w:tc>
      </w:tr>
      <w:tr>
        <w:trPr>
          <w:trHeight w:val="237"/>
        </w:trPr>
        <w:tc>
          <w:tcPr>
            <w:tcW w:w="390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7"/>
              </w:rPr>
              <w:t>October 2032</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0.33</w:t>
            </w:r>
          </w:p>
        </w:tc>
      </w:tr>
      <w:tr>
        <w:trPr>
          <w:trHeight w:val="236"/>
        </w:trPr>
        <w:tc>
          <w:tcPr>
            <w:tcW w:w="3900" w:type="dxa"/>
            <w:vAlign w:val="bottom"/>
            <w:tcBorders>
              <w:bottom w:val="single" w:sz="8" w:color="auto"/>
            </w:tcBorders>
          </w:tcPr>
          <w:p>
            <w:pPr>
              <w:jc w:val="center"/>
              <w:ind w:right="32"/>
              <w:spacing w:after="0" w:line="237" w:lineRule="exact"/>
              <w:rPr>
                <w:sz w:val="20"/>
                <w:szCs w:val="20"/>
                <w:color w:val="auto"/>
              </w:rPr>
            </w:pPr>
            <w:r>
              <w:rPr>
                <w:rFonts w:ascii="Times New Roman" w:cs="Times New Roman" w:eastAsia="Times New Roman" w:hAnsi="Times New Roman"/>
                <w:sz w:val="22"/>
                <w:szCs w:val="22"/>
                <w:color w:val="auto"/>
                <w:w w:val="98"/>
              </w:rPr>
              <w:t>January 2033</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0.08</w:t>
            </w:r>
          </w:p>
        </w:tc>
      </w:tr>
      <w:tr>
        <w:trPr>
          <w:trHeight w:val="236"/>
        </w:trPr>
        <w:tc>
          <w:tcPr>
            <w:tcW w:w="3900" w:type="dxa"/>
            <w:vAlign w:val="bottom"/>
            <w:tcBorders>
              <w:bottom w:val="single" w:sz="8" w:color="auto"/>
            </w:tcBorders>
          </w:tcPr>
          <w:p>
            <w:pPr>
              <w:jc w:val="center"/>
              <w:ind w:right="32"/>
              <w:spacing w:after="0" w:line="237" w:lineRule="exact"/>
              <w:rPr>
                <w:sz w:val="20"/>
                <w:szCs w:val="20"/>
                <w:color w:val="auto"/>
              </w:rPr>
            </w:pPr>
            <w:r>
              <w:rPr>
                <w:rFonts w:ascii="Times New Roman" w:cs="Times New Roman" w:eastAsia="Times New Roman" w:hAnsi="Times New Roman"/>
                <w:sz w:val="22"/>
                <w:szCs w:val="22"/>
                <w:color w:val="auto"/>
                <w:w w:val="98"/>
              </w:rPr>
              <w:t>On and after April 2033</w:t>
            </w:r>
          </w:p>
        </w:tc>
        <w:tc>
          <w:tcPr>
            <w:tcW w:w="3620" w:type="dxa"/>
            <w:vAlign w:val="bottom"/>
            <w:tcBorders>
              <w:bottom w:val="single" w:sz="8" w:color="auto"/>
            </w:tcBorders>
          </w:tcPr>
          <w:p>
            <w:pPr>
              <w:jc w:val="center"/>
              <w:ind w:right="12"/>
              <w:spacing w:after="0" w:line="237" w:lineRule="exact"/>
              <w:rPr>
                <w:sz w:val="20"/>
                <w:szCs w:val="20"/>
                <w:color w:val="auto"/>
              </w:rPr>
            </w:pPr>
            <w:r>
              <w:rPr>
                <w:rFonts w:ascii="Times New Roman" w:cs="Times New Roman" w:eastAsia="Times New Roman" w:hAnsi="Times New Roman"/>
                <w:sz w:val="22"/>
                <w:szCs w:val="22"/>
                <w:color w:val="auto"/>
                <w:w w:val="98"/>
              </w:rPr>
              <w:t>0.00</w:t>
            </w:r>
          </w:p>
        </w:tc>
      </w:tr>
    </w:tbl>
    <w:p>
      <w:pPr>
        <w:spacing w:after="0" w:line="189"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S&amp;P Recovery Rate</w:t>
      </w:r>
      <w:r>
        <w:rPr>
          <w:rFonts w:ascii="Times New Roman" w:cs="Times New Roman" w:eastAsia="Times New Roman" w:hAnsi="Times New Roman"/>
          <w:sz w:val="22"/>
          <w:szCs w:val="22"/>
          <w:color w:val="auto"/>
        </w:rPr>
        <w:t>": As of any date of determination, the number, expressed as a percentage and determined separately for each Class of Secured Debt,</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obtained by </w:t>
      </w:r>
      <w:r>
        <w:rPr>
          <w:rFonts w:ascii="Times New Roman" w:cs="Times New Roman" w:eastAsia="Times New Roman" w:hAnsi="Times New Roman"/>
          <w:sz w:val="22"/>
          <w:szCs w:val="22"/>
          <w:i w:val="1"/>
          <w:iCs w:val="1"/>
          <w:color w:val="auto"/>
        </w:rPr>
        <w:t>summing</w:t>
      </w:r>
      <w:r>
        <w:rPr>
          <w:rFonts w:ascii="Times New Roman" w:cs="Times New Roman" w:eastAsia="Times New Roman" w:hAnsi="Times New Roman"/>
          <w:sz w:val="22"/>
          <w:szCs w:val="22"/>
          <w:color w:val="auto"/>
        </w:rPr>
        <w:t xml:space="preserve"> the products obtained by </w:t>
      </w:r>
      <w:r>
        <w:rPr>
          <w:rFonts w:ascii="Times New Roman" w:cs="Times New Roman" w:eastAsia="Times New Roman" w:hAnsi="Times New Roman"/>
          <w:sz w:val="22"/>
          <w:szCs w:val="22"/>
          <w:i w:val="1"/>
          <w:iCs w:val="1"/>
          <w:color w:val="auto"/>
        </w:rPr>
        <w:t>multiplyin</w:t>
      </w:r>
      <w:r>
        <w:rPr>
          <w:rFonts w:ascii="Times New Roman" w:cs="Times New Roman" w:eastAsia="Times New Roman" w:hAnsi="Times New Roman"/>
          <w:sz w:val="22"/>
          <w:szCs w:val="22"/>
          <w:color w:val="auto"/>
        </w:rPr>
        <w:t xml:space="preserve">g the Principal Balance of each Collateral Obligation by its corresponding S&amp;P Recovery Rate, </w:t>
      </w:r>
      <w:r>
        <w:rPr>
          <w:rFonts w:ascii="Times New Roman" w:cs="Times New Roman" w:eastAsia="Times New Roman" w:hAnsi="Times New Roman"/>
          <w:sz w:val="22"/>
          <w:szCs w:val="22"/>
          <w:i w:val="1"/>
          <w:iCs w:val="1"/>
          <w:color w:val="auto"/>
        </w:rPr>
        <w:t>dividing</w:t>
      </w:r>
      <w:r>
        <w:rPr>
          <w:rFonts w:ascii="Times New Roman" w:cs="Times New Roman" w:eastAsia="Times New Roman" w:hAnsi="Times New Roman"/>
          <w:sz w:val="22"/>
          <w:szCs w:val="22"/>
          <w:color w:val="auto"/>
        </w:rPr>
        <w:t xml:space="preserve"> such sum </w:t>
      </w:r>
      <w:r>
        <w:rPr>
          <w:rFonts w:ascii="Times New Roman" w:cs="Times New Roman" w:eastAsia="Times New Roman" w:hAnsi="Times New Roman"/>
          <w:sz w:val="22"/>
          <w:szCs w:val="22"/>
          <w:i w:val="1"/>
          <w:iCs w:val="1"/>
          <w:color w:val="auto"/>
        </w:rPr>
        <w:t>by</w:t>
      </w:r>
      <w:r>
        <w:rPr>
          <w:rFonts w:ascii="Times New Roman" w:cs="Times New Roman" w:eastAsia="Times New Roman" w:hAnsi="Times New Roman"/>
          <w:sz w:val="22"/>
          <w:szCs w:val="22"/>
          <w:color w:val="auto"/>
        </w:rPr>
        <w:t xml:space="preserve"> the Aggregate Principal Balance of all Collateral Obligations, and </w:t>
      </w:r>
      <w:r>
        <w:rPr>
          <w:rFonts w:ascii="Times New Roman" w:cs="Times New Roman" w:eastAsia="Times New Roman" w:hAnsi="Times New Roman"/>
          <w:sz w:val="22"/>
          <w:szCs w:val="22"/>
          <w:i w:val="1"/>
          <w:iCs w:val="1"/>
          <w:color w:val="auto"/>
        </w:rPr>
        <w:t xml:space="preserve">rounding </w:t>
      </w:r>
      <w:r>
        <w:rPr>
          <w:rFonts w:ascii="Times New Roman" w:cs="Times New Roman" w:eastAsia="Times New Roman" w:hAnsi="Times New Roman"/>
          <w:sz w:val="22"/>
          <w:szCs w:val="22"/>
          <w:color w:val="auto"/>
        </w:rPr>
        <w:t>to the nearest tenth of a percent.</w:t>
      </w:r>
    </w:p>
    <w:p>
      <w:pPr>
        <w:spacing w:after="0" w:line="17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1.2 Usage of Terms</w:t>
      </w:r>
      <w:r>
        <w:rPr>
          <w:rFonts w:ascii="Times New Roman" w:cs="Times New Roman" w:eastAsia="Times New Roman" w:hAnsi="Times New Roman"/>
          <w:sz w:val="22"/>
          <w:szCs w:val="22"/>
          <w:color w:val="auto"/>
        </w:rPr>
        <w:t>. (a) With respect to all terms in this Indenture, the singular includes the plural and the plural the singular; words importing any gender include the other genders; references to "writing" include printing, typing, lithography and other means of reproducing words in a visible form; references to agreements and other contractual instruments include all amendments, modifications and supplements thereto or any changes therein entered into in accordance with their respective terms and not prohibited by this Indenture; references to Persons include their permitted successors and assigns; and the term "including" means "including without limitation."</w:t>
      </w:r>
    </w:p>
    <w:p>
      <w:pPr>
        <w:spacing w:after="0" w:line="181" w:lineRule="exact"/>
        <w:rPr>
          <w:sz w:val="20"/>
          <w:szCs w:val="20"/>
          <w:color w:val="auto"/>
        </w:rPr>
      </w:pPr>
    </w:p>
    <w:p>
      <w:pPr>
        <w:jc w:val="both"/>
        <w:ind w:firstLine="1505"/>
        <w:spacing w:after="0" w:line="235" w:lineRule="auto"/>
        <w:tabs>
          <w:tab w:leader="none" w:pos="192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expressly stated otherwise, references hereunder to (i) the "redemption" of Debt shall be understood to refer, in the case of the Class A-1 Loans, to the repayment of the Class A-1 Loans by the Issuer in accordance with the Credit Agreements, (ii) references to the "issuance" of Debt or to the "execution," "authentication" and/or "delivery" of Debt shall be understood to refer, in the case of the Class A-1 Loans, to the incurrence of the Class A-1 Loans by the Issuer pursuant to the Credit Agreements and this Indenture and (iii) in all instances where any notice is to be delivered to the Loan Agent, there shall be implied a duty that such notice be promptly delivered or made available by the Loan Agent to Class A-1 Lenders, except that the Monthly Reports and Distribution Reports shall be made available directly to Class A-1 Lenders via the Collateral Trustee's website.</w:t>
      </w:r>
    </w:p>
    <w:p>
      <w:pPr>
        <w:spacing w:after="0" w:line="17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1.3 Assumptions as to Assets</w:t>
      </w:r>
      <w:r>
        <w:rPr>
          <w:rFonts w:ascii="Times New Roman" w:cs="Times New Roman" w:eastAsia="Times New Roman" w:hAnsi="Times New Roman"/>
          <w:sz w:val="22"/>
          <w:szCs w:val="22"/>
          <w:color w:val="auto"/>
        </w:rPr>
        <w:t xml:space="preserve"> . In connection with all calculations required to be made pursuant to this Indenture with respect to Scheduled Distributions on any Asset, or any payments on any other assets included in the Assets, with respect to the sale of and reinvestment in Collateral Obligations, and with respect to the income that can be earned on Scheduled Distributions on such Assets and on any other amounts that may be received for deposit in the Collection Account, the provisions set forth in this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shall be applied. The provisions of this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shall be applicable to any determination or calculation that is covered by this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whether or not reference is specifically made to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unless some other method of calculation or determination is expressly specified in the particular provision.</w:t>
      </w:r>
    </w:p>
    <w:p>
      <w:pPr>
        <w:spacing w:after="0" w:line="183" w:lineRule="exact"/>
        <w:rPr>
          <w:sz w:val="20"/>
          <w:szCs w:val="20"/>
          <w:color w:val="auto"/>
        </w:rPr>
      </w:pPr>
    </w:p>
    <w:p>
      <w:pPr>
        <w:jc w:val="both"/>
        <w:ind w:firstLine="1505"/>
        <w:spacing w:after="0" w:line="239" w:lineRule="auto"/>
        <w:tabs>
          <w:tab w:leader="none" w:pos="192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calculations with respect to Scheduled Distributions on the Assets securing the Secured Debt shall be made on the basis of information as to the terms of each such Asset and upon reports of payments, if any, received on such Asset that are furnished by or on behalf of the issuer of such Asset and, to the extent they are not manifestly in error, such information or reports may be conclusively relied upon in making such calculations.</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calculating the Coverage Tests, except as otherwise specified in the Coverage Tests, such calculations will not include scheduled interest and principal payments on Defaulted Obligations unless or until such payments are actually made.</w:t>
      </w:r>
    </w:p>
    <w:p>
      <w:pPr>
        <w:spacing w:after="0" w:line="173"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Collection Period and as of any date of determination, the Scheduled Distribution on any Asset (including Current Pay Obligations but excluding Defaulted Obligations, which, except as otherwise provided herein, shall be assumed to have a Scheduled</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Distribution of zero, except to the extent any payments have actually been received) shall be the sum of (i) the total amount of payments and collections to be received during such Collection Period in respect of such Asset (including the proceeds of the sale of such Asset received and, in the case of sales which have not yet settled, to be received during the Collection Period and not reinvested in additional Collateral Obligations or Eligible Investments or retained in the Collection Account for subsequent reinvestment pursuant to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that, if received as scheduled, will be available in the Collection Account at the end of the Collection Period and (ii) any such amounts received in prior Collection Periods that were not disbursed on or prior to a previous Payment Date.</w:t>
      </w:r>
    </w:p>
    <w:p>
      <w:pPr>
        <w:spacing w:after="0" w:line="183" w:lineRule="exact"/>
        <w:rPr>
          <w:sz w:val="20"/>
          <w:szCs w:val="20"/>
          <w:color w:val="auto"/>
        </w:rPr>
      </w:pPr>
    </w:p>
    <w:p>
      <w:pPr>
        <w:jc w:val="both"/>
        <w:ind w:firstLine="1505"/>
        <w:spacing w:after="0" w:line="246" w:lineRule="auto"/>
        <w:tabs>
          <w:tab w:leader="none" w:pos="1929"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Scheduled Distribution receivable with respect to an Asset shall be assumed to be received on the applicable Due Date, and each such Scheduled Distribution shall be assumed to be immediately deposited in the Collection Account to earn interest at the Assumed Reinvestment Rate. All such funds shall be assumed to continue to earn interest until the date on which they are required to be available in the Collection Account for application, in accordance with the terms hereof, to payments of principal of or interest on the Secured Debt or other amounts payable pursuant to this Indenture. For the avoidance of doubt, all amounts calculated pursuant to this </w:t>
      </w:r>
      <w:r>
        <w:rPr>
          <w:rFonts w:ascii="Times New Roman" w:cs="Times New Roman" w:eastAsia="Times New Roman" w:hAnsi="Times New Roman"/>
          <w:sz w:val="21"/>
          <w:szCs w:val="21"/>
          <w:u w:val="single" w:color="auto"/>
          <w:color w:val="auto"/>
        </w:rPr>
        <w:t>Section 1.3(d)</w:t>
      </w:r>
      <w:r>
        <w:rPr>
          <w:rFonts w:ascii="Times New Roman" w:cs="Times New Roman" w:eastAsia="Times New Roman" w:hAnsi="Times New Roman"/>
          <w:sz w:val="21"/>
          <w:szCs w:val="21"/>
          <w:color w:val="auto"/>
        </w:rPr>
        <w:t xml:space="preserve"> are estimates and may differ from the actual amounts available to make distributions hereunder, and no party shall have any obligation to make any payment hereunder due to the assumed amounts calculated under this </w:t>
      </w:r>
      <w:r>
        <w:rPr>
          <w:rFonts w:ascii="Times New Roman" w:cs="Times New Roman" w:eastAsia="Times New Roman" w:hAnsi="Times New Roman"/>
          <w:sz w:val="21"/>
          <w:szCs w:val="21"/>
          <w:u w:val="single" w:color="auto"/>
          <w:color w:val="auto"/>
        </w:rPr>
        <w:t>Section 1.3(d)</w:t>
      </w:r>
      <w:r>
        <w:rPr>
          <w:rFonts w:ascii="Times New Roman" w:cs="Times New Roman" w:eastAsia="Times New Roman" w:hAnsi="Times New Roman"/>
          <w:sz w:val="21"/>
          <w:szCs w:val="21"/>
          <w:color w:val="auto"/>
        </w:rPr>
        <w:t xml:space="preserve"> being greater than the actual amounts available. For purposes of the applicable determinations required by </w:t>
      </w:r>
      <w:r>
        <w:rPr>
          <w:rFonts w:ascii="Times New Roman" w:cs="Times New Roman" w:eastAsia="Times New Roman" w:hAnsi="Times New Roman"/>
          <w:sz w:val="21"/>
          <w:szCs w:val="21"/>
          <w:u w:val="single" w:color="auto"/>
          <w:color w:val="auto"/>
        </w:rPr>
        <w:t>Section 10.7(b)(iv)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XII</w:t>
      </w:r>
      <w:r>
        <w:rPr>
          <w:rFonts w:ascii="Times New Roman" w:cs="Times New Roman" w:eastAsia="Times New Roman" w:hAnsi="Times New Roman"/>
          <w:sz w:val="21"/>
          <w:szCs w:val="21"/>
          <w:color w:val="auto"/>
        </w:rPr>
        <w:t xml:space="preserve"> and the definition of "Interest Coverage Ratio," the expected interest on the Secured Debt and Floating Rate Obligations will be calculated using the then current interest rates applicable thereto.</w:t>
      </w:r>
    </w:p>
    <w:p>
      <w:pPr>
        <w:spacing w:after="0" w:line="166" w:lineRule="exact"/>
        <w:rPr>
          <w:rFonts w:ascii="Times New Roman" w:cs="Times New Roman" w:eastAsia="Times New Roman" w:hAnsi="Times New Roman"/>
          <w:sz w:val="21"/>
          <w:szCs w:val="21"/>
          <w:color w:val="auto"/>
        </w:rPr>
      </w:pPr>
    </w:p>
    <w:p>
      <w:pPr>
        <w:jc w:val="both"/>
        <w:ind w:firstLine="1505"/>
        <w:spacing w:after="0" w:line="246" w:lineRule="auto"/>
        <w:tabs>
          <w:tab w:leader="none" w:pos="192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References in </w:t>
      </w:r>
      <w:r>
        <w:rPr>
          <w:rFonts w:ascii="Times New Roman" w:cs="Times New Roman" w:eastAsia="Times New Roman" w:hAnsi="Times New Roman"/>
          <w:sz w:val="22"/>
          <w:szCs w:val="22"/>
          <w:u w:val="single" w:color="auto"/>
          <w:color w:val="auto"/>
        </w:rPr>
        <w:t>Section 11.1(a)</w:t>
      </w:r>
      <w:r>
        <w:rPr>
          <w:rFonts w:ascii="Times New Roman" w:cs="Times New Roman" w:eastAsia="Times New Roman" w:hAnsi="Times New Roman"/>
          <w:sz w:val="22"/>
          <w:szCs w:val="22"/>
          <w:color w:val="auto"/>
        </w:rPr>
        <w:t xml:space="preserve"> to calculations made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shall mean such calculations after giving effect to all payments, in accordance with the Priority of Payments described herein, that precede (in priority of payment) or include the clause in which such calculation is made.</w:t>
      </w:r>
    </w:p>
    <w:p>
      <w:pPr>
        <w:spacing w:after="0" w:line="171"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calculating all Concentration Limitations, in both the numerator and the denominator of any component of the Concentration Limitations, Defaulted Obligations will be treated as having a Principal Balance equal to the Defaulted Obligation Balance.</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Collateral Obligation included in the Assets would be deemed a Current Pay Obligation but for the applicable percentage limitation in the proviso to the definition of "Defaulted Obligation," then the Current Pay Obligations with the lowest Market Value (expressed as a percentage of the Principal Balance of such Current Pay Obligations as of the date of determination) shall be deemed Defaulted Obligations. Each such Defaulted Obligation will be treated as a Defaulted Obligation for all purposes until such time as the Aggregate Principal Balance of Current Pay Obligations would not exceed,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including such Defaulted Obligation, the applicable percentage of the Collateral Principal Amount as set forth in the proviso to the definition of "Defaulted Obligation."</w:t>
      </w:r>
    </w:p>
    <w:p>
      <w:pPr>
        <w:spacing w:after="0" w:line="183"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where expressly referenced herein for inclusion in such calculations, Defaulted Obligations will not be included in the calculation of the Collateral Quality Test.</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85" w:lineRule="exact"/>
        <w:rPr>
          <w:sz w:val="20"/>
          <w:szCs w:val="20"/>
          <w:color w:val="auto"/>
        </w:rPr>
      </w:pPr>
    </w:p>
    <w:p>
      <w:pPr>
        <w:jc w:val="both"/>
        <w:ind w:firstLine="1505"/>
        <w:spacing w:after="0" w:line="235" w:lineRule="auto"/>
        <w:tabs>
          <w:tab w:leader="none" w:pos="19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calculating compliance with the Investment Criteria, upon the direction of the Collateral Manager by notice to the Collateral Trustee and the Collateral Administrator, any Eligible Investment representing Principal Proceeds received upon the sale or other disposition of a Collateral Obligation shall be deemed to have the characteristics of such Collateral Obligation as of the date of such sale or other disposition until reinvested in an additional Collateral Obligation. Such calculations shall be based upon the principal amount of such Collateral Obligation, except in the case of Defaulted Obligations and Credit Risk Obligations, in which case the calculations will be based upon the Principal Proceeds received on the disposition or sale of such Defaulted Obligation or Credit Risk Obligation.</w:t>
      </w:r>
    </w:p>
    <w:p>
      <w:pPr>
        <w:spacing w:after="0" w:line="183" w:lineRule="exact"/>
        <w:rPr>
          <w:rFonts w:ascii="Times New Roman" w:cs="Times New Roman" w:eastAsia="Times New Roman" w:hAnsi="Times New Roman"/>
          <w:sz w:val="22"/>
          <w:szCs w:val="22"/>
          <w:color w:val="auto"/>
        </w:rPr>
      </w:pPr>
    </w:p>
    <w:p>
      <w:pPr>
        <w:jc w:val="both"/>
        <w:ind w:firstLine="1505"/>
        <w:spacing w:after="0" w:line="271" w:lineRule="exact"/>
        <w:tabs>
          <w:tab w:leader="none" w:pos="192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purposes of calculating compliance with each of the Concentration Limitations all calculations will be </w:t>
      </w:r>
      <w:r>
        <w:rPr>
          <w:rFonts w:ascii="Times New Roman" w:cs="Times New Roman" w:eastAsia="Times New Roman" w:hAnsi="Times New Roman"/>
          <w:sz w:val="21"/>
          <w:szCs w:val="21"/>
          <w:i w:val="1"/>
          <w:iCs w:val="1"/>
          <w:color w:val="auto"/>
        </w:rPr>
        <w:t>rounded</w:t>
      </w:r>
      <w:r>
        <w:rPr>
          <w:rFonts w:ascii="Times New Roman" w:cs="Times New Roman" w:eastAsia="Times New Roman" w:hAnsi="Times New Roman"/>
          <w:sz w:val="21"/>
          <w:szCs w:val="21"/>
          <w:color w:val="auto"/>
        </w:rPr>
        <w:t xml:space="preserve"> to the nearest 0.1%. All other calculations, unless otherwise set forth herein or the context otherwise requires, shall be </w:t>
      </w:r>
      <w:r>
        <w:rPr>
          <w:rFonts w:ascii="Times New Roman" w:cs="Times New Roman" w:eastAsia="Times New Roman" w:hAnsi="Times New Roman"/>
          <w:sz w:val="21"/>
          <w:szCs w:val="21"/>
          <w:i w:val="1"/>
          <w:iCs w:val="1"/>
          <w:color w:val="auto"/>
        </w:rPr>
        <w:t>rounded</w:t>
      </w:r>
      <w:r>
        <w:rPr>
          <w:rFonts w:ascii="Times New Roman" w:cs="Times New Roman" w:eastAsia="Times New Roman" w:hAnsi="Times New Roman"/>
          <w:sz w:val="21"/>
          <w:szCs w:val="21"/>
          <w:color w:val="auto"/>
        </w:rPr>
        <w:t xml:space="preserve"> to the nearest ten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thousandth if expressed as a percentage, and to the nearest one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hundredth if expressed otherwise.</w:t>
      </w:r>
    </w:p>
    <w:p>
      <w:pPr>
        <w:spacing w:after="0" w:line="146" w:lineRule="exact"/>
        <w:rPr>
          <w:rFonts w:ascii="Times New Roman" w:cs="Times New Roman" w:eastAsia="Times New Roman" w:hAnsi="Times New Roman"/>
          <w:sz w:val="21"/>
          <w:szCs w:val="21"/>
          <w:color w:val="auto"/>
        </w:rPr>
      </w:pPr>
    </w:p>
    <w:p>
      <w:pPr>
        <w:jc w:val="both"/>
        <w:ind w:firstLine="1505"/>
        <w:spacing w:after="0" w:line="235" w:lineRule="auto"/>
        <w:tabs>
          <w:tab w:leader="none" w:pos="19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Issuer (or the Collateral Manager on behalf of the Issuer) is notified by the administrative agent or other withholding agent or otherwise for the syndicate of lenders in respect of (x) any amendment, waiver, consent or extension fees or (y) commitment fees or other similar fees in respect of Revolving Collateral Obligation or Delayed Drawdown Collateral Obligation that any amounts associated therewith are subject to withholding tax imposed by any jurisdiction, the applicable Collateral Quality Test and the Coverage Tests will be calculated thereafter net of the full amount of such withholding tax unless the related Obligor is required to make "gross-up" payments to the Issuer that cover the full amount of any such withholding tax on an after-tax basis pursuant to the Underlying Documents with respect thereto.</w:t>
      </w:r>
    </w:p>
    <w:p>
      <w:pPr>
        <w:spacing w:after="0" w:line="18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Indenture to the contrary, all monetary calculations under this Indenture and the Credit Agreements shall be in Dollars.</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reference herein to an amount of the Collateral Trustee's, the Loan Agent's or the Collateral Administrator's fees calculated with respect to a period at a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rate shall be computed on the basis of the actual number of days in the applicable Interest Accrual Period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360 and shall be based on the Fee Basis Amount as of the beginning of the Collection Period.</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of any ambiguity in the interpretation of any definition or term contained herein or in the Credit Agreements or to the extent more than one methodology can be used to make any of the determinations or calculations set forth herein, the Collateral Administrator, Loan Agent or Collateral Trustee may request direction from the Collateral Manager as to the interpretation and/or methodology to be used, and the Collateral Administrator, Loan Agent and/or the Collateral Trustee shall be entitled to follow such direction and shall be entitled to conclusively rely thereon without any responsibility or liability therefor.</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calculating compliance with any tests under this Indenture, the trade date (and not the settlement date) with respect to any acquisition or disposition of a Collateral Obligation or Eligible Investment shall be used to determine whether and when such acquisition or disposition has occurred.</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85" w:lineRule="exact"/>
        <w:rPr>
          <w:sz w:val="20"/>
          <w:szCs w:val="20"/>
          <w:color w:val="auto"/>
        </w:rPr>
      </w:pPr>
    </w:p>
    <w:p>
      <w:pPr>
        <w:ind w:right="20" w:firstLine="1505"/>
        <w:spacing w:after="0" w:line="258"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calculating compliance with the Collateral Quality Test, DIP Collateral Obligations shall be treated as having an S&amp;P Recovery Rate equal to the S&amp;P Recovery Rate for Senior Secured Loans.</w:t>
      </w:r>
    </w:p>
    <w:p>
      <w:pPr>
        <w:spacing w:after="0" w:line="158" w:lineRule="exact"/>
        <w:rPr>
          <w:rFonts w:ascii="Times New Roman" w:cs="Times New Roman" w:eastAsia="Times New Roman" w:hAnsi="Times New Roman"/>
          <w:sz w:val="22"/>
          <w:szCs w:val="22"/>
          <w:color w:val="auto"/>
        </w:rPr>
      </w:pPr>
    </w:p>
    <w:p>
      <w:pPr>
        <w:jc w:val="both"/>
        <w:ind w:right="20" w:firstLine="1505"/>
        <w:spacing w:after="0" w:line="239"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Collateral Obligation that is a Closing Date Participation Interest is not elevated by an assignment agreement prior to the Effective Date, such Collateral Obligation will be deemed to have a Principal Balance for purposes of determining the Adjusted Collateral Principal Amount equal to the S&amp;P Collateral Value until the date on which such Collateral Obligation is assigned to the Issuer.</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direction or Issuer order required under this Indenture relating to the purchase, acquisition, sale, disposition or other transfer of Assets may be in the form of a trade ticket, confirmation of trade, instruction to post or to commit to the trade or similar instrument or document or other written instruction (including by email or other electronic communication or file transfer protocol) from the Collateral Manager or the Issuer to the Collateral Trustee and any certifications required to be made by the Issuer or the Collateral Manager shall be deemed to have been made upon delivery of such trade ticket, confirmation of trade, or other instruction.</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NOTES</w:t>
      </w:r>
    </w:p>
    <w:p>
      <w:pPr>
        <w:spacing w:after="0" w:line="21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2.1 Forms Generally</w:t>
      </w:r>
      <w:r>
        <w:rPr>
          <w:rFonts w:ascii="Times New Roman" w:cs="Times New Roman" w:eastAsia="Times New Roman" w:hAnsi="Times New Roman"/>
          <w:sz w:val="22"/>
          <w:szCs w:val="22"/>
          <w:color w:val="auto"/>
        </w:rPr>
        <w:t>. The Notes and the Collateral Trustee's or Authenticating Agent's certificate of authentication thereon (the "</w:t>
      </w:r>
      <w:r>
        <w:rPr>
          <w:rFonts w:ascii="Times New Roman" w:cs="Times New Roman" w:eastAsia="Times New Roman" w:hAnsi="Times New Roman"/>
          <w:sz w:val="22"/>
          <w:szCs w:val="22"/>
          <w:u w:val="single" w:color="auto"/>
          <w:color w:val="auto"/>
        </w:rPr>
        <w:t>Certificate of Authentication</w:t>
      </w:r>
      <w:r>
        <w:rPr>
          <w:rFonts w:ascii="Times New Roman" w:cs="Times New Roman" w:eastAsia="Times New Roman" w:hAnsi="Times New Roman"/>
          <w:sz w:val="22"/>
          <w:szCs w:val="22"/>
          <w:color w:val="auto"/>
        </w:rPr>
        <w:t>") shall be in substantially the forms required by this Article, with such appropriate insertions, omissions, substitutions and other variations as are required or permitted by this Indenture, and may have such letters, numbers or other marks of identification and such legends or endorsements placed thereon, as may be consistent herewith, determined by the Responsible Officer of the Issuer executing such Notes as evidenced by his or her execution of such Notes. Any portion of the text of any Note may be set forth on the reverse thereof, with an appropriate reference thereto on the face of the Note.</w:t>
      </w:r>
    </w:p>
    <w:p>
      <w:pPr>
        <w:spacing w:after="0" w:line="183"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2.2</w:t>
      </w:r>
      <w:r>
        <w:rPr>
          <w:sz w:val="20"/>
          <w:szCs w:val="20"/>
          <w:color w:val="auto"/>
        </w:rPr>
        <w:tab/>
      </w:r>
      <w:r>
        <w:rPr>
          <w:rFonts w:ascii="Times New Roman" w:cs="Times New Roman" w:eastAsia="Times New Roman" w:hAnsi="Times New Roman"/>
          <w:sz w:val="21"/>
          <w:szCs w:val="21"/>
          <w:u w:val="single" w:color="auto"/>
          <w:color w:val="auto"/>
        </w:rPr>
        <w:t>Forms of Notes</w:t>
      </w:r>
      <w:r>
        <w:rPr>
          <w:rFonts w:ascii="Times New Roman" w:cs="Times New Roman" w:eastAsia="Times New Roman" w:hAnsi="Times New Roman"/>
          <w:sz w:val="21"/>
          <w:szCs w:val="21"/>
          <w:color w:val="auto"/>
        </w:rPr>
        <w:t>. (a) The forms of the Notes shall be as set forth in the applicable part of</w:t>
      </w:r>
      <w:r>
        <w:rPr>
          <w:rFonts w:ascii="Times New Roman" w:cs="Times New Roman" w:eastAsia="Times New Roman" w:hAnsi="Times New Roman"/>
          <w:sz w:val="21"/>
          <w:szCs w:val="21"/>
          <w:u w:val="single" w:color="auto"/>
          <w:color w:val="auto"/>
        </w:rPr>
        <w:t xml:space="preserve"> Exhibit</w:t>
      </w:r>
    </w:p>
    <w:p>
      <w:pPr>
        <w:spacing w:after="0" w:line="14" w:lineRule="exact"/>
        <w:rPr>
          <w:sz w:val="20"/>
          <w:szCs w:val="20"/>
          <w:color w:val="auto"/>
        </w:rPr>
      </w:pPr>
    </w:p>
    <w:p>
      <w:pPr>
        <w:ind w:left="220" w:hanging="212"/>
        <w:spacing w:after="0"/>
        <w:tabs>
          <w:tab w:leader="none" w:pos="220" w:val="left"/>
        </w:tabs>
        <w:numPr>
          <w:ilvl w:val="0"/>
          <w:numId w:val="6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hereto.</w:t>
      </w:r>
    </w:p>
    <w:p>
      <w:pPr>
        <w:spacing w:after="0" w:line="182" w:lineRule="exact"/>
        <w:rPr>
          <w:sz w:val="20"/>
          <w:szCs w:val="20"/>
          <w:color w:val="auto"/>
        </w:rPr>
      </w:pPr>
    </w:p>
    <w:p>
      <w:pPr>
        <w:ind w:left="1940" w:hanging="435"/>
        <w:spacing w:after="0"/>
        <w:tabs>
          <w:tab w:leader="none" w:pos="19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1015"/>
        <w:spacing w:after="0" w:line="249" w:lineRule="exact"/>
        <w:tabs>
          <w:tab w:leader="none" w:pos="221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paragraph (v) below, the Secured Notes of each Class sold to Qualified Purchasers that are not U.S. Persons outside the United States in reliance on Regulation S shall each be issued initially in the form of one permanent global note per Class (or Temporary Regulation S Global Notes) in definitive, fully registered form without interest coupons substantially in the applicable form attached as </w:t>
      </w:r>
      <w:r>
        <w:rPr>
          <w:rFonts w:ascii="Times New Roman" w:cs="Times New Roman" w:eastAsia="Times New Roman" w:hAnsi="Times New Roman"/>
          <w:sz w:val="22"/>
          <w:szCs w:val="22"/>
          <w:u w:val="single" w:color="auto"/>
          <w:color w:val="auto"/>
        </w:rPr>
        <w:t>Exhibit A</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 xml:space="preserve"> hereto (each, in the case of the Secured Notes, a "</w:t>
      </w:r>
      <w:r>
        <w:rPr>
          <w:rFonts w:ascii="Times New Roman" w:cs="Times New Roman" w:eastAsia="Times New Roman" w:hAnsi="Times New Roman"/>
          <w:sz w:val="22"/>
          <w:szCs w:val="22"/>
          <w:u w:val="single" w:color="auto"/>
          <w:color w:val="auto"/>
        </w:rPr>
        <w:t>Temporary Regulation S Global Note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Regulation S Global Secured Note</w:t>
      </w:r>
      <w:r>
        <w:rPr>
          <w:rFonts w:ascii="Times New Roman" w:cs="Times New Roman" w:eastAsia="Times New Roman" w:hAnsi="Times New Roman"/>
          <w:sz w:val="22"/>
          <w:szCs w:val="22"/>
          <w:color w:val="auto"/>
        </w:rPr>
        <w:t>", as applicable), and shall be deposited on behalf of the subscribers for such Notes represented thereby with the Collateral Trustee as custodian for, and registered in the name of a nominee of, DTC for the respective accounts of Euroclear and Clearstream, duly executed by the Issuer and authenticated by the Collateral</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85" w:lineRule="exact"/>
        <w:rPr>
          <w:sz w:val="20"/>
          <w:szCs w:val="20"/>
          <w:color w:val="auto"/>
        </w:rPr>
      </w:pPr>
    </w:p>
    <w:p>
      <w:pPr>
        <w:jc w:val="both"/>
        <w:ind w:left="760"/>
        <w:spacing w:after="0" w:line="234" w:lineRule="auto"/>
        <w:rPr>
          <w:sz w:val="20"/>
          <w:szCs w:val="20"/>
          <w:color w:val="auto"/>
        </w:rPr>
      </w:pPr>
      <w:r>
        <w:rPr>
          <w:rFonts w:ascii="Times New Roman" w:cs="Times New Roman" w:eastAsia="Times New Roman" w:hAnsi="Times New Roman"/>
          <w:sz w:val="22"/>
          <w:szCs w:val="22"/>
          <w:color w:val="auto"/>
        </w:rPr>
        <w:t>Trustee or the Authenticating Agent as hereinafter provided. On or after the 40th day after the later of the Closing Date and the commencement of the offering of the Notes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interests in Temporary Regulation S Global Notes will be exchangeable for interests in a permanent Regulation S Global Note of the same class upon certification that the beneficial interests in such Temporary Regulation S Global Notes are owned by Qualified Purchasers that are not "U.S. persons." A beneficial interest in a Temporary Regulation S Global Note will not be transferable to a Person that takes delivery in the form of an interest in a Rule 144A Global Note or a U.S. person that takes delivery of a Certificated Note during the Restricted Period. Upon the exchange of Temporary Regulation S Global Notes for permanent Regulation S Global Secured Notes, such Regulation S Global Secured Note will be deposited on behalf of the subscribers for such Notes with the Collateral Trustee as custodian for DTC and registered in the name of a nominee of DTC for the respective accounts of Euroclear and Clearstream.</w:t>
      </w:r>
    </w:p>
    <w:p>
      <w:pPr>
        <w:spacing w:after="0" w:line="179" w:lineRule="exact"/>
        <w:rPr>
          <w:sz w:val="20"/>
          <w:szCs w:val="20"/>
          <w:color w:val="auto"/>
        </w:rPr>
      </w:pPr>
    </w:p>
    <w:p>
      <w:pPr>
        <w:jc w:val="both"/>
        <w:ind w:left="760" w:firstLine="1015"/>
        <w:spacing w:after="0" w:line="249" w:lineRule="exact"/>
        <w:tabs>
          <w:tab w:leader="none" w:pos="221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paragraphs (iv) and (v) below, the Notes of each Class sold to U.S. Persons that are QIB/QPs shall each be issued initially in the form of one permanent global note per Class in definitive, fully registered form without interest coupons substantially in the applicable form attached as </w:t>
      </w:r>
      <w:r>
        <w:rPr>
          <w:rFonts w:ascii="Times New Roman" w:cs="Times New Roman" w:eastAsia="Times New Roman" w:hAnsi="Times New Roman"/>
          <w:sz w:val="22"/>
          <w:szCs w:val="22"/>
          <w:u w:val="single" w:color="auto"/>
          <w:color w:val="auto"/>
        </w:rPr>
        <w:t>Exhibit A</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 xml:space="preserve"> hereto (in the case of the Secured Notes each, a "</w:t>
      </w:r>
      <w:r>
        <w:rPr>
          <w:rFonts w:ascii="Times New Roman" w:cs="Times New Roman" w:eastAsia="Times New Roman" w:hAnsi="Times New Roman"/>
          <w:sz w:val="22"/>
          <w:szCs w:val="22"/>
          <w:u w:val="single" w:color="auto"/>
          <w:color w:val="auto"/>
        </w:rPr>
        <w:t>Rule 144A Global Secured Note</w:t>
      </w:r>
      <w:r>
        <w:rPr>
          <w:rFonts w:ascii="Times New Roman" w:cs="Times New Roman" w:eastAsia="Times New Roman" w:hAnsi="Times New Roman"/>
          <w:sz w:val="22"/>
          <w:szCs w:val="22"/>
          <w:color w:val="auto"/>
        </w:rPr>
        <w:t>" or in the case of the Subordinated Notes, a "</w:t>
      </w:r>
      <w:r>
        <w:rPr>
          <w:rFonts w:ascii="Times New Roman" w:cs="Times New Roman" w:eastAsia="Times New Roman" w:hAnsi="Times New Roman"/>
          <w:sz w:val="22"/>
          <w:szCs w:val="22"/>
          <w:u w:val="single" w:color="auto"/>
          <w:color w:val="auto"/>
        </w:rPr>
        <w:t>Rule 144A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Global Subordinated Note</w:t>
      </w:r>
      <w:r>
        <w:rPr>
          <w:rFonts w:ascii="Times New Roman" w:cs="Times New Roman" w:eastAsia="Times New Roman" w:hAnsi="Times New Roman"/>
          <w:sz w:val="22"/>
          <w:szCs w:val="22"/>
          <w:color w:val="auto"/>
        </w:rPr>
        <w:t>" and, together with the Rule 144A Global Secured Notes, the "</w:t>
      </w:r>
      <w:r>
        <w:rPr>
          <w:rFonts w:ascii="Times New Roman" w:cs="Times New Roman" w:eastAsia="Times New Roman" w:hAnsi="Times New Roman"/>
          <w:sz w:val="22"/>
          <w:szCs w:val="22"/>
          <w:u w:val="single" w:color="auto"/>
          <w:color w:val="auto"/>
        </w:rPr>
        <w:t>Rule 144A Global Notes</w:t>
      </w:r>
      <w:r>
        <w:rPr>
          <w:rFonts w:ascii="Times New Roman" w:cs="Times New Roman" w:eastAsia="Times New Roman" w:hAnsi="Times New Roman"/>
          <w:sz w:val="22"/>
          <w:szCs w:val="22"/>
          <w:color w:val="auto"/>
        </w:rPr>
        <w:t>") and shall be deposited on behalf of the subscribers for such Notes represented thereby with the Collateral Trustee as custodian for, and registered in the name of Cede &amp; Co., a nominee of, DTC, duly executed by the Issuer and authenticated by the Collateral Trustee or the Authenticating Agent as hereinafter provided.</w:t>
      </w:r>
    </w:p>
    <w:p>
      <w:pPr>
        <w:spacing w:after="0" w:line="183" w:lineRule="exact"/>
        <w:rPr>
          <w:rFonts w:ascii="Times New Roman" w:cs="Times New Roman" w:eastAsia="Times New Roman" w:hAnsi="Times New Roman"/>
          <w:sz w:val="22"/>
          <w:szCs w:val="22"/>
          <w:color w:val="auto"/>
        </w:rPr>
      </w:pPr>
    </w:p>
    <w:p>
      <w:pPr>
        <w:jc w:val="both"/>
        <w:ind w:left="760" w:firstLine="1015"/>
        <w:spacing w:after="0" w:line="254" w:lineRule="exact"/>
        <w:tabs>
          <w:tab w:leader="none" w:pos="221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Notes of each Class sold to U.S. Persons that are IAI/QPs shall each be issued in the form of one or more definitive, fully registered notes, without interest coupons substantially in the applicable form attached as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1"/>
          <w:szCs w:val="21"/>
          <w:color w:val="auto"/>
        </w:rPr>
        <w:t xml:space="preserve"> hereto (in the case of Secured Notes, each a "</w:t>
      </w:r>
      <w:r>
        <w:rPr>
          <w:rFonts w:ascii="Times New Roman" w:cs="Times New Roman" w:eastAsia="Times New Roman" w:hAnsi="Times New Roman"/>
          <w:sz w:val="21"/>
          <w:szCs w:val="21"/>
          <w:u w:val="single" w:color="auto"/>
          <w:color w:val="auto"/>
        </w:rPr>
        <w:t>Certificated Secured Note,</w:t>
      </w:r>
      <w:r>
        <w:rPr>
          <w:rFonts w:ascii="Times New Roman" w:cs="Times New Roman" w:eastAsia="Times New Roman" w:hAnsi="Times New Roman"/>
          <w:sz w:val="21"/>
          <w:szCs w:val="21"/>
          <w:color w:val="auto"/>
        </w:rPr>
        <w:t>" or in the case of Subordinated Notes, a "</w:t>
      </w:r>
      <w:r>
        <w:rPr>
          <w:rFonts w:ascii="Times New Roman" w:cs="Times New Roman" w:eastAsia="Times New Roman" w:hAnsi="Times New Roman"/>
          <w:sz w:val="21"/>
          <w:szCs w:val="21"/>
          <w:u w:val="single" w:color="auto"/>
          <w:color w:val="auto"/>
        </w:rPr>
        <w:t>Certificated Subordinated Note</w:t>
      </w:r>
      <w:r>
        <w:rPr>
          <w:rFonts w:ascii="Times New Roman" w:cs="Times New Roman" w:eastAsia="Times New Roman" w:hAnsi="Times New Roman"/>
          <w:sz w:val="21"/>
          <w:szCs w:val="21"/>
          <w:color w:val="auto"/>
        </w:rPr>
        <w:t>") and shall be registered in the name of the beneficial owner or a nominee thereof, duly executed by the Issuer and authenticated by the Collateral Trustee or Authenticating Agent as hereinafter provided.</w:t>
      </w:r>
    </w:p>
    <w:p>
      <w:pPr>
        <w:spacing w:after="0" w:line="176" w:lineRule="exact"/>
        <w:rPr>
          <w:rFonts w:ascii="Times New Roman" w:cs="Times New Roman" w:eastAsia="Times New Roman" w:hAnsi="Times New Roman"/>
          <w:sz w:val="21"/>
          <w:szCs w:val="21"/>
          <w:color w:val="auto"/>
        </w:rPr>
      </w:pPr>
    </w:p>
    <w:p>
      <w:pPr>
        <w:jc w:val="both"/>
        <w:ind w:left="760" w:firstLine="1015"/>
        <w:spacing w:after="0" w:line="239" w:lineRule="auto"/>
        <w:tabs>
          <w:tab w:leader="none" w:pos="221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of each Class sold to Persons that are QIB/QPs, at the request of such Person at the time of acquisition, purported acquisition or proposed acquisition, shall be issued in the form of Certificated Notes and shall be registered in the name of the beneficial owner or a nominee thereof, duly executed by the Issuer and authenticated by the Collateral Trustee or Authenticating Agent as hereinafter provided.</w:t>
      </w:r>
    </w:p>
    <w:p>
      <w:pPr>
        <w:spacing w:after="0" w:line="180"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beneficial interest in a Subordinated Note may not be sold or transferred to purchasers that have represented that they are (i) not a U.S. Person acquiring such Note outside the United States in reliance on Regulation S or (ii) Benefit Plan Investors.</w:t>
      </w:r>
    </w:p>
    <w:p>
      <w:pPr>
        <w:spacing w:after="0" w:line="173"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85" w:lineRule="exact"/>
        <w:rPr>
          <w:sz w:val="20"/>
          <w:szCs w:val="20"/>
          <w:color w:val="auto"/>
        </w:rPr>
      </w:pPr>
    </w:p>
    <w:p>
      <w:pPr>
        <w:jc w:val="both"/>
        <w:ind w:left="760" w:firstLine="1015"/>
        <w:spacing w:after="0" w:line="244" w:lineRule="auto"/>
        <w:tabs>
          <w:tab w:leader="none" w:pos="221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the Regulation S Global Secured Notes and the Rule 144A Global Notes may from time to time be increased or decreased by adjustments made on the records of the Collateral Trustee or DTC or its nominee, as the case may be, as hereinafter provided.</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Book Entry Provisions</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2.2(c)</w:t>
      </w:r>
      <w:r>
        <w:rPr>
          <w:rFonts w:ascii="Times New Roman" w:cs="Times New Roman" w:eastAsia="Times New Roman" w:hAnsi="Times New Roman"/>
          <w:sz w:val="21"/>
          <w:szCs w:val="21"/>
          <w:color w:val="auto"/>
        </w:rPr>
        <w:t xml:space="preserve"> shall apply only to Global Notes deposited with or on behalf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DTC.</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The provisions of the "Operating Procedures of the Euroclear System" of Euroclear and the "Terms and Conditions Governing Use of Participants" of Clearstream, respectively, will be applicable to the Global Notes insofar as interests in such Global Notes are held by the Agent Members of Euroclear or Clearstream, as the case may be.</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Agent Members shall have no rights under this Indenture with respect to any Global Notes held on their behalf by the Collateral Trustee, as custodian for DTC, and DTC may be treated by the Issuer, the Collateral Trustee, and any agent of the Issuer or the Collateral Trustee as the absolute owner of such Global Note for all payment purposes whatsoever, and for all other purposes except as provided in </w:t>
      </w:r>
      <w:r>
        <w:rPr>
          <w:rFonts w:ascii="Times New Roman" w:cs="Times New Roman" w:eastAsia="Times New Roman" w:hAnsi="Times New Roman"/>
          <w:sz w:val="22"/>
          <w:szCs w:val="22"/>
          <w:u w:val="single" w:color="auto"/>
          <w:color w:val="auto"/>
        </w:rPr>
        <w:t>Section 14.2(e)</w:t>
      </w:r>
      <w:r>
        <w:rPr>
          <w:rFonts w:ascii="Times New Roman" w:cs="Times New Roman" w:eastAsia="Times New Roman" w:hAnsi="Times New Roman"/>
          <w:sz w:val="22"/>
          <w:szCs w:val="22"/>
          <w:color w:val="auto"/>
        </w:rPr>
        <w:t>. Notwithstanding the foregoing, nothing herein shall prevent the Issuer, the Collateral Trustee, or any agent of the Issuer or the Collateral Trustee from giving effect to any written certification, proxy or other authorization furnished by DTC, or impair, as between DTC and its Agent Members, the operation of customary practices governing the exercise of the rights of a Holder of any Global Note.</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2.3 Authorized Amount; Stated Maturity; Denominations</w:t>
      </w:r>
      <w:r>
        <w:rPr>
          <w:rFonts w:ascii="Times New Roman" w:cs="Times New Roman" w:eastAsia="Times New Roman" w:hAnsi="Times New Roman"/>
          <w:sz w:val="22"/>
          <w:szCs w:val="22"/>
          <w:color w:val="auto"/>
        </w:rPr>
        <w:t xml:space="preserve">. The aggregate principal amount of Notes that may be authenticated and delivered under this Indenture, together with any Class A-1 Loans that may be incurred pursuant to the Credit Agreements, is limited to U.S.$474,600,000 (except for (i) Notes authenticated and delivered upon registration of transfer of, or in exchange for, or in lieu of, other Notes pursuant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of this Indenture and (ii) additional securities issued in accordance with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3.2</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The Class A-1 Loans and the Notes shall be divided into the Classes, having the designations, original principal amounts and other characteristics as follows:</w:t>
      </w:r>
    </w:p>
    <w:p>
      <w:pPr>
        <w:spacing w:after="0" w:line="1"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92" w:name="page93"/>
    <w:bookmarkEnd w:id="92"/>
    <w:tbl>
      <w:tblPr>
        <w:tblLayout w:type="fixed"/>
        <w:tblInd w:w="580" w:type="dxa"/>
        <w:tblCellMar>
          <w:top w:w="0" w:type="dxa"/>
          <w:left w:w="0" w:type="dxa"/>
          <w:bottom w:w="0" w:type="dxa"/>
          <w:right w:w="0" w:type="dxa"/>
        </w:tblCellMar>
      </w:tblPr>
      <w:tr>
        <w:trPr>
          <w:trHeight w:val="172"/>
        </w:trPr>
        <w:tc>
          <w:tcPr>
            <w:tcW w:w="1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Class</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Class A-1L-A</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Class A-1L-B</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Class A-1</w:t>
            </w:r>
          </w:p>
        </w:tc>
        <w:tc>
          <w:tcPr>
            <w:tcW w:w="1180" w:type="dxa"/>
            <w:vAlign w:val="bottom"/>
            <w:gridSpan w:val="3"/>
          </w:tcPr>
          <w:p>
            <w:pPr>
              <w:ind w:left="200"/>
              <w:spacing w:after="0"/>
              <w:rPr>
                <w:sz w:val="20"/>
                <w:szCs w:val="20"/>
                <w:color w:val="auto"/>
              </w:rPr>
            </w:pPr>
            <w:r>
              <w:rPr>
                <w:rFonts w:ascii="Times New Roman" w:cs="Times New Roman" w:eastAsia="Times New Roman" w:hAnsi="Times New Roman"/>
                <w:sz w:val="15"/>
                <w:szCs w:val="15"/>
                <w:b w:val="1"/>
                <w:bCs w:val="1"/>
                <w:color w:val="auto"/>
              </w:rPr>
              <w:t>Class A-2</w:t>
            </w: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gridSpan w:val="2"/>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rPr>
              <w:t>Subordinated</w:t>
            </w:r>
          </w:p>
        </w:tc>
        <w:tc>
          <w:tcPr>
            <w:tcW w:w="0" w:type="dxa"/>
            <w:vAlign w:val="bottom"/>
          </w:tcPr>
          <w:p>
            <w:pPr>
              <w:spacing w:after="0"/>
              <w:rPr>
                <w:sz w:val="1"/>
                <w:szCs w:val="1"/>
                <w:color w:val="auto"/>
              </w:rPr>
            </w:pPr>
          </w:p>
        </w:tc>
      </w:tr>
      <w:tr>
        <w:trPr>
          <w:trHeight w:val="197"/>
        </w:trPr>
        <w:tc>
          <w:tcPr>
            <w:tcW w:w="1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Designation</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Loans</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Loans</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Notes</w:t>
            </w:r>
          </w:p>
        </w:tc>
        <w:tc>
          <w:tcPr>
            <w:tcW w:w="1180" w:type="dxa"/>
            <w:vAlign w:val="bottom"/>
            <w:gridSpan w:val="3"/>
          </w:tcPr>
          <w:p>
            <w:pPr>
              <w:ind w:left="200"/>
              <w:spacing w:after="0"/>
              <w:rPr>
                <w:sz w:val="20"/>
                <w:szCs w:val="20"/>
                <w:color w:val="auto"/>
              </w:rPr>
            </w:pPr>
            <w:r>
              <w:rPr>
                <w:rFonts w:ascii="Times New Roman" w:cs="Times New Roman" w:eastAsia="Times New Roman" w:hAnsi="Times New Roman"/>
                <w:sz w:val="15"/>
                <w:szCs w:val="15"/>
                <w:b w:val="1"/>
                <w:bCs w:val="1"/>
                <w:color w:val="auto"/>
              </w:rPr>
              <w:t>Notes</w:t>
            </w: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Notes</w:t>
            </w:r>
          </w:p>
        </w:tc>
        <w:tc>
          <w:tcPr>
            <w:tcW w:w="80" w:type="dxa"/>
            <w:vAlign w:val="bottom"/>
          </w:tcPr>
          <w:p>
            <w:pPr>
              <w:spacing w:after="0"/>
              <w:rPr>
                <w:sz w:val="17"/>
                <w:szCs w:val="17"/>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Class C Notes</w:t>
            </w:r>
          </w:p>
        </w:tc>
        <w:tc>
          <w:tcPr>
            <w:tcW w:w="120" w:type="dxa"/>
            <w:vAlign w:val="bottom"/>
          </w:tcPr>
          <w:p>
            <w:pPr>
              <w:spacing w:after="0"/>
              <w:rPr>
                <w:sz w:val="17"/>
                <w:szCs w:val="17"/>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Class D Notes</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Notes</w:t>
            </w:r>
          </w:p>
        </w:tc>
        <w:tc>
          <w:tcPr>
            <w:tcW w:w="0" w:type="dxa"/>
            <w:vAlign w:val="bottom"/>
          </w:tcPr>
          <w:p>
            <w:pPr>
              <w:spacing w:after="0"/>
              <w:rPr>
                <w:sz w:val="1"/>
                <w:szCs w:val="1"/>
                <w:color w:val="auto"/>
              </w:rPr>
            </w:pPr>
          </w:p>
        </w:tc>
      </w:tr>
      <w:tr>
        <w:trPr>
          <w:trHeight w:val="128"/>
        </w:trPr>
        <w:tc>
          <w:tcPr>
            <w:tcW w:w="10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Original</w:t>
            </w:r>
          </w:p>
        </w:tc>
        <w:tc>
          <w:tcPr>
            <w:tcW w:w="160" w:type="dxa"/>
            <w:vAlign w:val="bottom"/>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U.S.$10,000,00</w:t>
            </w:r>
          </w:p>
        </w:tc>
        <w:tc>
          <w:tcPr>
            <w:tcW w:w="220" w:type="dxa"/>
            <w:vAlign w:val="bottom"/>
          </w:tcPr>
          <w:p>
            <w:pPr>
              <w:spacing w:after="0"/>
              <w:rPr>
                <w:sz w:val="11"/>
                <w:szCs w:val="11"/>
                <w:color w:val="auto"/>
              </w:rPr>
            </w:pPr>
          </w:p>
        </w:tc>
        <w:tc>
          <w:tcPr>
            <w:tcW w:w="9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U.S.$45,000,00</w:t>
            </w:r>
          </w:p>
        </w:tc>
        <w:tc>
          <w:tcPr>
            <w:tcW w:w="200" w:type="dxa"/>
            <w:vAlign w:val="bottom"/>
          </w:tcPr>
          <w:p>
            <w:pPr>
              <w:spacing w:after="0"/>
              <w:rPr>
                <w:sz w:val="11"/>
                <w:szCs w:val="11"/>
                <w:color w:val="auto"/>
              </w:rPr>
            </w:pPr>
          </w:p>
        </w:tc>
        <w:tc>
          <w:tcPr>
            <w:tcW w:w="98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U.S.$220,500,0</w:t>
            </w:r>
          </w:p>
        </w:tc>
        <w:tc>
          <w:tcPr>
            <w:tcW w:w="200" w:type="dxa"/>
            <w:vAlign w:val="bottom"/>
          </w:tcPr>
          <w:p>
            <w:pPr>
              <w:spacing w:after="0"/>
              <w:rPr>
                <w:sz w:val="11"/>
                <w:szCs w:val="11"/>
                <w:color w:val="auto"/>
              </w:rPr>
            </w:pPr>
          </w:p>
        </w:tc>
        <w:tc>
          <w:tcPr>
            <w:tcW w:w="8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U.S.$19,000,0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U.S.$28,500,0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U.S.$38,000,00</w:t>
            </w:r>
          </w:p>
        </w:tc>
        <w:tc>
          <w:tcPr>
            <w:tcW w:w="120" w:type="dxa"/>
            <w:vAlign w:val="bottom"/>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U.S.$28,500,00</w:t>
            </w:r>
          </w:p>
        </w:tc>
        <w:tc>
          <w:tcPr>
            <w:tcW w:w="16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U.S.$85,100,0</w:t>
            </w:r>
          </w:p>
        </w:tc>
        <w:tc>
          <w:tcPr>
            <w:tcW w:w="0" w:type="dxa"/>
            <w:vAlign w:val="bottom"/>
          </w:tcPr>
          <w:p>
            <w:pPr>
              <w:spacing w:after="0"/>
              <w:rPr>
                <w:sz w:val="1"/>
                <w:szCs w:val="1"/>
                <w:color w:val="auto"/>
              </w:rPr>
            </w:pPr>
          </w:p>
        </w:tc>
      </w:tr>
      <w:tr>
        <w:trPr>
          <w:trHeight w:val="162"/>
        </w:trPr>
        <w:tc>
          <w:tcPr>
            <w:tcW w:w="10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Principal</w:t>
            </w:r>
          </w:p>
        </w:tc>
        <w:tc>
          <w:tcPr>
            <w:tcW w:w="1160" w:type="dxa"/>
            <w:vAlign w:val="bottom"/>
            <w:gridSpan w:val="2"/>
          </w:tcPr>
          <w:p>
            <w:pPr>
              <w:jc w:val="right"/>
              <w:ind w:right="384"/>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200" w:type="dxa"/>
            <w:vAlign w:val="bottom"/>
            <w:gridSpan w:val="2"/>
          </w:tcPr>
          <w:p>
            <w:pPr>
              <w:jc w:val="right"/>
              <w:ind w:right="384"/>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180" w:type="dxa"/>
            <w:vAlign w:val="bottom"/>
            <w:gridSpan w:val="2"/>
          </w:tcPr>
          <w:p>
            <w:pPr>
              <w:jc w:val="center"/>
              <w:ind w:right="284"/>
              <w:spacing w:after="0" w:line="162" w:lineRule="exact"/>
              <w:rPr>
                <w:sz w:val="20"/>
                <w:szCs w:val="20"/>
                <w:color w:val="auto"/>
              </w:rPr>
            </w:pPr>
            <w:r>
              <w:rPr>
                <w:rFonts w:ascii="Times New Roman" w:cs="Times New Roman" w:eastAsia="Times New Roman" w:hAnsi="Times New Roman"/>
                <w:sz w:val="14"/>
                <w:szCs w:val="14"/>
                <w:color w:val="auto"/>
              </w:rPr>
              <w:t>00</w:t>
            </w:r>
            <w:r>
              <w:rPr>
                <w:rFonts w:ascii="Times New Roman" w:cs="Times New Roman" w:eastAsia="Times New Roman" w:hAnsi="Times New Roman"/>
                <w:sz w:val="18"/>
                <w:szCs w:val="18"/>
                <w:color w:val="auto"/>
                <w:vertAlign w:val="superscript"/>
              </w:rPr>
              <w:t>4</w:t>
            </w:r>
          </w:p>
        </w:tc>
        <w:tc>
          <w:tcPr>
            <w:tcW w:w="1080" w:type="dxa"/>
            <w:vAlign w:val="bottom"/>
            <w:gridSpan w:val="2"/>
          </w:tcPr>
          <w:p>
            <w:pPr>
              <w:jc w:val="right"/>
              <w:ind w:right="284"/>
              <w:spacing w:after="0" w:line="162" w:lineRule="exact"/>
              <w:rPr>
                <w:sz w:val="20"/>
                <w:szCs w:val="20"/>
                <w:color w:val="auto"/>
              </w:rPr>
            </w:pPr>
            <w:r>
              <w:rPr>
                <w:rFonts w:ascii="Times New Roman" w:cs="Times New Roman" w:eastAsia="Times New Roman" w:hAnsi="Times New Roman"/>
                <w:sz w:val="15"/>
                <w:szCs w:val="15"/>
                <w:color w:val="auto"/>
              </w:rPr>
              <w:t>00</w:t>
            </w:r>
          </w:p>
        </w:tc>
        <w:tc>
          <w:tcPr>
            <w:tcW w:w="100" w:type="dxa"/>
            <w:vAlign w:val="bottom"/>
          </w:tcPr>
          <w:p>
            <w:pPr>
              <w:spacing w:after="0"/>
              <w:rPr>
                <w:sz w:val="14"/>
                <w:szCs w:val="14"/>
                <w:color w:val="auto"/>
              </w:rPr>
            </w:pPr>
          </w:p>
        </w:tc>
        <w:tc>
          <w:tcPr>
            <w:tcW w:w="980" w:type="dxa"/>
            <w:vAlign w:val="bottom"/>
            <w:gridSpan w:val="2"/>
          </w:tcPr>
          <w:p>
            <w:pPr>
              <w:jc w:val="right"/>
              <w:ind w:right="284"/>
              <w:spacing w:after="0" w:line="162" w:lineRule="exact"/>
              <w:rPr>
                <w:sz w:val="20"/>
                <w:szCs w:val="20"/>
                <w:color w:val="auto"/>
              </w:rPr>
            </w:pPr>
            <w:r>
              <w:rPr>
                <w:rFonts w:ascii="Times New Roman" w:cs="Times New Roman" w:eastAsia="Times New Roman" w:hAnsi="Times New Roman"/>
                <w:sz w:val="15"/>
                <w:szCs w:val="15"/>
                <w:color w:val="auto"/>
              </w:rPr>
              <w:t>00</w:t>
            </w:r>
          </w:p>
        </w:tc>
        <w:tc>
          <w:tcPr>
            <w:tcW w:w="80" w:type="dxa"/>
            <w:vAlign w:val="bottom"/>
          </w:tcPr>
          <w:p>
            <w:pPr>
              <w:spacing w:after="0"/>
              <w:rPr>
                <w:sz w:val="14"/>
                <w:szCs w:val="14"/>
                <w:color w:val="auto"/>
              </w:rPr>
            </w:pPr>
          </w:p>
        </w:tc>
        <w:tc>
          <w:tcPr>
            <w:tcW w:w="1080" w:type="dxa"/>
            <w:vAlign w:val="bottom"/>
            <w:gridSpan w:val="2"/>
          </w:tcPr>
          <w:p>
            <w:pPr>
              <w:jc w:val="right"/>
              <w:ind w:right="384"/>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120" w:type="dxa"/>
            <w:vAlign w:val="bottom"/>
            <w:gridSpan w:val="2"/>
          </w:tcPr>
          <w:p>
            <w:pPr>
              <w:jc w:val="right"/>
              <w:ind w:right="384"/>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80" w:type="dxa"/>
            <w:vAlign w:val="bottom"/>
            <w:gridSpan w:val="2"/>
          </w:tcPr>
          <w:p>
            <w:pPr>
              <w:jc w:val="center"/>
              <w:ind w:left="84"/>
              <w:spacing w:after="0" w:line="162" w:lineRule="exact"/>
              <w:rPr>
                <w:sz w:val="20"/>
                <w:szCs w:val="20"/>
                <w:color w:val="auto"/>
              </w:rPr>
            </w:pPr>
            <w:r>
              <w:rPr>
                <w:rFonts w:ascii="Times New Roman" w:cs="Times New Roman" w:eastAsia="Times New Roman" w:hAnsi="Times New Roman"/>
                <w:sz w:val="15"/>
                <w:szCs w:val="15"/>
                <w:color w:val="auto"/>
              </w:rPr>
              <w:t>00</w:t>
            </w:r>
          </w:p>
        </w:tc>
        <w:tc>
          <w:tcPr>
            <w:tcW w:w="0" w:type="dxa"/>
            <w:vAlign w:val="bottom"/>
          </w:tcPr>
          <w:p>
            <w:pPr>
              <w:spacing w:after="0"/>
              <w:rPr>
                <w:sz w:val="1"/>
                <w:szCs w:val="1"/>
                <w:color w:val="auto"/>
              </w:rPr>
            </w:pPr>
          </w:p>
        </w:tc>
      </w:tr>
      <w:tr>
        <w:trPr>
          <w:trHeight w:val="172"/>
        </w:trPr>
        <w:tc>
          <w:tcPr>
            <w:tcW w:w="1000" w:type="dxa"/>
            <w:vAlign w:val="bottom"/>
          </w:tcPr>
          <w:p>
            <w:pPr>
              <w:spacing w:after="0" w:line="172" w:lineRule="exact"/>
              <w:rPr>
                <w:sz w:val="20"/>
                <w:szCs w:val="20"/>
                <w:color w:val="auto"/>
              </w:rPr>
            </w:pPr>
            <w:r>
              <w:rPr>
                <w:rFonts w:ascii="Times New Roman" w:cs="Times New Roman" w:eastAsia="Times New Roman" w:hAnsi="Times New Roman"/>
                <w:sz w:val="15"/>
                <w:szCs w:val="15"/>
                <w:color w:val="auto"/>
              </w:rPr>
              <w:t>Amount</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Stated Maturity</w:t>
            </w:r>
          </w:p>
        </w:tc>
        <w:tc>
          <w:tcPr>
            <w:tcW w:w="16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Payment Date</w:t>
            </w:r>
          </w:p>
        </w:tc>
        <w:tc>
          <w:tcPr>
            <w:tcW w:w="22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Payment Date</w:t>
            </w:r>
          </w:p>
        </w:tc>
        <w:tc>
          <w:tcPr>
            <w:tcW w:w="20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Payment Date</w:t>
            </w:r>
          </w:p>
        </w:tc>
        <w:tc>
          <w:tcPr>
            <w:tcW w:w="1180" w:type="dxa"/>
            <w:vAlign w:val="bottom"/>
            <w:gridSpan w:val="3"/>
          </w:tcPr>
          <w:p>
            <w:pPr>
              <w:ind w:left="200"/>
              <w:spacing w:after="0" w:line="162" w:lineRule="exact"/>
              <w:rPr>
                <w:sz w:val="20"/>
                <w:szCs w:val="20"/>
                <w:color w:val="auto"/>
              </w:rPr>
            </w:pPr>
            <w:r>
              <w:rPr>
                <w:rFonts w:ascii="Times New Roman" w:cs="Times New Roman" w:eastAsia="Times New Roman" w:hAnsi="Times New Roman"/>
                <w:sz w:val="15"/>
                <w:szCs w:val="15"/>
                <w:color w:val="auto"/>
              </w:rPr>
              <w:t>Payment Date</w:t>
            </w:r>
          </w:p>
        </w:tc>
        <w:tc>
          <w:tcPr>
            <w:tcW w:w="1060" w:type="dxa"/>
            <w:vAlign w:val="bottom"/>
            <w:gridSpan w:val="3"/>
          </w:tcPr>
          <w:p>
            <w:pPr>
              <w:ind w:left="100"/>
              <w:spacing w:after="0" w:line="162" w:lineRule="exact"/>
              <w:rPr>
                <w:sz w:val="20"/>
                <w:szCs w:val="20"/>
                <w:color w:val="auto"/>
              </w:rPr>
            </w:pPr>
            <w:r>
              <w:rPr>
                <w:rFonts w:ascii="Times New Roman" w:cs="Times New Roman" w:eastAsia="Times New Roman" w:hAnsi="Times New Roman"/>
                <w:sz w:val="15"/>
                <w:szCs w:val="15"/>
                <w:color w:val="auto"/>
              </w:rPr>
              <w:t>Payment Date</w:t>
            </w:r>
          </w:p>
        </w:tc>
        <w:tc>
          <w:tcPr>
            <w:tcW w:w="10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color w:val="auto"/>
              </w:rPr>
              <w:t>Payment Date in</w:t>
            </w:r>
          </w:p>
        </w:tc>
        <w:tc>
          <w:tcPr>
            <w:tcW w:w="1120" w:type="dxa"/>
            <w:vAlign w:val="bottom"/>
            <w:gridSpan w:val="2"/>
          </w:tcPr>
          <w:p>
            <w:pPr>
              <w:jc w:val="center"/>
              <w:ind w:left="24"/>
              <w:spacing w:after="0" w:line="162" w:lineRule="exact"/>
              <w:rPr>
                <w:sz w:val="20"/>
                <w:szCs w:val="20"/>
                <w:color w:val="auto"/>
              </w:rPr>
            </w:pPr>
            <w:r>
              <w:rPr>
                <w:rFonts w:ascii="Times New Roman" w:cs="Times New Roman" w:eastAsia="Times New Roman" w:hAnsi="Times New Roman"/>
                <w:sz w:val="15"/>
                <w:szCs w:val="15"/>
                <w:color w:val="auto"/>
              </w:rPr>
              <w:t>Payment Date in</w:t>
            </w:r>
          </w:p>
        </w:tc>
        <w:tc>
          <w:tcPr>
            <w:tcW w:w="16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Payment Date</w:t>
            </w: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in April 2037</w:t>
            </w:r>
          </w:p>
        </w:tc>
        <w:tc>
          <w:tcPr>
            <w:tcW w:w="22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in April 2037</w:t>
            </w:r>
          </w:p>
        </w:tc>
        <w:tc>
          <w:tcPr>
            <w:tcW w:w="20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in April 2037</w:t>
            </w:r>
          </w:p>
        </w:tc>
        <w:tc>
          <w:tcPr>
            <w:tcW w:w="200" w:type="dxa"/>
            <w:vAlign w:val="bottom"/>
          </w:tcPr>
          <w:p>
            <w:pPr>
              <w:spacing w:after="0"/>
              <w:rPr>
                <w:sz w:val="14"/>
                <w:szCs w:val="14"/>
                <w:color w:val="auto"/>
              </w:rPr>
            </w:pPr>
          </w:p>
        </w:tc>
        <w:tc>
          <w:tcPr>
            <w:tcW w:w="9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5"/>
                <w:szCs w:val="15"/>
                <w:color w:val="auto"/>
              </w:rPr>
              <w:t>in April 2037</w:t>
            </w:r>
          </w:p>
        </w:tc>
        <w:tc>
          <w:tcPr>
            <w:tcW w:w="100" w:type="dxa"/>
            <w:vAlign w:val="bottom"/>
          </w:tcPr>
          <w:p>
            <w:pPr>
              <w:spacing w:after="0"/>
              <w:rPr>
                <w:sz w:val="14"/>
                <w:szCs w:val="14"/>
                <w:color w:val="auto"/>
              </w:rPr>
            </w:pPr>
          </w:p>
        </w:tc>
        <w:tc>
          <w:tcPr>
            <w:tcW w:w="96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5"/>
                <w:szCs w:val="15"/>
                <w:color w:val="auto"/>
              </w:rPr>
              <w:t>in April 2037</w:t>
            </w:r>
          </w:p>
        </w:tc>
        <w:tc>
          <w:tcPr>
            <w:tcW w:w="8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April 2037</w:t>
            </w:r>
          </w:p>
        </w:tc>
        <w:tc>
          <w:tcPr>
            <w:tcW w:w="12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April 2037</w:t>
            </w:r>
          </w:p>
        </w:tc>
        <w:tc>
          <w:tcPr>
            <w:tcW w:w="16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in April 2037</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Fixed Rate</w:t>
            </w:r>
          </w:p>
        </w:tc>
        <w:tc>
          <w:tcPr>
            <w:tcW w:w="1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2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20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7"/>
              </w:rPr>
              <w:t>No</w:t>
            </w:r>
          </w:p>
        </w:tc>
        <w:tc>
          <w:tcPr>
            <w:tcW w:w="10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7"/>
              </w:rPr>
              <w:t>No</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No</w:t>
            </w: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Floating Rate</w:t>
            </w:r>
          </w:p>
        </w:tc>
        <w:tc>
          <w:tcPr>
            <w:tcW w:w="16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2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Yes</w:t>
            </w:r>
          </w:p>
        </w:tc>
        <w:tc>
          <w:tcPr>
            <w:tcW w:w="2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Yes</w:t>
            </w:r>
          </w:p>
        </w:tc>
        <w:tc>
          <w:tcPr>
            <w:tcW w:w="200" w:type="dxa"/>
            <w:vAlign w:val="bottom"/>
          </w:tcPr>
          <w:p>
            <w:pPr>
              <w:spacing w:after="0"/>
              <w:rPr>
                <w:sz w:val="22"/>
                <w:szCs w:val="22"/>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Yes</w:t>
            </w:r>
          </w:p>
        </w:tc>
        <w:tc>
          <w:tcPr>
            <w:tcW w:w="100" w:type="dxa"/>
            <w:vAlign w:val="bottom"/>
          </w:tcPr>
          <w:p>
            <w:pPr>
              <w:spacing w:after="0"/>
              <w:rPr>
                <w:sz w:val="22"/>
                <w:szCs w:val="22"/>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Yes</w:t>
            </w:r>
          </w:p>
        </w:tc>
        <w:tc>
          <w:tcPr>
            <w:tcW w:w="8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Yes</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Yes</w:t>
            </w:r>
          </w:p>
        </w:tc>
        <w:tc>
          <w:tcPr>
            <w:tcW w:w="1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Interest Rate:</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Index</w:t>
            </w:r>
          </w:p>
        </w:tc>
        <w:tc>
          <w:tcPr>
            <w:tcW w:w="16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Benchmark</w:t>
            </w:r>
          </w:p>
        </w:tc>
        <w:tc>
          <w:tcPr>
            <w:tcW w:w="2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Benchmark</w:t>
            </w:r>
          </w:p>
        </w:tc>
        <w:tc>
          <w:tcPr>
            <w:tcW w:w="2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Benchmark</w:t>
            </w:r>
          </w:p>
        </w:tc>
        <w:tc>
          <w:tcPr>
            <w:tcW w:w="200" w:type="dxa"/>
            <w:vAlign w:val="bottom"/>
          </w:tcPr>
          <w:p>
            <w:pPr>
              <w:spacing w:after="0"/>
              <w:rPr>
                <w:sz w:val="22"/>
                <w:szCs w:val="2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Benchmark</w:t>
            </w:r>
          </w:p>
        </w:tc>
        <w:tc>
          <w:tcPr>
            <w:tcW w:w="100" w:type="dxa"/>
            <w:vAlign w:val="bottom"/>
          </w:tcPr>
          <w:p>
            <w:pPr>
              <w:spacing w:after="0"/>
              <w:rPr>
                <w:sz w:val="22"/>
                <w:szCs w:val="22"/>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Benchmark</w:t>
            </w:r>
          </w:p>
        </w:tc>
        <w:tc>
          <w:tcPr>
            <w:tcW w:w="8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Benchmark</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Benchmark</w:t>
            </w:r>
          </w:p>
        </w:tc>
        <w:tc>
          <w:tcPr>
            <w:tcW w:w="1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Index Maturity</w:t>
            </w:r>
            <w:r>
              <w:rPr>
                <w:rFonts w:ascii="Times New Roman" w:cs="Times New Roman" w:eastAsia="Times New Roman" w:hAnsi="Times New Roman"/>
                <w:sz w:val="20"/>
                <w:szCs w:val="20"/>
                <w:color w:val="auto"/>
                <w:vertAlign w:val="superscript"/>
              </w:rPr>
              <w:t>2</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 month</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 month</w:t>
            </w:r>
          </w:p>
        </w:tc>
        <w:tc>
          <w:tcPr>
            <w:tcW w:w="2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 month</w:t>
            </w:r>
          </w:p>
        </w:tc>
        <w:tc>
          <w:tcPr>
            <w:tcW w:w="200" w:type="dxa"/>
            <w:vAlign w:val="bottom"/>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3 month</w:t>
            </w:r>
          </w:p>
        </w:tc>
        <w:tc>
          <w:tcPr>
            <w:tcW w:w="100" w:type="dxa"/>
            <w:vAlign w:val="bottom"/>
          </w:tcPr>
          <w:p>
            <w:pPr>
              <w:spacing w:after="0"/>
              <w:rPr>
                <w:sz w:val="24"/>
                <w:szCs w:val="24"/>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3 month</w:t>
            </w:r>
          </w:p>
        </w:tc>
        <w:tc>
          <w:tcPr>
            <w:tcW w:w="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 month</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 month</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57"/>
        </w:trPr>
        <w:tc>
          <w:tcPr>
            <w:tcW w:w="1000" w:type="dxa"/>
            <w:vAlign w:val="bottom"/>
          </w:tcPr>
          <w:p>
            <w:pPr>
              <w:spacing w:after="0" w:line="157" w:lineRule="exact"/>
              <w:rPr>
                <w:sz w:val="20"/>
                <w:szCs w:val="20"/>
                <w:color w:val="auto"/>
              </w:rPr>
            </w:pPr>
            <w:r>
              <w:rPr>
                <w:rFonts w:ascii="Times New Roman" w:cs="Times New Roman" w:eastAsia="Times New Roman" w:hAnsi="Times New Roman"/>
                <w:sz w:val="15"/>
                <w:szCs w:val="15"/>
                <w:color w:val="auto"/>
              </w:rPr>
              <w:t>Spread/Coupon</w:t>
            </w:r>
          </w:p>
        </w:tc>
        <w:tc>
          <w:tcPr>
            <w:tcW w:w="1160" w:type="dxa"/>
            <w:vAlign w:val="bottom"/>
            <w:gridSpan w:val="2"/>
          </w:tcPr>
          <w:p>
            <w:pPr>
              <w:jc w:val="right"/>
              <w:ind w:right="224"/>
              <w:spacing w:after="0" w:line="157" w:lineRule="exact"/>
              <w:rPr>
                <w:sz w:val="20"/>
                <w:szCs w:val="20"/>
                <w:color w:val="auto"/>
              </w:rPr>
            </w:pPr>
            <w:r>
              <w:rPr>
                <w:rFonts w:ascii="Times New Roman" w:cs="Times New Roman" w:eastAsia="Times New Roman" w:hAnsi="Times New Roman"/>
                <w:sz w:val="15"/>
                <w:szCs w:val="15"/>
                <w:color w:val="auto"/>
              </w:rPr>
              <w:t>1.49%</w:t>
            </w:r>
          </w:p>
        </w:tc>
        <w:tc>
          <w:tcPr>
            <w:tcW w:w="1200" w:type="dxa"/>
            <w:vAlign w:val="bottom"/>
            <w:gridSpan w:val="2"/>
          </w:tcPr>
          <w:p>
            <w:pPr>
              <w:jc w:val="right"/>
              <w:ind w:right="224"/>
              <w:spacing w:after="0" w:line="157" w:lineRule="exact"/>
              <w:rPr>
                <w:sz w:val="20"/>
                <w:szCs w:val="20"/>
                <w:color w:val="auto"/>
              </w:rPr>
            </w:pPr>
            <w:r>
              <w:rPr>
                <w:rFonts w:ascii="Times New Roman" w:cs="Times New Roman" w:eastAsia="Times New Roman" w:hAnsi="Times New Roman"/>
                <w:sz w:val="15"/>
                <w:szCs w:val="15"/>
                <w:color w:val="auto"/>
              </w:rPr>
              <w:t>1.49%</w:t>
            </w:r>
          </w:p>
        </w:tc>
        <w:tc>
          <w:tcPr>
            <w:tcW w:w="1180" w:type="dxa"/>
            <w:vAlign w:val="bottom"/>
            <w:gridSpan w:val="2"/>
          </w:tcPr>
          <w:p>
            <w:pPr>
              <w:jc w:val="right"/>
              <w:ind w:right="224"/>
              <w:spacing w:after="0" w:line="157" w:lineRule="exact"/>
              <w:rPr>
                <w:sz w:val="20"/>
                <w:szCs w:val="20"/>
                <w:color w:val="auto"/>
              </w:rPr>
            </w:pPr>
            <w:r>
              <w:rPr>
                <w:rFonts w:ascii="Times New Roman" w:cs="Times New Roman" w:eastAsia="Times New Roman" w:hAnsi="Times New Roman"/>
                <w:sz w:val="15"/>
                <w:szCs w:val="15"/>
                <w:color w:val="auto"/>
              </w:rPr>
              <w:t>1.49%</w:t>
            </w:r>
          </w:p>
        </w:tc>
        <w:tc>
          <w:tcPr>
            <w:tcW w:w="1080" w:type="dxa"/>
            <w:vAlign w:val="bottom"/>
            <w:gridSpan w:val="2"/>
          </w:tcPr>
          <w:p>
            <w:pPr>
              <w:jc w:val="right"/>
              <w:ind w:right="164"/>
              <w:spacing w:after="0" w:line="157" w:lineRule="exact"/>
              <w:rPr>
                <w:sz w:val="20"/>
                <w:szCs w:val="20"/>
                <w:color w:val="auto"/>
              </w:rPr>
            </w:pPr>
            <w:r>
              <w:rPr>
                <w:rFonts w:ascii="Times New Roman" w:cs="Times New Roman" w:eastAsia="Times New Roman" w:hAnsi="Times New Roman"/>
                <w:sz w:val="15"/>
                <w:szCs w:val="15"/>
                <w:color w:val="auto"/>
              </w:rPr>
              <w:t>1.60%</w:t>
            </w:r>
          </w:p>
        </w:tc>
        <w:tc>
          <w:tcPr>
            <w:tcW w:w="100" w:type="dxa"/>
            <w:vAlign w:val="bottom"/>
          </w:tcPr>
          <w:p>
            <w:pPr>
              <w:spacing w:after="0"/>
              <w:rPr>
                <w:sz w:val="13"/>
                <w:szCs w:val="13"/>
                <w:color w:val="auto"/>
              </w:rPr>
            </w:pPr>
          </w:p>
        </w:tc>
        <w:tc>
          <w:tcPr>
            <w:tcW w:w="980" w:type="dxa"/>
            <w:vAlign w:val="bottom"/>
            <w:gridSpan w:val="2"/>
          </w:tcPr>
          <w:p>
            <w:pPr>
              <w:jc w:val="right"/>
              <w:ind w:right="164"/>
              <w:spacing w:after="0" w:line="157" w:lineRule="exact"/>
              <w:rPr>
                <w:sz w:val="20"/>
                <w:szCs w:val="20"/>
                <w:color w:val="auto"/>
              </w:rPr>
            </w:pPr>
            <w:r>
              <w:rPr>
                <w:rFonts w:ascii="Times New Roman" w:cs="Times New Roman" w:eastAsia="Times New Roman" w:hAnsi="Times New Roman"/>
                <w:sz w:val="15"/>
                <w:szCs w:val="15"/>
                <w:color w:val="auto"/>
              </w:rPr>
              <w:t>1.75%</w:t>
            </w:r>
          </w:p>
        </w:tc>
        <w:tc>
          <w:tcPr>
            <w:tcW w:w="80" w:type="dxa"/>
            <w:vAlign w:val="bottom"/>
          </w:tcPr>
          <w:p>
            <w:pPr>
              <w:spacing w:after="0"/>
              <w:rPr>
                <w:sz w:val="13"/>
                <w:szCs w:val="13"/>
                <w:color w:val="auto"/>
              </w:rPr>
            </w:pPr>
          </w:p>
        </w:tc>
        <w:tc>
          <w:tcPr>
            <w:tcW w:w="1080" w:type="dxa"/>
            <w:vAlign w:val="bottom"/>
            <w:gridSpan w:val="2"/>
          </w:tcPr>
          <w:p>
            <w:pPr>
              <w:jc w:val="right"/>
              <w:ind w:right="224"/>
              <w:spacing w:after="0" w:line="157" w:lineRule="exact"/>
              <w:rPr>
                <w:sz w:val="20"/>
                <w:szCs w:val="20"/>
                <w:color w:val="auto"/>
              </w:rPr>
            </w:pPr>
            <w:r>
              <w:rPr>
                <w:rFonts w:ascii="Times New Roman" w:cs="Times New Roman" w:eastAsia="Times New Roman" w:hAnsi="Times New Roman"/>
                <w:sz w:val="15"/>
                <w:szCs w:val="15"/>
                <w:color w:val="auto"/>
              </w:rPr>
              <w:t>2.20%</w:t>
            </w:r>
          </w:p>
        </w:tc>
        <w:tc>
          <w:tcPr>
            <w:tcW w:w="1120" w:type="dxa"/>
            <w:vAlign w:val="bottom"/>
            <w:gridSpan w:val="2"/>
          </w:tcPr>
          <w:p>
            <w:pPr>
              <w:jc w:val="right"/>
              <w:ind w:right="224"/>
              <w:spacing w:after="0" w:line="157" w:lineRule="exact"/>
              <w:rPr>
                <w:sz w:val="20"/>
                <w:szCs w:val="20"/>
                <w:color w:val="auto"/>
              </w:rPr>
            </w:pPr>
            <w:r>
              <w:rPr>
                <w:rFonts w:ascii="Times New Roman" w:cs="Times New Roman" w:eastAsia="Times New Roman" w:hAnsi="Times New Roman"/>
                <w:sz w:val="15"/>
                <w:szCs w:val="15"/>
                <w:color w:val="auto"/>
              </w:rPr>
              <w:t>3.60%</w:t>
            </w:r>
          </w:p>
        </w:tc>
        <w:tc>
          <w:tcPr>
            <w:tcW w:w="16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20"/>
                <w:szCs w:val="20"/>
                <w:color w:val="auto"/>
              </w:rPr>
            </w:pPr>
            <w:r>
              <w:rPr>
                <w:rFonts w:ascii="Times New Roman" w:cs="Times New Roman" w:eastAsia="Times New Roman" w:hAnsi="Times New Roman"/>
                <w:sz w:val="10"/>
                <w:szCs w:val="10"/>
                <w:color w:val="auto"/>
              </w:rPr>
              <w:t>3</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Initial</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Rating(s):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S&amp;P</w:t>
            </w:r>
          </w:p>
        </w:tc>
        <w:tc>
          <w:tcPr>
            <w:tcW w:w="1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"AAA (sf)"</w:t>
            </w: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"AAA (sf)"</w:t>
            </w:r>
          </w:p>
        </w:tc>
        <w:tc>
          <w:tcPr>
            <w:tcW w:w="2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"AAA (sf)"</w:t>
            </w:r>
          </w:p>
        </w:tc>
        <w:tc>
          <w:tcPr>
            <w:tcW w:w="20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"AAA (sf)"</w:t>
            </w:r>
          </w:p>
        </w:tc>
        <w:tc>
          <w:tcPr>
            <w:tcW w:w="10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"AA (sf)"</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 (sf)"</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"BBB- (sf)"</w:t>
            </w: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220"/>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Priority Classes</w:t>
            </w:r>
          </w:p>
        </w:tc>
        <w:tc>
          <w:tcPr>
            <w:tcW w:w="1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2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None</w:t>
            </w:r>
          </w:p>
        </w:tc>
        <w:tc>
          <w:tcPr>
            <w:tcW w:w="2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200" w:type="dxa"/>
            <w:vAlign w:val="bottom"/>
          </w:tcPr>
          <w:p>
            <w:pPr>
              <w:spacing w:after="0"/>
              <w:rPr>
                <w:sz w:val="19"/>
                <w:szCs w:val="19"/>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A-1L-A</w:t>
            </w:r>
          </w:p>
        </w:tc>
        <w:tc>
          <w:tcPr>
            <w:tcW w:w="100" w:type="dxa"/>
            <w:vAlign w:val="bottom"/>
          </w:tcPr>
          <w:p>
            <w:pPr>
              <w:spacing w:after="0"/>
              <w:rPr>
                <w:sz w:val="19"/>
                <w:szCs w:val="19"/>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A-1L-A</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A-1L-A Loans,</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A-1L-A Loans,</w:t>
            </w:r>
          </w:p>
        </w:tc>
        <w:tc>
          <w:tcPr>
            <w:tcW w:w="1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A-1L-A</w:t>
            </w: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Loans, A-1L-</w:t>
            </w:r>
          </w:p>
        </w:tc>
        <w:tc>
          <w:tcPr>
            <w:tcW w:w="100" w:type="dxa"/>
            <w:vAlign w:val="bottom"/>
          </w:tcPr>
          <w:p>
            <w:pPr>
              <w:spacing w:after="0"/>
              <w:rPr>
                <w:sz w:val="14"/>
                <w:szCs w:val="14"/>
                <w:color w:val="auto"/>
              </w:rPr>
            </w:pPr>
          </w:p>
        </w:tc>
        <w:tc>
          <w:tcPr>
            <w:tcW w:w="9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5"/>
                <w:szCs w:val="15"/>
                <w:color w:val="auto"/>
              </w:rPr>
              <w:t>Loans, A-1L-</w:t>
            </w:r>
          </w:p>
        </w:tc>
        <w:tc>
          <w:tcPr>
            <w:tcW w:w="8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A-1L-B Loans,</w:t>
            </w:r>
          </w:p>
        </w:tc>
        <w:tc>
          <w:tcPr>
            <w:tcW w:w="12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A-1L-B Loans,</w:t>
            </w:r>
          </w:p>
        </w:tc>
        <w:tc>
          <w:tcPr>
            <w:tcW w:w="16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Loans, A-1L-</w:t>
            </w: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color w:val="auto"/>
              </w:rPr>
              <w:t>B Loans, A-1</w:t>
            </w:r>
          </w:p>
        </w:tc>
        <w:tc>
          <w:tcPr>
            <w:tcW w:w="100" w:type="dxa"/>
            <w:vAlign w:val="bottom"/>
          </w:tcPr>
          <w:p>
            <w:pPr>
              <w:spacing w:after="0"/>
              <w:rPr>
                <w:sz w:val="14"/>
                <w:szCs w:val="14"/>
                <w:color w:val="auto"/>
              </w:rPr>
            </w:pPr>
          </w:p>
        </w:tc>
        <w:tc>
          <w:tcPr>
            <w:tcW w:w="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B Loans, A-1</w:t>
            </w:r>
          </w:p>
        </w:tc>
        <w:tc>
          <w:tcPr>
            <w:tcW w:w="8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A-1 Notes, A-2,</w:t>
            </w:r>
          </w:p>
        </w:tc>
        <w:tc>
          <w:tcPr>
            <w:tcW w:w="12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A-1 Notes, A-2,</w:t>
            </w:r>
          </w:p>
        </w:tc>
        <w:tc>
          <w:tcPr>
            <w:tcW w:w="16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B Loans, A-1</w:t>
            </w: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Notes</w:t>
            </w:r>
          </w:p>
        </w:tc>
        <w:tc>
          <w:tcPr>
            <w:tcW w:w="100" w:type="dxa"/>
            <w:vAlign w:val="bottom"/>
          </w:tcPr>
          <w:p>
            <w:pPr>
              <w:spacing w:after="0"/>
              <w:rPr>
                <w:sz w:val="14"/>
                <w:szCs w:val="14"/>
                <w:color w:val="auto"/>
              </w:rPr>
            </w:pPr>
          </w:p>
        </w:tc>
        <w:tc>
          <w:tcPr>
            <w:tcW w:w="96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5"/>
                <w:szCs w:val="15"/>
                <w:color w:val="auto"/>
              </w:rPr>
              <w:t>Notes, A-2</w:t>
            </w:r>
          </w:p>
        </w:tc>
        <w:tc>
          <w:tcPr>
            <w:tcW w:w="8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B</w:t>
            </w:r>
          </w:p>
        </w:tc>
        <w:tc>
          <w:tcPr>
            <w:tcW w:w="12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B, C</w:t>
            </w:r>
          </w:p>
        </w:tc>
        <w:tc>
          <w:tcPr>
            <w:tcW w:w="1080" w:type="dxa"/>
            <w:vAlign w:val="bottom"/>
            <w:gridSpan w:val="2"/>
          </w:tcPr>
          <w:p>
            <w:pPr>
              <w:jc w:val="center"/>
              <w:ind w:left="64"/>
              <w:spacing w:after="0" w:line="162" w:lineRule="exact"/>
              <w:rPr>
                <w:sz w:val="20"/>
                <w:szCs w:val="20"/>
                <w:color w:val="auto"/>
              </w:rPr>
            </w:pPr>
            <w:r>
              <w:rPr>
                <w:rFonts w:ascii="Times New Roman" w:cs="Times New Roman" w:eastAsia="Times New Roman" w:hAnsi="Times New Roman"/>
                <w:sz w:val="15"/>
                <w:szCs w:val="15"/>
                <w:color w:val="auto"/>
              </w:rPr>
              <w:t>Notes, A-2, B,</w:t>
            </w: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C, D</w:t>
            </w:r>
          </w:p>
        </w:tc>
        <w:tc>
          <w:tcPr>
            <w:tcW w:w="0" w:type="dxa"/>
            <w:vAlign w:val="bottom"/>
          </w:tcPr>
          <w:p>
            <w:pPr>
              <w:spacing w:after="0"/>
              <w:rPr>
                <w:sz w:val="1"/>
                <w:szCs w:val="1"/>
                <w:color w:val="auto"/>
              </w:rPr>
            </w:pPr>
          </w:p>
        </w:tc>
      </w:tr>
      <w:tr>
        <w:trPr>
          <w:trHeight w:val="162"/>
        </w:trPr>
        <w:tc>
          <w:tcPr>
            <w:tcW w:w="10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Junior Classes</w:t>
            </w:r>
          </w:p>
        </w:tc>
        <w:tc>
          <w:tcPr>
            <w:tcW w:w="16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A-2, B, C, D,</w:t>
            </w:r>
          </w:p>
        </w:tc>
        <w:tc>
          <w:tcPr>
            <w:tcW w:w="22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A-2, B, C, D,</w:t>
            </w:r>
          </w:p>
        </w:tc>
        <w:tc>
          <w:tcPr>
            <w:tcW w:w="20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A-2, B, C, D,</w:t>
            </w:r>
          </w:p>
        </w:tc>
        <w:tc>
          <w:tcPr>
            <w:tcW w:w="200" w:type="dxa"/>
            <w:vAlign w:val="bottom"/>
          </w:tcPr>
          <w:p>
            <w:pPr>
              <w:spacing w:after="0"/>
              <w:rPr>
                <w:sz w:val="14"/>
                <w:szCs w:val="14"/>
                <w:color w:val="auto"/>
              </w:rPr>
            </w:pPr>
          </w:p>
        </w:tc>
        <w:tc>
          <w:tcPr>
            <w:tcW w:w="9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color w:val="auto"/>
              </w:rPr>
              <w:t>B, C, D,</w:t>
            </w:r>
          </w:p>
        </w:tc>
        <w:tc>
          <w:tcPr>
            <w:tcW w:w="100" w:type="dxa"/>
            <w:vAlign w:val="bottom"/>
          </w:tcPr>
          <w:p>
            <w:pPr>
              <w:spacing w:after="0"/>
              <w:rPr>
                <w:sz w:val="14"/>
                <w:szCs w:val="14"/>
                <w:color w:val="auto"/>
              </w:rPr>
            </w:pPr>
          </w:p>
        </w:tc>
        <w:tc>
          <w:tcPr>
            <w:tcW w:w="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C, D,</w:t>
            </w:r>
          </w:p>
        </w:tc>
        <w:tc>
          <w:tcPr>
            <w:tcW w:w="8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5"/>
              </w:rPr>
              <w:t>D,</w:t>
            </w:r>
          </w:p>
        </w:tc>
        <w:tc>
          <w:tcPr>
            <w:tcW w:w="12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Subordinated</w:t>
            </w:r>
          </w:p>
        </w:tc>
        <w:tc>
          <w:tcPr>
            <w:tcW w:w="16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None</w:t>
            </w: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Subordinated</w:t>
            </w:r>
          </w:p>
        </w:tc>
        <w:tc>
          <w:tcPr>
            <w:tcW w:w="22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Subordinated</w:t>
            </w:r>
          </w:p>
        </w:tc>
        <w:tc>
          <w:tcPr>
            <w:tcW w:w="20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Subordinated</w:t>
            </w:r>
          </w:p>
        </w:tc>
        <w:tc>
          <w:tcPr>
            <w:tcW w:w="200" w:type="dxa"/>
            <w:vAlign w:val="bottom"/>
          </w:tcPr>
          <w:p>
            <w:pPr>
              <w:spacing w:after="0"/>
              <w:rPr>
                <w:sz w:val="14"/>
                <w:szCs w:val="14"/>
                <w:color w:val="auto"/>
              </w:rPr>
            </w:pPr>
          </w:p>
        </w:tc>
        <w:tc>
          <w:tcPr>
            <w:tcW w:w="9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5"/>
                <w:szCs w:val="15"/>
                <w:color w:val="auto"/>
              </w:rPr>
              <w:t>Subordinated</w:t>
            </w:r>
          </w:p>
        </w:tc>
        <w:tc>
          <w:tcPr>
            <w:tcW w:w="100" w:type="dxa"/>
            <w:vAlign w:val="bottom"/>
          </w:tcPr>
          <w:p>
            <w:pPr>
              <w:spacing w:after="0"/>
              <w:rPr>
                <w:sz w:val="14"/>
                <w:szCs w:val="14"/>
                <w:color w:val="auto"/>
              </w:rPr>
            </w:pPr>
          </w:p>
        </w:tc>
        <w:tc>
          <w:tcPr>
            <w:tcW w:w="96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5"/>
                <w:szCs w:val="15"/>
                <w:color w:val="auto"/>
              </w:rPr>
              <w:t>Subordinated</w:t>
            </w:r>
          </w:p>
        </w:tc>
        <w:tc>
          <w:tcPr>
            <w:tcW w:w="8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Subordinated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Pari Passu</w:t>
            </w:r>
          </w:p>
        </w:tc>
        <w:tc>
          <w:tcPr>
            <w:tcW w:w="16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A-1 Notes, A-</w:t>
            </w:r>
          </w:p>
        </w:tc>
        <w:tc>
          <w:tcPr>
            <w:tcW w:w="22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A-1 Notes, A-</w:t>
            </w:r>
          </w:p>
        </w:tc>
        <w:tc>
          <w:tcPr>
            <w:tcW w:w="20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A-1L-A Loans,</w:t>
            </w:r>
          </w:p>
        </w:tc>
        <w:tc>
          <w:tcPr>
            <w:tcW w:w="200" w:type="dxa"/>
            <w:vAlign w:val="bottom"/>
          </w:tcPr>
          <w:p>
            <w:pPr>
              <w:spacing w:after="0"/>
              <w:rPr>
                <w:sz w:val="14"/>
                <w:szCs w:val="14"/>
                <w:color w:val="auto"/>
              </w:rPr>
            </w:pPr>
          </w:p>
        </w:tc>
        <w:tc>
          <w:tcPr>
            <w:tcW w:w="9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5"/>
                <w:szCs w:val="15"/>
                <w:color w:val="auto"/>
              </w:rPr>
              <w:t>None</w:t>
            </w:r>
          </w:p>
        </w:tc>
        <w:tc>
          <w:tcPr>
            <w:tcW w:w="100" w:type="dxa"/>
            <w:vAlign w:val="bottom"/>
          </w:tcPr>
          <w:p>
            <w:pPr>
              <w:spacing w:after="0"/>
              <w:rPr>
                <w:sz w:val="14"/>
                <w:szCs w:val="14"/>
                <w:color w:val="auto"/>
              </w:rPr>
            </w:pPr>
          </w:p>
        </w:tc>
        <w:tc>
          <w:tcPr>
            <w:tcW w:w="96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5"/>
                <w:szCs w:val="15"/>
                <w:color w:val="auto"/>
              </w:rPr>
              <w:t>None</w:t>
            </w:r>
          </w:p>
        </w:tc>
        <w:tc>
          <w:tcPr>
            <w:tcW w:w="8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None</w:t>
            </w:r>
          </w:p>
        </w:tc>
        <w:tc>
          <w:tcPr>
            <w:tcW w:w="12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None</w:t>
            </w:r>
          </w:p>
        </w:tc>
        <w:tc>
          <w:tcPr>
            <w:tcW w:w="16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None</w:t>
            </w:r>
          </w:p>
        </w:tc>
        <w:tc>
          <w:tcPr>
            <w:tcW w:w="0" w:type="dxa"/>
            <w:vAlign w:val="bottom"/>
          </w:tcPr>
          <w:p>
            <w:pPr>
              <w:spacing w:after="0"/>
              <w:rPr>
                <w:sz w:val="1"/>
                <w:szCs w:val="1"/>
                <w:color w:val="auto"/>
              </w:rPr>
            </w:pPr>
          </w:p>
        </w:tc>
      </w:tr>
      <w:tr>
        <w:trPr>
          <w:trHeight w:val="162"/>
        </w:trPr>
        <w:tc>
          <w:tcPr>
            <w:tcW w:w="10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Classes</w:t>
            </w:r>
          </w:p>
        </w:tc>
        <w:tc>
          <w:tcPr>
            <w:tcW w:w="16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1L-B Loans</w:t>
            </w:r>
          </w:p>
        </w:tc>
        <w:tc>
          <w:tcPr>
            <w:tcW w:w="22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1L-B Loans</w:t>
            </w:r>
          </w:p>
        </w:tc>
        <w:tc>
          <w:tcPr>
            <w:tcW w:w="20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A-1L-B Loans</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Interest</w:t>
            </w:r>
          </w:p>
        </w:tc>
        <w:tc>
          <w:tcPr>
            <w:tcW w:w="16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No</w:t>
            </w:r>
          </w:p>
        </w:tc>
        <w:tc>
          <w:tcPr>
            <w:tcW w:w="22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No</w:t>
            </w:r>
          </w:p>
        </w:tc>
        <w:tc>
          <w:tcPr>
            <w:tcW w:w="20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No</w:t>
            </w:r>
          </w:p>
        </w:tc>
        <w:tc>
          <w:tcPr>
            <w:tcW w:w="200" w:type="dxa"/>
            <w:vAlign w:val="bottom"/>
          </w:tcPr>
          <w:p>
            <w:pPr>
              <w:spacing w:after="0"/>
              <w:rPr>
                <w:sz w:val="14"/>
                <w:szCs w:val="14"/>
                <w:color w:val="auto"/>
              </w:rPr>
            </w:pPr>
          </w:p>
        </w:tc>
        <w:tc>
          <w:tcPr>
            <w:tcW w:w="9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5"/>
                <w:szCs w:val="15"/>
                <w:color w:val="auto"/>
                <w:w w:val="97"/>
              </w:rPr>
              <w:t>No</w:t>
            </w:r>
          </w:p>
        </w:tc>
        <w:tc>
          <w:tcPr>
            <w:tcW w:w="100" w:type="dxa"/>
            <w:vAlign w:val="bottom"/>
          </w:tcPr>
          <w:p>
            <w:pPr>
              <w:spacing w:after="0"/>
              <w:rPr>
                <w:sz w:val="14"/>
                <w:szCs w:val="14"/>
                <w:color w:val="auto"/>
              </w:rPr>
            </w:pPr>
          </w:p>
        </w:tc>
        <w:tc>
          <w:tcPr>
            <w:tcW w:w="96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5"/>
                <w:szCs w:val="15"/>
                <w:color w:val="auto"/>
                <w:w w:val="97"/>
              </w:rPr>
              <w:t>No</w:t>
            </w:r>
          </w:p>
        </w:tc>
        <w:tc>
          <w:tcPr>
            <w:tcW w:w="8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Yes</w:t>
            </w:r>
          </w:p>
        </w:tc>
        <w:tc>
          <w:tcPr>
            <w:tcW w:w="12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Yes</w:t>
            </w:r>
          </w:p>
        </w:tc>
        <w:tc>
          <w:tcPr>
            <w:tcW w:w="16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62"/>
        </w:trPr>
        <w:tc>
          <w:tcPr>
            <w:tcW w:w="10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Deferrable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Re-Pricing</w:t>
            </w:r>
          </w:p>
        </w:tc>
        <w:tc>
          <w:tcPr>
            <w:tcW w:w="16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No</w:t>
            </w:r>
          </w:p>
        </w:tc>
        <w:tc>
          <w:tcPr>
            <w:tcW w:w="22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No</w:t>
            </w:r>
          </w:p>
        </w:tc>
        <w:tc>
          <w:tcPr>
            <w:tcW w:w="20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No</w:t>
            </w:r>
          </w:p>
        </w:tc>
        <w:tc>
          <w:tcPr>
            <w:tcW w:w="200" w:type="dxa"/>
            <w:vAlign w:val="bottom"/>
          </w:tcPr>
          <w:p>
            <w:pPr>
              <w:spacing w:after="0"/>
              <w:rPr>
                <w:sz w:val="14"/>
                <w:szCs w:val="14"/>
                <w:color w:val="auto"/>
              </w:rPr>
            </w:pPr>
          </w:p>
        </w:tc>
        <w:tc>
          <w:tcPr>
            <w:tcW w:w="9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Yes</w:t>
            </w:r>
          </w:p>
        </w:tc>
        <w:tc>
          <w:tcPr>
            <w:tcW w:w="100" w:type="dxa"/>
            <w:vAlign w:val="bottom"/>
          </w:tcPr>
          <w:p>
            <w:pPr>
              <w:spacing w:after="0"/>
              <w:rPr>
                <w:sz w:val="14"/>
                <w:szCs w:val="14"/>
                <w:color w:val="auto"/>
              </w:rPr>
            </w:pPr>
          </w:p>
        </w:tc>
        <w:tc>
          <w:tcPr>
            <w:tcW w:w="96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5"/>
                <w:szCs w:val="15"/>
                <w:color w:val="auto"/>
                <w:w w:val="97"/>
              </w:rPr>
              <w:t>No</w:t>
            </w:r>
          </w:p>
        </w:tc>
        <w:tc>
          <w:tcPr>
            <w:tcW w:w="8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No</w:t>
            </w:r>
          </w:p>
        </w:tc>
        <w:tc>
          <w:tcPr>
            <w:tcW w:w="12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Yes</w:t>
            </w:r>
          </w:p>
        </w:tc>
        <w:tc>
          <w:tcPr>
            <w:tcW w:w="16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62"/>
        </w:trPr>
        <w:tc>
          <w:tcPr>
            <w:tcW w:w="10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Eligible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5"/>
                <w:szCs w:val="15"/>
                <w:color w:val="auto"/>
              </w:rPr>
              <w:t>Book</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Entry</w:t>
            </w:r>
          </w:p>
        </w:tc>
        <w:tc>
          <w:tcPr>
            <w:tcW w:w="200" w:type="dxa"/>
            <w:vAlign w:val="bottom"/>
          </w:tcPr>
          <w:p>
            <w:pPr>
              <w:spacing w:after="0"/>
              <w:rPr>
                <w:sz w:val="14"/>
                <w:szCs w:val="14"/>
                <w:color w:val="auto"/>
              </w:rPr>
            </w:pPr>
          </w:p>
        </w:tc>
        <w:tc>
          <w:tcPr>
            <w:tcW w:w="980" w:type="dxa"/>
            <w:vAlign w:val="bottom"/>
            <w:gridSpan w:val="2"/>
            <w:vMerge w:val="restart"/>
          </w:tcPr>
          <w:p>
            <w:pPr>
              <w:jc w:val="center"/>
              <w:ind w:right="140"/>
              <w:spacing w:after="0" w:line="173" w:lineRule="exact"/>
              <w:rPr>
                <w:sz w:val="20"/>
                <w:szCs w:val="20"/>
                <w:color w:val="auto"/>
              </w:rPr>
            </w:pPr>
            <w:r>
              <w:rPr>
                <w:rFonts w:ascii="Times New Roman" w:cs="Times New Roman" w:eastAsia="Times New Roman" w:hAnsi="Times New Roman"/>
                <w:sz w:val="15"/>
                <w:szCs w:val="15"/>
                <w:color w:val="auto"/>
              </w:rPr>
              <w:t>Book</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Entry</w:t>
            </w:r>
          </w:p>
        </w:tc>
        <w:tc>
          <w:tcPr>
            <w:tcW w:w="100" w:type="dxa"/>
            <w:vAlign w:val="bottom"/>
          </w:tcPr>
          <w:p>
            <w:pPr>
              <w:spacing w:after="0"/>
              <w:rPr>
                <w:sz w:val="14"/>
                <w:szCs w:val="14"/>
                <w:color w:val="auto"/>
              </w:rPr>
            </w:pPr>
          </w:p>
        </w:tc>
        <w:tc>
          <w:tcPr>
            <w:tcW w:w="960" w:type="dxa"/>
            <w:vAlign w:val="bottom"/>
            <w:gridSpan w:val="2"/>
            <w:vMerge w:val="restart"/>
          </w:tcPr>
          <w:p>
            <w:pPr>
              <w:jc w:val="center"/>
              <w:ind w:right="120"/>
              <w:spacing w:after="0" w:line="173" w:lineRule="exact"/>
              <w:rPr>
                <w:sz w:val="20"/>
                <w:szCs w:val="20"/>
                <w:color w:val="auto"/>
              </w:rPr>
            </w:pPr>
            <w:r>
              <w:rPr>
                <w:rFonts w:ascii="Times New Roman" w:cs="Times New Roman" w:eastAsia="Times New Roman" w:hAnsi="Times New Roman"/>
                <w:sz w:val="15"/>
                <w:szCs w:val="15"/>
                <w:color w:val="auto"/>
              </w:rPr>
              <w:t>Book</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Entry</w:t>
            </w:r>
          </w:p>
        </w:tc>
        <w:tc>
          <w:tcPr>
            <w:tcW w:w="80" w:type="dxa"/>
            <w:vAlign w:val="bottom"/>
          </w:tcPr>
          <w:p>
            <w:pPr>
              <w:spacing w:after="0"/>
              <w:rPr>
                <w:sz w:val="14"/>
                <w:szCs w:val="14"/>
                <w:color w:val="auto"/>
              </w:rPr>
            </w:pPr>
          </w:p>
        </w:tc>
        <w:tc>
          <w:tcPr>
            <w:tcW w:w="100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5"/>
                <w:szCs w:val="15"/>
                <w:color w:val="auto"/>
              </w:rPr>
              <w:t>Book</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Entry</w:t>
            </w:r>
          </w:p>
        </w:tc>
        <w:tc>
          <w:tcPr>
            <w:tcW w:w="120" w:type="dxa"/>
            <w:vAlign w:val="bottom"/>
          </w:tcPr>
          <w:p>
            <w:pPr>
              <w:spacing w:after="0"/>
              <w:rPr>
                <w:sz w:val="14"/>
                <w:szCs w:val="14"/>
                <w:color w:val="auto"/>
              </w:rPr>
            </w:pPr>
          </w:p>
        </w:tc>
        <w:tc>
          <w:tcPr>
            <w:tcW w:w="100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5"/>
                <w:szCs w:val="15"/>
                <w:color w:val="auto"/>
              </w:rPr>
              <w:t>Book</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Entry</w:t>
            </w:r>
          </w:p>
        </w:tc>
        <w:tc>
          <w:tcPr>
            <w:tcW w:w="160" w:type="dxa"/>
            <w:vAlign w:val="bottom"/>
          </w:tcPr>
          <w:p>
            <w:pPr>
              <w:spacing w:after="0"/>
              <w:rPr>
                <w:sz w:val="14"/>
                <w:szCs w:val="14"/>
                <w:color w:val="auto"/>
              </w:rPr>
            </w:pPr>
          </w:p>
        </w:tc>
        <w:tc>
          <w:tcPr>
            <w:tcW w:w="92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5"/>
                <w:szCs w:val="15"/>
                <w:color w:val="auto"/>
              </w:rPr>
              <w:t>Book</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Entry</w:t>
            </w:r>
          </w:p>
        </w:tc>
        <w:tc>
          <w:tcPr>
            <w:tcW w:w="0" w:type="dxa"/>
            <w:vAlign w:val="bottom"/>
          </w:tcPr>
          <w:p>
            <w:pPr>
              <w:spacing w:after="0"/>
              <w:rPr>
                <w:sz w:val="1"/>
                <w:szCs w:val="1"/>
                <w:color w:val="auto"/>
              </w:rPr>
            </w:pPr>
          </w:p>
        </w:tc>
      </w:tr>
      <w:tr>
        <w:trPr>
          <w:trHeight w:val="189"/>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Form</w:t>
            </w:r>
          </w:p>
        </w:tc>
        <w:tc>
          <w:tcPr>
            <w:tcW w:w="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(Physical for</w:t>
            </w:r>
          </w:p>
        </w:tc>
        <w:tc>
          <w:tcPr>
            <w:tcW w:w="200" w:type="dxa"/>
            <w:vAlign w:val="bottom"/>
          </w:tcPr>
          <w:p>
            <w:pPr>
              <w:spacing w:after="0"/>
              <w:rPr>
                <w:sz w:val="14"/>
                <w:szCs w:val="14"/>
                <w:color w:val="auto"/>
              </w:rPr>
            </w:pPr>
          </w:p>
        </w:tc>
        <w:tc>
          <w:tcPr>
            <w:tcW w:w="9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5"/>
                <w:szCs w:val="15"/>
                <w:color w:val="auto"/>
              </w:rPr>
              <w:t>(Physical for</w:t>
            </w:r>
          </w:p>
        </w:tc>
        <w:tc>
          <w:tcPr>
            <w:tcW w:w="100" w:type="dxa"/>
            <w:vAlign w:val="bottom"/>
          </w:tcPr>
          <w:p>
            <w:pPr>
              <w:spacing w:after="0"/>
              <w:rPr>
                <w:sz w:val="14"/>
                <w:szCs w:val="14"/>
                <w:color w:val="auto"/>
              </w:rPr>
            </w:pPr>
          </w:p>
        </w:tc>
        <w:tc>
          <w:tcPr>
            <w:tcW w:w="96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5"/>
                <w:szCs w:val="15"/>
                <w:color w:val="auto"/>
              </w:rPr>
              <w:t>(Physical for</w:t>
            </w:r>
          </w:p>
        </w:tc>
        <w:tc>
          <w:tcPr>
            <w:tcW w:w="8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(Physical for</w:t>
            </w:r>
          </w:p>
        </w:tc>
        <w:tc>
          <w:tcPr>
            <w:tcW w:w="12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(Physical for</w:t>
            </w:r>
          </w:p>
        </w:tc>
        <w:tc>
          <w:tcPr>
            <w:tcW w:w="16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(Physical for</w:t>
            </w: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IAI/QPs)</w:t>
            </w:r>
          </w:p>
        </w:tc>
        <w:tc>
          <w:tcPr>
            <w:tcW w:w="2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IAI/QPs)</w:t>
            </w:r>
          </w:p>
        </w:tc>
        <w:tc>
          <w:tcPr>
            <w:tcW w:w="10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IAI/QPs)</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IAI/QPs)</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IAI/QPs)</w:t>
            </w: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IAI/QPs)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168846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387" w:lineRule="exact"/>
        <w:rPr>
          <w:sz w:val="20"/>
          <w:szCs w:val="20"/>
          <w:color w:val="auto"/>
        </w:rPr>
      </w:pPr>
    </w:p>
    <w:p>
      <w:pPr>
        <w:ind w:left="360" w:hanging="352"/>
        <w:spacing w:after="0"/>
        <w:tabs>
          <w:tab w:leader="none" w:pos="360" w:val="left"/>
        </w:tabs>
        <w:numPr>
          <w:ilvl w:val="0"/>
          <w:numId w:val="6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As of the Closing Date.</w:t>
      </w:r>
    </w:p>
    <w:p>
      <w:pPr>
        <w:spacing w:after="0" w:line="1" w:lineRule="exact"/>
        <w:rPr>
          <w:sz w:val="20"/>
          <w:szCs w:val="20"/>
          <w:color w:val="auto"/>
        </w:rPr>
      </w:pPr>
    </w:p>
    <w:p>
      <w:pPr>
        <w:ind w:left="760" w:hanging="752"/>
        <w:spacing w:after="0" w:line="237" w:lineRule="auto"/>
        <w:tabs>
          <w:tab w:leader="none" w:pos="371" w:val="left"/>
        </w:tabs>
        <w:numPr>
          <w:ilvl w:val="0"/>
          <w:numId w:val="6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initial Benchmark will be the Term SOFR Rate. The Benchmark may be changed to the Fallback Rate in accordance with the definition of "Benchmark" and certain other conditions specified herein. The Index Maturity shall be a term of three months; provided that for the period from the Closing Date to the First Interest Determination End Date, the Benchmark will be determined by interpolating linearly (and rounding to five decimal places) between the rate for the next shorter period of time for which rates are available and the rate for the next longer period of time for which rates are available.</w:t>
      </w:r>
    </w:p>
    <w:p>
      <w:pPr>
        <w:spacing w:after="0" w:line="3" w:lineRule="exact"/>
        <w:rPr>
          <w:sz w:val="20"/>
          <w:szCs w:val="20"/>
          <w:color w:val="auto"/>
        </w:rPr>
      </w:pPr>
    </w:p>
    <w:p>
      <w:pPr>
        <w:ind w:left="760" w:right="20" w:hanging="752"/>
        <w:spacing w:after="0" w:line="223" w:lineRule="exact"/>
        <w:tabs>
          <w:tab w:leader="none" w:pos="371" w:val="left"/>
        </w:tabs>
        <w:numPr>
          <w:ilvl w:val="0"/>
          <w:numId w:val="6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spread over the Benchmark or the stated Interest Rate, as applicable, with respect to any Class of Re-Pricing Eligible Notes may be reduced in connection with a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Pricing of such Class of Secured Debt, subject to the conditions set forth in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760" w:hanging="752"/>
        <w:spacing w:after="0" w:line="241" w:lineRule="auto"/>
        <w:tabs>
          <w:tab w:leader="none" w:pos="371" w:val="left"/>
        </w:tabs>
        <w:numPr>
          <w:ilvl w:val="0"/>
          <w:numId w:val="7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outstanding principal amount of the Class A-1 Notes will be U.S.$220,500,000 on the Closing Date and may be increased to up to U.S.$230,500,000 in aggregate upon the exercise of the Conversion Option which shall effect the conversion of the Class A-1L-A Loans into the Class A-1 Notes pursuant to this Indenture. The Class A-1L-A Loans are not being issued pursuant to this Indenture. At the election of a Class A-1L-A Lender, all or a portion of the outstanding principal amount of the Class A-1L-A Loans held by such Class A-1L-A Lender may be converted into Class A-1 Notes, in which case the Aggregate Outstanding Amount of the Class A-1 Notes will be increased by the amount of the Class A-1L-A Loans so converted and the outstanding principal amount of the Class A-1L-A Loans will be decreased accordingly. The Class A-1L-B Loans are not subject to conversion.</w:t>
      </w:r>
    </w:p>
    <w:p>
      <w:pPr>
        <w:spacing w:after="0" w:line="1"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93" w:name="page94"/>
    <w:bookmarkEnd w:id="93"/>
    <w:p>
      <w:pPr>
        <w:ind w:firstLine="1497"/>
        <w:spacing w:after="0" w:line="244" w:lineRule="auto"/>
        <w:rPr>
          <w:sz w:val="20"/>
          <w:szCs w:val="20"/>
          <w:color w:val="auto"/>
        </w:rPr>
      </w:pPr>
      <w:r>
        <w:rPr>
          <w:rFonts w:ascii="Times New Roman" w:cs="Times New Roman" w:eastAsia="Times New Roman" w:hAnsi="Times New Roman"/>
          <w:sz w:val="22"/>
          <w:szCs w:val="22"/>
          <w:color w:val="auto"/>
        </w:rPr>
        <w:t>The Notes shall be issued in Minimum Denominations. Notes shall only be transferred or resold in compliance with the terms of this Indenture.</w:t>
      </w:r>
    </w:p>
    <w:p>
      <w:pPr>
        <w:spacing w:after="0" w:line="1"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94" w:name="page95"/>
    <w:bookmarkEnd w:id="94"/>
    <w:p>
      <w:pPr>
        <w:spacing w:after="0" w:line="185"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2.4 Execution, Authentication, Delivery and Dating</w:t>
      </w:r>
      <w:r>
        <w:rPr>
          <w:rFonts w:ascii="Times New Roman" w:cs="Times New Roman" w:eastAsia="Times New Roman" w:hAnsi="Times New Roman"/>
          <w:sz w:val="22"/>
          <w:szCs w:val="22"/>
          <w:color w:val="auto"/>
        </w:rPr>
        <w:t xml:space="preserve"> . (a) The Notes shall be executed on behalf of the Issuer by one of its Officers. The signature of such Officer on the Notes may be manual, facsimile or electronic.</w:t>
      </w:r>
    </w:p>
    <w:p>
      <w:pPr>
        <w:spacing w:after="0" w:line="158" w:lineRule="exact"/>
        <w:rPr>
          <w:sz w:val="20"/>
          <w:szCs w:val="20"/>
          <w:color w:val="auto"/>
        </w:rPr>
      </w:pPr>
    </w:p>
    <w:p>
      <w:pPr>
        <w:jc w:val="both"/>
        <w:ind w:left="760" w:firstLine="745"/>
        <w:spacing w:after="0" w:line="239"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bearing the manual, facsimile or electronic signatures of individuals who were at the time of execution Officers of the Issuer shall bind the Issuer, notwithstanding the fact that such individuals or any of them have ceased to hold such offices prior to the authentication and delivery of such Notes or did not hold such offices at the date of issuance of such Notes.</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and from time to time after the execution and delivery of this Indenture, the Issuer may deliver Notes executed by the Issuer to the Collateral Trustee or the Authenticating Agent for authentication and the Collateral Trustee or the Authenticating Agent, upon Issuer Order (which Issuer Order shall, in respect of a transfer of Notes hereunder, shall have been deemed to have been provided upon the Issuer's delivery of an executed Note to the Collateral Trustee), shall authenticate and deliver such Notes as provided herein and not otherwise.</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Note authenticated and delivered by the Collateral Trustee or the Authenticating Agent upon Issuer Order on the Closing Date shall be dated as of the Closing Date. All other Notes that are authenticated after the Closing Date for any other purpose under this Indenture shall be dated the date of their authentication.</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Notes issued upon transfer, exchange or replacement of other Notes shall be issued in authorized denominations reflecting the original aggregate principal amount of the Notes so transferred, exchanged or replaced, but shall represent only the current outstanding principal amount of the Notes so transferred, exchanged or replaced. If any Note is divided into more than one Note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the original principal amount of such Note shall be proportionately divided among the Notes delivered in exchange therefor and shall be deemed to be the original aggregate principal amount of such subsequently issued Notes.</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Note shall be entitled to any benefit under this Indenture or be valid or obligatory for any purpose, unless there appears on such Note a Certificate of Authentication, substantially in the form provided for herein, executed by the Collateral Trustee or by the Authenticating Agent by the manual facsimile or electronic signature of one of their authorized signatories, and such Certificate of Authentication upon any Note shall be conclusive evidence, and the only evidence, that such Note has been duly authenticated and delivered hereunder.</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2.5 Registration, Registration of Transfer and Exchange</w:t>
      </w:r>
      <w:r>
        <w:rPr>
          <w:rFonts w:ascii="Times New Roman" w:cs="Times New Roman" w:eastAsia="Times New Roman" w:hAnsi="Times New Roman"/>
          <w:sz w:val="22"/>
          <w:szCs w:val="22"/>
          <w:color w:val="auto"/>
        </w:rPr>
        <w:t xml:space="preserve"> . (a) (i) The Issuer shall cause the Notes to be Registered and shall cause to be kept a register (the "</w:t>
      </w:r>
      <w:r>
        <w:rPr>
          <w:rFonts w:ascii="Times New Roman" w:cs="Times New Roman" w:eastAsia="Times New Roman" w:hAnsi="Times New Roman"/>
          <w:sz w:val="22"/>
          <w:szCs w:val="22"/>
          <w:u w:val="single" w:color="auto"/>
          <w:color w:val="auto"/>
        </w:rPr>
        <w:t>Note Register</w:t>
      </w:r>
      <w:r>
        <w:rPr>
          <w:rFonts w:ascii="Times New Roman" w:cs="Times New Roman" w:eastAsia="Times New Roman" w:hAnsi="Times New Roman"/>
          <w:sz w:val="22"/>
          <w:szCs w:val="22"/>
          <w:color w:val="auto"/>
        </w:rPr>
        <w:t>") at the office of the Collateral Trustee in which, subject to such reasonable regulations as it may prescribe, the Issuer shall provide for the registration of Notes and the registration of transfers of Notes. The Collateral Trustee is hereby initially appointed registrar (the "</w:t>
      </w:r>
      <w:r>
        <w:rPr>
          <w:rFonts w:ascii="Times New Roman" w:cs="Times New Roman" w:eastAsia="Times New Roman" w:hAnsi="Times New Roman"/>
          <w:sz w:val="22"/>
          <w:szCs w:val="22"/>
          <w:u w:val="single" w:color="auto"/>
          <w:color w:val="auto"/>
        </w:rPr>
        <w:t>Note Registrar</w:t>
      </w:r>
      <w:r>
        <w:rPr>
          <w:rFonts w:ascii="Times New Roman" w:cs="Times New Roman" w:eastAsia="Times New Roman" w:hAnsi="Times New Roman"/>
          <w:sz w:val="22"/>
          <w:szCs w:val="22"/>
          <w:color w:val="auto"/>
        </w:rPr>
        <w:t>") for the purpose of registering Notes and transfers of such Notes with respect to the</w:t>
      </w:r>
    </w:p>
    <w:p>
      <w:pPr>
        <w:spacing w:after="0" w:line="15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Note Register maintained in the United States as herein provided. Upon any resignation or removal of the Note Registrar, the Issuer shall promptly appoint a successor or, in the absence of such appointment, assume the duties of Note Registrar.</w:t>
      </w:r>
    </w:p>
    <w:p>
      <w:pPr>
        <w:spacing w:after="0" w:line="158" w:lineRule="exact"/>
        <w:rPr>
          <w:sz w:val="20"/>
          <w:szCs w:val="20"/>
          <w:color w:val="auto"/>
        </w:rPr>
      </w:pPr>
    </w:p>
    <w:p>
      <w:pPr>
        <w:jc w:val="both"/>
        <w:ind w:left="760" w:firstLine="1015"/>
        <w:spacing w:after="0" w:line="235" w:lineRule="auto"/>
        <w:tabs>
          <w:tab w:leader="none" w:pos="221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Person other than the Collateral Trustee is appointed by the Issuer as Note Registrar, the Issuer will give the Collateral Trustee prompt written notice of the appointment of a Note Registrar and of the location, and any change in the location, of the Note Register, and the Collateral Trustee shall have the right to inspect the Note Register at all reasonable times and to obtain copies thereof and the Collateral Trustee shall have the right to rely upon a certificate executed on behalf of the Note Registrar by an Officer thereof as to the names and addresses of the Holders of the Notes and the principal or face amounts and numbers of such Notes. Upon written request at any time, the Note Registrar shall provide to the Issuer, the Collateral Manager or the Placement Agent a current list of Holders as reflected in the Note Register.</w:t>
      </w:r>
    </w:p>
    <w:p>
      <w:pPr>
        <w:spacing w:after="0" w:line="178" w:lineRule="exact"/>
        <w:rPr>
          <w:rFonts w:ascii="Times New Roman" w:cs="Times New Roman" w:eastAsia="Times New Roman" w:hAnsi="Times New Roman"/>
          <w:sz w:val="22"/>
          <w:szCs w:val="22"/>
          <w:color w:val="auto"/>
        </w:rPr>
      </w:pPr>
    </w:p>
    <w:p>
      <w:pPr>
        <w:jc w:val="both"/>
        <w:ind w:left="760" w:firstLine="1015"/>
        <w:spacing w:after="0" w:line="236" w:lineRule="auto"/>
        <w:tabs>
          <w:tab w:leader="none" w:pos="221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upon surrender for registration of transfer of any Notes at the office or agency of the Issuer to be maintained as provided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the Issuer shall execute, and the Collateral Trustee shall authenticate, or cause the Authenticating Agent to authenticate, and deliver, in the name of the designated transferee or transferees, one or more new Notes of any authorized denomination and of a like aggregate principal or face amount. Upon written request at any time, the Collateral Trustee shall provide to the Issuer, the Collateral Manager or the Placement Agent a current list of Holders.</w:t>
      </w:r>
    </w:p>
    <w:p>
      <w:pPr>
        <w:spacing w:after="0" w:line="181" w:lineRule="exact"/>
        <w:rPr>
          <w:rFonts w:ascii="Times New Roman" w:cs="Times New Roman" w:eastAsia="Times New Roman" w:hAnsi="Times New Roman"/>
          <w:sz w:val="22"/>
          <w:szCs w:val="22"/>
          <w:color w:val="auto"/>
        </w:rPr>
      </w:pPr>
    </w:p>
    <w:p>
      <w:pPr>
        <w:ind w:left="760" w:firstLine="1015"/>
        <w:spacing w:after="0" w:line="249" w:lineRule="auto"/>
        <w:tabs>
          <w:tab w:leader="none" w:pos="221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the Issuer, the Collateral Trustee and the Collateral Manager shall be entitled to conclusively rely upon any certificate of ownership provided to the Collateral Trustee by a beneficial owner of a Note (including a Beneficial Ownership Certificate or a certificate in the form of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and the continued ownership of any Note indicated therein) and/or other forms of reasonable evidence of such ownership as to the names and addresses of such beneficial owner and the Classes, principal amounts and CUSIP numbers of Notes beneficially owned thereby and shall have no liability for relying on the same. Upon written request at any time, the Collateral Trustee shall provide to the Issuer, the Collateral Manager or the Placement Agent a copy of each Beneficial Ownership Certificate that the Collateral Trustee has received unless such beneficial owner instructs the Collateral Trustee otherwise.</w:t>
      </w:r>
    </w:p>
    <w:p>
      <w:pPr>
        <w:spacing w:after="0" w:line="169" w:lineRule="exact"/>
        <w:rPr>
          <w:rFonts w:ascii="Times New Roman" w:cs="Times New Roman" w:eastAsia="Times New Roman" w:hAnsi="Times New Roman"/>
          <w:sz w:val="21"/>
          <w:szCs w:val="21"/>
          <w:color w:val="auto"/>
        </w:rPr>
      </w:pPr>
    </w:p>
    <w:p>
      <w:pPr>
        <w:jc w:val="both"/>
        <w:ind w:left="760" w:firstLine="1015"/>
        <w:spacing w:after="0" w:line="238" w:lineRule="auto"/>
        <w:tabs>
          <w:tab w:leader="none" w:pos="221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option of the Holder, Notes may be exchanged for Notes of like terms, in any authorized denominations and of like aggregate principal amount, upon surrender of the Notes to be exchanged at such office or agency. Whenever any Note is surrendered for exchange, the Issuer shall execute, and the Collateral Trustee shall authenticate, or cause the Authenticating Agent to authenticate, and deliver, the Notes that the Holder making the exchange is entitled to receive.</w:t>
      </w:r>
    </w:p>
    <w:p>
      <w:pPr>
        <w:spacing w:after="0" w:line="176"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Notes issued and authenticated upon any registration of transfer or exchange of Notes shall be the valid obligations of the Issuer, evidencing the same debt (to the extent they evidence debt), and entitled to the same benefits under this Indenture as the Notes surrendered upon such registration of transfer or exchange.</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85" w:lineRule="exact"/>
        <w:rPr>
          <w:sz w:val="20"/>
          <w:szCs w:val="20"/>
          <w:color w:val="auto"/>
        </w:rPr>
      </w:pPr>
    </w:p>
    <w:p>
      <w:pPr>
        <w:jc w:val="both"/>
        <w:ind w:left="760" w:firstLine="1015"/>
        <w:spacing w:after="0" w:line="235" w:lineRule="auto"/>
        <w:tabs>
          <w:tab w:leader="none" w:pos="221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Note presented or surrendered for registration of transfer or exchange shall be duly endorsed, or be accompanied by a written instrument of transfer in a form reasonably satisfactory to the Note Registrar, duly executed by the Holder thereof or such Holder's attorney duly authorized in writing with such signature guaranteed by an "eligible guarantor institution" meeting the requirements of the Note Registrar, which requirements include membership or participation in the Securities Transfer Agents Medallion Program ("</w:t>
      </w:r>
      <w:r>
        <w:rPr>
          <w:rFonts w:ascii="Times New Roman" w:cs="Times New Roman" w:eastAsia="Times New Roman" w:hAnsi="Times New Roman"/>
          <w:sz w:val="22"/>
          <w:szCs w:val="22"/>
          <w:u w:val="single" w:color="auto"/>
          <w:color w:val="auto"/>
        </w:rPr>
        <w:t>STAMP</w:t>
      </w:r>
      <w:r>
        <w:rPr>
          <w:rFonts w:ascii="Times New Roman" w:cs="Times New Roman" w:eastAsia="Times New Roman" w:hAnsi="Times New Roman"/>
          <w:sz w:val="22"/>
          <w:szCs w:val="22"/>
          <w:color w:val="auto"/>
        </w:rPr>
        <w:t>") or such other "signature guarantee program" as may be determined by the Note Registrar in addition to, or in substitution for, STAMP, all in accordance with the Exchange Act.</w:t>
      </w:r>
    </w:p>
    <w:p>
      <w:pPr>
        <w:spacing w:after="0" w:line="183" w:lineRule="exact"/>
        <w:rPr>
          <w:rFonts w:ascii="Times New Roman" w:cs="Times New Roman" w:eastAsia="Times New Roman" w:hAnsi="Times New Roman"/>
          <w:sz w:val="22"/>
          <w:szCs w:val="22"/>
          <w:color w:val="auto"/>
        </w:rPr>
      </w:pPr>
    </w:p>
    <w:p>
      <w:pPr>
        <w:jc w:val="both"/>
        <w:ind w:left="760" w:firstLine="1015"/>
        <w:spacing w:after="0" w:line="238" w:lineRule="auto"/>
        <w:tabs>
          <w:tab w:leader="none" w:pos="2642"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service charge shall be made to a Holder for any registration of transfer or exchange of Notes, but the Collateral Trustee or the Transfer Agent may require payment of a sum sufficient to cover any transfer tax or other governmental charge payable in connection therewith. The Collateral Trustee or the Transfer Agent shall be permitted to request such evidence reasonably satisfactory to it documenting the identity, authority and/or signatures of the transferor and transferee.</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Note may be sold or transferred (including, without limitation, by pledge or hypothecation) unless such sale or transfer is exempt from the registration requirements of the Securities Act, is exempt from the registration requirements under applicable state securities laws and will not cause the Issuer to become subject to the requirement that it register as an investment company under the 1940 Act.</w:t>
      </w:r>
    </w:p>
    <w:p>
      <w:pPr>
        <w:spacing w:after="0" w:line="180"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interest in a Subordinated Note may be transferred to a Benefit Plan Investor, and the Collateral Trustee shall not recognize any such transfer to a Person that represents that it is a Benefit Plan Investor. Each initial purchaser or subsequent transferee of an interest in a Subordinated Note in the form of a Global Note or an interest therein will be deemed to have represented and warranted, that: (A) it is not, and is not acting on behalf of, a Benefit Plan Investor; and (B) if such Person is a governmental, church, non-U.S. or other plan, (i) it is not, and for so long as it holds an interest in such Global Note will not be, subject to any Similar Law, and (ii) its acquisition, holding and disposition of its interest in such Global Note will not constitute or result in a non-exempt violation of any applicable Other Plan Law.</w:t>
      </w:r>
    </w:p>
    <w:p>
      <w:pPr>
        <w:spacing w:after="0" w:line="183"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transfer of any Subordinated Note (or any interest therein) to a Benefit Plan Investor will be effective. Transfer of an interest in a Rule 144A Global Subordinated Note to a Person that is a Benefit Plan Investor will not be permitted and the Collateral Trustee shall not recognize any such transfer.</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purchaser or transferee of an interest in a Subordinated Note from the Issuer or the initial holder thereof on the Closing Date will be required to provide the Issuer and the Collateral Trustee substantially in the form of the applicable transfer certificate.</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transfer of a beneficial interest in a Note will be effective if the transferee's acquisition, holding or disposition of such interest would constitute or result in a prohibited transaction under Section 406 of ERISA, Section 4975 of the Code or violation of other applicable law, unless an exemption is available and all conditions to permit such transfer have been satisfied.</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85" w:lineRule="exact"/>
        <w:rPr>
          <w:sz w:val="20"/>
          <w:szCs w:val="20"/>
          <w:color w:val="auto"/>
        </w:rPr>
      </w:pPr>
    </w:p>
    <w:p>
      <w:pPr>
        <w:jc w:val="both"/>
        <w:ind w:firstLine="1505"/>
        <w:spacing w:after="0" w:line="245" w:lineRule="auto"/>
        <w:tabs>
          <w:tab w:leader="none" w:pos="192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contained herein to the contrary, the Collateral Trustee shall not be responsible for ascertaining whether any transfer complies with, or for otherwise monitoring or determining compliance with, the registration provisions of or any exemptions from the Securities Act, applicable state securities laws or the applicable laws of any other jurisdiction, ERISA, the Code, the 1940 Act, or the terms hereof and the Collateral Trustee shall be permitted to rely solely on the representations made or deemed to have been made, as applicable, by such Holders (or beneficial owners) in connection with any limitation or restriction in respect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certificate is specifically required by the terms of this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to be provided to the Collateral Trustee by a prospective transferor or transferee, the Collateral Trustee shall be under a duty to receive and examine the same to determine whether or not the certificate substantially conforms on its face to the applicable requirements of this Indenture and shall promptly notify the party delivering the same and the Issuer if such certificate does not comply with such terms. Notwithstanding the foregoing, the Collateral Trustee, relying solely on representations made or deemed to have been made by Holders of an interest in any Subordinated Note shall not permit any transfer of an interest in a Subordinated Note if such transfer would result in a violation of the 25% Limitation in respect of the Subordinated Notes.</w:t>
      </w:r>
    </w:p>
    <w:p>
      <w:pPr>
        <w:spacing w:after="0" w:line="173"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Transfers of Global Notes shall only be made in accordance with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2.5(f)</w:t>
      </w:r>
      <w:r>
        <w:rPr>
          <w:rFonts w:ascii="Times New Roman" w:cs="Times New Roman" w:eastAsia="Times New Roman" w:hAnsi="Times New Roman"/>
          <w:sz w:val="22"/>
          <w:szCs w:val="22"/>
          <w:color w:val="auto"/>
        </w:rPr>
        <w:t>, and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left="760" w:firstLine="1015"/>
        <w:spacing w:after="0" w:line="246" w:lineRule="exact"/>
        <w:tabs>
          <w:tab w:leader="none" w:pos="225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 144A Global Secured Note to Regulation S Global Secured Note</w:t>
      </w:r>
      <w:r>
        <w:rPr>
          <w:rFonts w:ascii="Times New Roman" w:cs="Times New Roman" w:eastAsia="Times New Roman" w:hAnsi="Times New Roman"/>
          <w:sz w:val="22"/>
          <w:szCs w:val="22"/>
          <w:color w:val="auto"/>
        </w:rPr>
        <w:t xml:space="preserve">. Subject to the rules and procedures of DTC and this </w:t>
      </w:r>
      <w:r>
        <w:rPr>
          <w:rFonts w:ascii="Times New Roman" w:cs="Times New Roman" w:eastAsia="Times New Roman" w:hAnsi="Times New Roman"/>
          <w:sz w:val="22"/>
          <w:szCs w:val="22"/>
          <w:u w:val="single" w:color="auto"/>
          <w:color w:val="auto"/>
        </w:rPr>
        <w:t>Section 2.5(f)(i)</w:t>
      </w:r>
      <w:r>
        <w:rPr>
          <w:rFonts w:ascii="Times New Roman" w:cs="Times New Roman" w:eastAsia="Times New Roman" w:hAnsi="Times New Roman"/>
          <w:sz w:val="22"/>
          <w:szCs w:val="22"/>
          <w:color w:val="auto"/>
        </w:rPr>
        <w:t xml:space="preserve">, holder of a beneficial interest in a Rule 144A Global Secured Note deposited with DTC may at any time exchange its interest in such Rule 144A Global Secured Note for an equivalent beneficial interest in the corresponding Regulation S Global Secured Note, or transfer its interest in such Rule 144A Global Secured Note to a Person taking delivery thereof in the form of an equivalent beneficial interest in the corresponding Regulation S Global Secured Note;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exchanging holder or transferee, as applicable, is a Qualified Purchaser that is not a U.S. Person. Upon receipt by the Collateral Trustee, the Note Registrar and the Transfer Agent of (A) instructions given in accordance with DTC's procedures from an Agent Member directing the Transfer Agent to credit or cause to be credited a beneficial interest in the corresponding Regulation S Global Secured Note, in an amount equal to the beneficial interest in the Rule 144A Global Secured Note to be exchanged or transferred, but not less than the Minimum Denomination applicable to such Class of Secured Notes, (B) a written order given in accordance with DTC's procedures containing information regarding the participant account of DTC and the Euroclear or Clearstream account to be credited with such increase, (C) a duly-executed certificate in the form of </w:t>
      </w:r>
      <w:r>
        <w:rPr>
          <w:rFonts w:ascii="Times New Roman" w:cs="Times New Roman" w:eastAsia="Times New Roman" w:hAnsi="Times New Roman"/>
          <w:sz w:val="22"/>
          <w:szCs w:val="22"/>
          <w:u w:val="single" w:color="auto"/>
          <w:color w:val="auto"/>
        </w:rPr>
        <w:t>Exhibit B</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 xml:space="preserve"> attached hereto given by the holder of such beneficial interest stating that the exchange or transfer of such interest has been made in compliance with the transfer restrictions applicable to the Global Notes, including that the holder or the transferee, as applicable, is a Qualified Purchaser that is not a U.S. Person and is purchasing such beneficial interest in reliance on Regulation S, and (D) a written certification in the form of </w:t>
      </w:r>
      <w:r>
        <w:rPr>
          <w:rFonts w:ascii="Times New Roman" w:cs="Times New Roman" w:eastAsia="Times New Roman" w:hAnsi="Times New Roman"/>
          <w:sz w:val="22"/>
          <w:szCs w:val="22"/>
          <w:u w:val="single" w:color="auto"/>
          <w:color w:val="auto"/>
        </w:rPr>
        <w:t>Exhibit B</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 xml:space="preserve"> attached hereto given by the transferee in respect of such beneficial interest stating, among other things, that such transferee is a Qualified Purchaser that is not a U.S. Person and is purchasing such beneficial interest outside the United States in reliance on Regulation S, then the Transfer Agent shall approve the instructions at DTC to reduce, or cause to be reduced, the principal amount of the applicable Rule 144A Global Secured Note and to</w:t>
      </w:r>
    </w:p>
    <w:p>
      <w:pPr>
        <w:spacing w:after="0" w:line="16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85"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increase, or cause to be increased, the principal amount of the corresponding Regulation S Global Secured Note by the aggregate principal amount of the beneficial interest in the Rule 144A Global Secured Note to be exchanged or transferred, and to credit or cause to be credited to the securities account of the Agent Member specified in such instructions a beneficial interest in the corresponding Regulation S Global Secured Note equal to the reduction in the principal amount of such Rule 144A Global Secured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-186690</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7" w:lineRule="exact"/>
        <w:rPr>
          <w:sz w:val="20"/>
          <w:szCs w:val="20"/>
          <w:color w:val="auto"/>
        </w:rPr>
      </w:pPr>
    </w:p>
    <w:p>
      <w:pPr>
        <w:jc w:val="both"/>
        <w:ind w:left="760" w:firstLine="1015"/>
        <w:spacing w:after="0" w:line="246" w:lineRule="exact"/>
        <w:tabs>
          <w:tab w:leader="none" w:pos="2251"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Regulation S Global Secured Note to Rule 144A Global Secured Note</w:t>
      </w:r>
      <w:r>
        <w:rPr>
          <w:rFonts w:ascii="Times New Roman" w:cs="Times New Roman" w:eastAsia="Times New Roman" w:hAnsi="Times New Roman"/>
          <w:sz w:val="21"/>
          <w:szCs w:val="21"/>
          <w:color w:val="auto"/>
        </w:rPr>
        <w:t xml:space="preserve">. Subject to the rules and procedures of DTC and this </w:t>
      </w:r>
      <w:r>
        <w:rPr>
          <w:rFonts w:ascii="Times New Roman" w:cs="Times New Roman" w:eastAsia="Times New Roman" w:hAnsi="Times New Roman"/>
          <w:sz w:val="21"/>
          <w:szCs w:val="21"/>
          <w:u w:val="single" w:color="auto"/>
          <w:color w:val="auto"/>
        </w:rPr>
        <w:t>Section 2.5(f)(ii)</w:t>
      </w:r>
      <w:r>
        <w:rPr>
          <w:rFonts w:ascii="Times New Roman" w:cs="Times New Roman" w:eastAsia="Times New Roman" w:hAnsi="Times New Roman"/>
          <w:sz w:val="21"/>
          <w:szCs w:val="21"/>
          <w:color w:val="auto"/>
        </w:rPr>
        <w:t xml:space="preserve">, a holder of a beneficial interest in a Regulation S Global Secured Note deposited with DTC may at any time exchange its interest in such Regulation S Secured Global Note for an equivalent beneficial interest in the corresponding Rule 144A Global Secured Note or transfer its interest in such Regulation S Global Secured Note to a Person taking delivery thereof in the form of an equivalent beneficial interest in the corresponding Rule 144A Global Secured Note. Upon receipt by the Collateral Trustee, the Note Registrar and the Transfer Agent of (A) instructions from Euroclear, Clearstream and/or DTC, as the case may be, directing the Transfer Agent to credit or cause to be credited a beneficial interest in the corresponding Rule 144A Global Secured Note in an amount equal to the beneficial interest the Regulation S Global Secured Note to be exchanged or transferred, but not less than the Minimum Denomination applicable to such Class of Secured Notes, such instructions to contain information regarding the participant account with DTC to be credited with such increase, (B) a duly-executed certificate in the form of </w:t>
      </w:r>
      <w:r>
        <w:rPr>
          <w:rFonts w:ascii="Times New Roman" w:cs="Times New Roman" w:eastAsia="Times New Roman" w:hAnsi="Times New Roman"/>
          <w:sz w:val="21"/>
          <w:szCs w:val="21"/>
          <w:u w:val="single" w:color="auto"/>
          <w:color w:val="auto"/>
        </w:rPr>
        <w:t>Exhibit B</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xml:space="preserve"> attached hereto given by the holder of such beneficial interest and stating, among other things, that, in the case of a transfer, the Person transferring such interest in such Regulation S Global Secured Note reasonably believes that the Person acquiring such interest in a Rule 144A Global Secured Note is a QIB/QP, is obtaining such beneficial interest in a transaction meeting the requirements of Rule 144A and in accordance with any applicable securities laws of any state of the United States or any other jurisdiction and (C) a written certification in the form of </w:t>
      </w:r>
      <w:r>
        <w:rPr>
          <w:rFonts w:ascii="Times New Roman" w:cs="Times New Roman" w:eastAsia="Times New Roman" w:hAnsi="Times New Roman"/>
          <w:sz w:val="21"/>
          <w:szCs w:val="21"/>
          <w:u w:val="single" w:color="auto"/>
          <w:color w:val="auto"/>
        </w:rPr>
        <w:t>Exhibit B</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4</w:t>
      </w:r>
      <w:r>
        <w:rPr>
          <w:rFonts w:ascii="Times New Roman" w:cs="Times New Roman" w:eastAsia="Times New Roman" w:hAnsi="Times New Roman"/>
          <w:sz w:val="21"/>
          <w:szCs w:val="21"/>
          <w:color w:val="auto"/>
        </w:rPr>
        <w:t xml:space="preserve"> attached hereto given by the transferee in respect of such beneficial interest stating, among other things, that such transferee is a QIB/QP, then the Transfer Agent shall approve the instructions at DTC to reduce, or cause to be reduced, the Regulation S Global Secured Note and to increase or cause to be increased, the principal amount of the corresponding Rule 144A Global Secured Note by the aggregate principal amount of the beneficial interest in the Regulation S Global Secured Note to be or exchanged or transferred and to credit or cause to be credited to the securities account of the Agent Member specified in such instructions a beneficial interest in the corresponding Rule 144A Global Secured Note equal to the reduction in the principal amount of such Regulation S Global Secured Note.</w:t>
      </w:r>
    </w:p>
    <w:p>
      <w:pPr>
        <w:spacing w:after="0" w:line="200" w:lineRule="exact"/>
        <w:rPr>
          <w:rFonts w:ascii="Times New Roman" w:cs="Times New Roman" w:eastAsia="Times New Roman" w:hAnsi="Times New Roman"/>
          <w:sz w:val="21"/>
          <w:szCs w:val="21"/>
          <w:color w:val="auto"/>
        </w:rPr>
      </w:pPr>
    </w:p>
    <w:p>
      <w:pPr>
        <w:spacing w:after="0" w:line="230" w:lineRule="exact"/>
        <w:rPr>
          <w:rFonts w:ascii="Times New Roman" w:cs="Times New Roman" w:eastAsia="Times New Roman" w:hAnsi="Times New Roman"/>
          <w:sz w:val="21"/>
          <w:szCs w:val="21"/>
          <w:color w:val="auto"/>
        </w:rPr>
      </w:pPr>
    </w:p>
    <w:p>
      <w:pPr>
        <w:jc w:val="both"/>
        <w:ind w:left="760" w:firstLine="1015"/>
        <w:spacing w:after="0" w:line="250" w:lineRule="exact"/>
        <w:tabs>
          <w:tab w:leader="none" w:pos="221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Global Note to Certificated Note</w:t>
      </w:r>
      <w:r>
        <w:rPr>
          <w:rFonts w:ascii="Times New Roman" w:cs="Times New Roman" w:eastAsia="Times New Roman" w:hAnsi="Times New Roman"/>
          <w:sz w:val="22"/>
          <w:szCs w:val="22"/>
          <w:color w:val="auto"/>
        </w:rPr>
        <w:t xml:space="preserve">. Subject to the rules and procedures of Euroclear, Clearstream and/or DTC, as applicable, this </w:t>
      </w:r>
      <w:r>
        <w:rPr>
          <w:rFonts w:ascii="Times New Roman" w:cs="Times New Roman" w:eastAsia="Times New Roman" w:hAnsi="Times New Roman"/>
          <w:sz w:val="22"/>
          <w:szCs w:val="22"/>
          <w:u w:val="single" w:color="auto"/>
          <w:color w:val="auto"/>
        </w:rPr>
        <w:t>Section 2.5(f)(ii)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xml:space="preserve">, a holder of a beneficial interest in a Global Note deposited with DTC may at any time transfer its interest in such Global Note to one or more Persons taking delivery thereof in the form of a corresponding Certificated Note. Upon receipt by the Collateral Trustee, the Note Registrar and the Transfer Agent of (A) one or more duly-executed certificates substantially in the form of </w:t>
      </w:r>
      <w:r>
        <w:rPr>
          <w:rFonts w:ascii="Times New Roman" w:cs="Times New Roman" w:eastAsia="Times New Roman" w:hAnsi="Times New Roman"/>
          <w:sz w:val="22"/>
          <w:szCs w:val="22"/>
          <w:u w:val="single" w:color="auto"/>
          <w:color w:val="auto"/>
        </w:rPr>
        <w:t>Exhibit B</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and (B) appropriate instructions from DTC, if required, the Transfer Agent shall approve the instructions at DTC to reduce, or cause to</w:t>
      </w:r>
    </w:p>
    <w:p>
      <w:pPr>
        <w:spacing w:after="0" w:line="161"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85"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 xml:space="preserve">be reduced, the principal amount of the applicable Global Note by the aggregate principal amount of the beneficial interest in the Global Note to be transferred and record the transfer in the Note Register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2.5(a)</w:t>
      </w:r>
      <w:r>
        <w:rPr>
          <w:rFonts w:ascii="Times New Roman" w:cs="Times New Roman" w:eastAsia="Times New Roman" w:hAnsi="Times New Roman"/>
          <w:sz w:val="22"/>
          <w:szCs w:val="22"/>
          <w:color w:val="auto"/>
        </w:rPr>
        <w:t xml:space="preserve"> and upon execution by the Issuer, authentication by the Collateral Trustee or the Authenticating Agent and delivery by the Transfer Agent of one or more corresponding Certificated Notes, registered in the names specified in the instructions described in clause (B) above, in principal amounts designated by the transferee (the aggregate of such principal amounts being equal to the aggregate principal amount of the interest in such Global Note transferred by the transferor) but not less than the Minimum Denomination applicable to such Class of Notes.</w:t>
      </w:r>
    </w:p>
    <w:p>
      <w:pPr>
        <w:spacing w:after="0" w:line="183" w:lineRule="exact"/>
        <w:rPr>
          <w:sz w:val="20"/>
          <w:szCs w:val="20"/>
          <w:color w:val="auto"/>
        </w:rPr>
      </w:pPr>
    </w:p>
    <w:p>
      <w:pPr>
        <w:ind w:right="40" w:firstLine="1505"/>
        <w:spacing w:after="0" w:line="258" w:lineRule="auto"/>
        <w:tabs>
          <w:tab w:leader="none" w:pos="192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Transfers of Subordinated Notes (or beneficial interest therein) will only be made in accordance with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2.5(g)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760" w:firstLine="1015"/>
        <w:spacing w:after="0" w:line="245" w:lineRule="auto"/>
        <w:tabs>
          <w:tab w:leader="none" w:pos="2237"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of Certificated Subordinated Notes to Certificated Subordinated Notes</w:t>
      </w:r>
      <w:r>
        <w:rPr>
          <w:rFonts w:ascii="Times New Roman" w:cs="Times New Roman" w:eastAsia="Times New Roman" w:hAnsi="Times New Roman"/>
          <w:sz w:val="21"/>
          <w:szCs w:val="21"/>
          <w:color w:val="auto"/>
        </w:rPr>
        <w:t xml:space="preserve">. Upon receipt by the Registrar of (A) a Holder's Certificated Subordinated Note properly endorsed for assignment to the transferee, (B) a certificate substantially in the form of </w:t>
      </w:r>
      <w:r>
        <w:rPr>
          <w:rFonts w:ascii="Times New Roman" w:cs="Times New Roman" w:eastAsia="Times New Roman" w:hAnsi="Times New Roman"/>
          <w:sz w:val="21"/>
          <w:szCs w:val="21"/>
          <w:u w:val="single" w:color="auto"/>
          <w:color w:val="auto"/>
        </w:rPr>
        <w:t>Exhibit B-8</w:t>
      </w:r>
      <w:r>
        <w:rPr>
          <w:rFonts w:ascii="Times New Roman" w:cs="Times New Roman" w:eastAsia="Times New Roman" w:hAnsi="Times New Roman"/>
          <w:sz w:val="21"/>
          <w:szCs w:val="21"/>
          <w:color w:val="auto"/>
        </w:rPr>
        <w:t xml:space="preserve"> attached hereto given by the Holder and (C) a representation letter substantially in the form of </w:t>
      </w:r>
      <w:r>
        <w:rPr>
          <w:rFonts w:ascii="Times New Roman" w:cs="Times New Roman" w:eastAsia="Times New Roman" w:hAnsi="Times New Roman"/>
          <w:sz w:val="21"/>
          <w:szCs w:val="21"/>
          <w:u w:val="single" w:color="auto"/>
          <w:color w:val="auto"/>
        </w:rPr>
        <w:t>Exhibit B-2</w:t>
      </w:r>
      <w:r>
        <w:rPr>
          <w:rFonts w:ascii="Times New Roman" w:cs="Times New Roman" w:eastAsia="Times New Roman" w:hAnsi="Times New Roman"/>
          <w:sz w:val="21"/>
          <w:szCs w:val="21"/>
          <w:color w:val="auto"/>
        </w:rPr>
        <w:t xml:space="preserve"> attached hereto and a certificate substantially in the form of </w:t>
      </w:r>
      <w:r>
        <w:rPr>
          <w:rFonts w:ascii="Times New Roman" w:cs="Times New Roman" w:eastAsia="Times New Roman" w:hAnsi="Times New Roman"/>
          <w:sz w:val="21"/>
          <w:szCs w:val="21"/>
          <w:u w:val="single" w:color="auto"/>
          <w:color w:val="auto"/>
        </w:rPr>
        <w:t>Exhibit B-9</w:t>
      </w:r>
      <w:r>
        <w:rPr>
          <w:rFonts w:ascii="Times New Roman" w:cs="Times New Roman" w:eastAsia="Times New Roman" w:hAnsi="Times New Roman"/>
          <w:sz w:val="21"/>
          <w:szCs w:val="21"/>
          <w:color w:val="auto"/>
        </w:rPr>
        <w:t xml:space="preserve"> attached hereto given by the transferee of such Certificated Subordinated Note, the Registrar shall (1) cancel such Certificated Subordinated Note in accordance with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xml:space="preserve">, (2) record the transfer in the Register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2.5(a)</w:t>
      </w:r>
      <w:r>
        <w:rPr>
          <w:rFonts w:ascii="Times New Roman" w:cs="Times New Roman" w:eastAsia="Times New Roman" w:hAnsi="Times New Roman"/>
          <w:sz w:val="21"/>
          <w:szCs w:val="21"/>
          <w:color w:val="auto"/>
        </w:rPr>
        <w:t xml:space="preserve"> and (3) upon execution by the Issuer and authentication and delivery by the Collateral Trustee, deliver one or more Certificated Subordinated Notes bearing the same designation as the Certificated Subordinated Notes endorsed for transfer, registered in the names specified in the assignment described in clause (A) above, in principal amounts designated by the transferee (the aggregate of such principal amounts being equal to the aggregate principal amount of the Certificated Subordinated Note surrendered by the transferor), and in Minimum Denominations.</w:t>
      </w:r>
    </w:p>
    <w:p>
      <w:pPr>
        <w:spacing w:after="0" w:line="177" w:lineRule="exact"/>
        <w:rPr>
          <w:rFonts w:ascii="Times New Roman" w:cs="Times New Roman" w:eastAsia="Times New Roman" w:hAnsi="Times New Roman"/>
          <w:sz w:val="21"/>
          <w:szCs w:val="21"/>
          <w:color w:val="auto"/>
        </w:rPr>
      </w:pPr>
    </w:p>
    <w:p>
      <w:pPr>
        <w:jc w:val="both"/>
        <w:ind w:left="760" w:firstLine="1015"/>
        <w:spacing w:after="0" w:line="233" w:lineRule="auto"/>
        <w:tabs>
          <w:tab w:leader="none" w:pos="222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Rule 144A Global Subordinated Notes to Certificated Subordinated Notes</w:t>
      </w:r>
      <w:r>
        <w:rPr>
          <w:rFonts w:ascii="Times New Roman" w:cs="Times New Roman" w:eastAsia="Times New Roman" w:hAnsi="Times New Roman"/>
          <w:sz w:val="22"/>
          <w:szCs w:val="22"/>
          <w:color w:val="auto"/>
        </w:rPr>
        <w:t xml:space="preserve">. A holder of a beneficial interest in a Rule 144A Global Subordinated Note deposited with DTC, at any time, may exchange its interest in such Rule 144A Global Subordinated Note for a Certificated Subordinated Note or may transfer its interest in such Rule 144A Global Subordinated Note to a Person in the form of a Certificated Subordinated Note,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2.5(b)</w:t>
      </w:r>
      <w:r>
        <w:rPr>
          <w:rFonts w:ascii="Times New Roman" w:cs="Times New Roman" w:eastAsia="Times New Roman" w:hAnsi="Times New Roman"/>
          <w:sz w:val="22"/>
          <w:szCs w:val="22"/>
          <w:color w:val="auto"/>
        </w:rPr>
        <w:t xml:space="preserve"> and the rules and procedures of Euroclear, Clearstream and/or DTC, as the case may be, by delivering to the Registrar (A) a certificate substantially in the form of </w:t>
      </w:r>
      <w:r>
        <w:rPr>
          <w:rFonts w:ascii="Times New Roman" w:cs="Times New Roman" w:eastAsia="Times New Roman" w:hAnsi="Times New Roman"/>
          <w:sz w:val="22"/>
          <w:szCs w:val="22"/>
          <w:u w:val="single" w:color="auto"/>
          <w:color w:val="auto"/>
        </w:rPr>
        <w:t>Exhibit B-6</w:t>
      </w:r>
      <w:r>
        <w:rPr>
          <w:rFonts w:ascii="Times New Roman" w:cs="Times New Roman" w:eastAsia="Times New Roman" w:hAnsi="Times New Roman"/>
          <w:sz w:val="22"/>
          <w:szCs w:val="22"/>
          <w:color w:val="auto"/>
        </w:rPr>
        <w:t xml:space="preserve"> attached hereto given by the Holder, (B) a representation letter substantially in the form of </w:t>
      </w: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 xml:space="preserve"> attached hereto and a certificate substantially in the form of </w:t>
      </w:r>
      <w:r>
        <w:rPr>
          <w:rFonts w:ascii="Times New Roman" w:cs="Times New Roman" w:eastAsia="Times New Roman" w:hAnsi="Times New Roman"/>
          <w:sz w:val="22"/>
          <w:szCs w:val="22"/>
          <w:u w:val="single" w:color="auto"/>
          <w:color w:val="auto"/>
        </w:rPr>
        <w:t>Exhibit B-7</w:t>
      </w:r>
      <w:r>
        <w:rPr>
          <w:rFonts w:ascii="Times New Roman" w:cs="Times New Roman" w:eastAsia="Times New Roman" w:hAnsi="Times New Roman"/>
          <w:sz w:val="22"/>
          <w:szCs w:val="22"/>
          <w:color w:val="auto"/>
        </w:rPr>
        <w:t xml:space="preserve"> attached hereto executed by the transferee and (C) appropriate instructions from DTC, if required. Upon receipt of the foregoing, the Registrar shall (1) approve the instructions at DTC to reduce, or cause to be reduced, the Rule 144A Global Subordinated Note by the aggregate principal amount of the beneficial interest in the Rule 144A Global Subordinated Note to be transferred or exchanged, (2) record the transfer in the Register in accordance with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xml:space="preserve"> and (3) upon execution by the Issuer and authentication and delivery by the Collateral Trustee, deliver one or more Certificated Subordinated Notes, registered in the names specified in the instructions described in clause (B) above, in principal amounts designated by the transferee (the aggregate of such</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85"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principal amounts being equal to the aggregate principal amount of the interest in the Rule 144A Global Subordinated Note transferred by the transferor), and in Minimum Denominations.</w:t>
      </w:r>
    </w:p>
    <w:p>
      <w:pPr>
        <w:spacing w:after="0" w:line="158" w:lineRule="exact"/>
        <w:rPr>
          <w:sz w:val="20"/>
          <w:szCs w:val="20"/>
          <w:color w:val="auto"/>
        </w:rPr>
      </w:pPr>
    </w:p>
    <w:p>
      <w:pPr>
        <w:jc w:val="both"/>
        <w:ind w:left="760" w:firstLine="1015"/>
        <w:spacing w:after="0" w:line="244" w:lineRule="auto"/>
        <w:tabs>
          <w:tab w:leader="none" w:pos="2224"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of Certificated Subordinated Notes to Rule 144A Global Subordinated Notes</w:t>
      </w:r>
      <w:r>
        <w:rPr>
          <w:rFonts w:ascii="Times New Roman" w:cs="Times New Roman" w:eastAsia="Times New Roman" w:hAnsi="Times New Roman"/>
          <w:sz w:val="21"/>
          <w:szCs w:val="21"/>
          <w:color w:val="auto"/>
        </w:rPr>
        <w:t xml:space="preserve">. A Holder of a Certificated Subordinated Note, at any time, may exchange its interest in such Note for a beneficial interest in a Rule 144A Global Subordinated Note or may transfer such Note to a Person in the form of a beneficial interest in a Rule 144A Global Subordinated Note, subject to </w:t>
      </w:r>
      <w:r>
        <w:rPr>
          <w:rFonts w:ascii="Times New Roman" w:cs="Times New Roman" w:eastAsia="Times New Roman" w:hAnsi="Times New Roman"/>
          <w:sz w:val="21"/>
          <w:szCs w:val="21"/>
          <w:u w:val="single" w:color="auto"/>
          <w:color w:val="auto"/>
        </w:rPr>
        <w:t>Section 2.5(b)</w:t>
      </w:r>
      <w:r>
        <w:rPr>
          <w:rFonts w:ascii="Times New Roman" w:cs="Times New Roman" w:eastAsia="Times New Roman" w:hAnsi="Times New Roman"/>
          <w:sz w:val="21"/>
          <w:szCs w:val="21"/>
          <w:color w:val="auto"/>
        </w:rPr>
        <w:t xml:space="preserve"> and the rules and procedures of Euroclear, Clearstream and/or DTC, as the case may be, by delivering to the Registrar (A) such Holder's Certificated Subordinated Note properly endorsed for assignment to the transferee, (B) a certificate substantially in the form of </w:t>
      </w:r>
      <w:r>
        <w:rPr>
          <w:rFonts w:ascii="Times New Roman" w:cs="Times New Roman" w:eastAsia="Times New Roman" w:hAnsi="Times New Roman"/>
          <w:sz w:val="21"/>
          <w:szCs w:val="21"/>
          <w:u w:val="single" w:color="auto"/>
          <w:color w:val="auto"/>
        </w:rPr>
        <w:t>Exhibit B-8</w:t>
      </w:r>
      <w:r>
        <w:rPr>
          <w:rFonts w:ascii="Times New Roman" w:cs="Times New Roman" w:eastAsia="Times New Roman" w:hAnsi="Times New Roman"/>
          <w:sz w:val="21"/>
          <w:szCs w:val="21"/>
          <w:color w:val="auto"/>
        </w:rPr>
        <w:t xml:space="preserve"> attached hereto given by the Holder of such Certificated Subordinated Note, (C) a certificate substantially in the form of </w:t>
      </w:r>
      <w:r>
        <w:rPr>
          <w:rFonts w:ascii="Times New Roman" w:cs="Times New Roman" w:eastAsia="Times New Roman" w:hAnsi="Times New Roman"/>
          <w:sz w:val="21"/>
          <w:szCs w:val="21"/>
          <w:u w:val="single" w:color="auto"/>
          <w:color w:val="auto"/>
        </w:rPr>
        <w:t>Exhibit B-7</w:t>
      </w:r>
      <w:r>
        <w:rPr>
          <w:rFonts w:ascii="Times New Roman" w:cs="Times New Roman" w:eastAsia="Times New Roman" w:hAnsi="Times New Roman"/>
          <w:sz w:val="21"/>
          <w:szCs w:val="21"/>
          <w:color w:val="auto"/>
        </w:rPr>
        <w:t xml:space="preserve"> attached hereto executed by the transferee, (D) instructions given in accordance with Euroclear, Clearstream or DTC's procedures, as the case may be, from an Agent Member to instruct DTC to cause to be credited a beneficial interest in the applicable Rule 144A Global Subordinated Note in an amount equal to the Certificated Subordinated Notes to be transferred or exchanged, but not less than the Minimum Denomination applicable to the Notes to be exchanged or transferred, and (E) a written order given in accordance with DTC's procedures containing information regarding the participant's account at DTC and/or Euroclear or Clearstream to be credited with such increase. Upon receipt of the foregoing, the Registrar shall (1) cancel such Certificated Subordinated Note, (2) record the transfer in the Register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2.5(a)</w:t>
      </w:r>
      <w:r>
        <w:rPr>
          <w:rFonts w:ascii="Times New Roman" w:cs="Times New Roman" w:eastAsia="Times New Roman" w:hAnsi="Times New Roman"/>
          <w:sz w:val="21"/>
          <w:szCs w:val="21"/>
          <w:color w:val="auto"/>
        </w:rPr>
        <w:t xml:space="preserve"> and (3) approve the instructions at DTC, concurrently with such recordation, to credit or cause to be credited to the securities account of the Person specified in such instructions a beneficial interest in the applicable Rule 144A Global Subordinated Note equal to the principal amount of the Certificated Subordinated Note transferred or exchanged.</w:t>
      </w:r>
    </w:p>
    <w:p>
      <w:pPr>
        <w:spacing w:after="0" w:line="173" w:lineRule="exact"/>
        <w:rPr>
          <w:rFonts w:ascii="Times New Roman" w:cs="Times New Roman" w:eastAsia="Times New Roman" w:hAnsi="Times New Roman"/>
          <w:sz w:val="21"/>
          <w:szCs w:val="21"/>
          <w:color w:val="auto"/>
        </w:rPr>
      </w:pPr>
    </w:p>
    <w:p>
      <w:pPr>
        <w:ind w:left="760" w:right="40" w:firstLine="1015"/>
        <w:spacing w:after="0" w:line="258" w:lineRule="auto"/>
        <w:tabs>
          <w:tab w:leader="none" w:pos="221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transferee of an interest in a Subordinated Note from the Issuer is required to certify that it is a United States person (as defined in Section 7701(a)(30) of the Code) for U.S. federal income tax purposes.</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Transfers of Certificated Notes shall only be made in accordance with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2.5(h)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left="760" w:firstLine="1015"/>
        <w:spacing w:after="0" w:line="249" w:lineRule="exact"/>
        <w:tabs>
          <w:tab w:leader="none" w:pos="222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Certificated Notes to Rule 144A Global Notes or Regulation S Global Secured Notes</w:t>
      </w:r>
      <w:r>
        <w:rPr>
          <w:rFonts w:ascii="Times New Roman" w:cs="Times New Roman" w:eastAsia="Times New Roman" w:hAnsi="Times New Roman"/>
          <w:sz w:val="22"/>
          <w:szCs w:val="22"/>
          <w:color w:val="auto"/>
        </w:rPr>
        <w:t xml:space="preserve">. Subject to the rules and procedures of Euroclear, Clearstream and/or DTC, as applicable, and this </w:t>
      </w:r>
      <w:r>
        <w:rPr>
          <w:rFonts w:ascii="Times New Roman" w:cs="Times New Roman" w:eastAsia="Times New Roman" w:hAnsi="Times New Roman"/>
          <w:sz w:val="22"/>
          <w:szCs w:val="22"/>
          <w:u w:val="single" w:color="auto"/>
          <w:color w:val="auto"/>
        </w:rPr>
        <w:t>Section 2.5(h)(i)</w:t>
      </w:r>
      <w:r>
        <w:rPr>
          <w:rFonts w:ascii="Times New Roman" w:cs="Times New Roman" w:eastAsia="Times New Roman" w:hAnsi="Times New Roman"/>
          <w:sz w:val="22"/>
          <w:szCs w:val="22"/>
          <w:color w:val="auto"/>
        </w:rPr>
        <w:t xml:space="preserve">, a holder of a Certificated Note may at any time exchange all or a portion of its interest in such Certificated Note for a beneficial interest in a corresponding Rule 144A Global Notes or, solely in the case of a Certificated Secured Note, Regulation S Global Secured Note or to transfer all or a portion of such Certificated Note to one or more Persons taking delivery thereof in the form of a beneficial interest in the corresponding Rule 144A Global Note or the Regulation S Global Secured Note. Upon receipt by the Note Registrar of (A) a Holder's Certificated Note properly endorsed for assignment to one or more transferee, (B) a duly-executed certificate substantially in the form of </w:t>
      </w:r>
      <w:r>
        <w:rPr>
          <w:rFonts w:ascii="Times New Roman" w:cs="Times New Roman" w:eastAsia="Times New Roman" w:hAnsi="Times New Roman"/>
          <w:sz w:val="22"/>
          <w:szCs w:val="22"/>
          <w:u w:val="single" w:color="auto"/>
          <w:color w:val="auto"/>
        </w:rPr>
        <w:t>Exhibit B</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B</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xml:space="preserve"> (as applicable) attached hereto executed by the</w:t>
      </w:r>
    </w:p>
    <w:p>
      <w:pPr>
        <w:spacing w:after="0" w:line="15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50" w:lineRule="exact"/>
        <w:rPr>
          <w:sz w:val="20"/>
          <w:szCs w:val="20"/>
          <w:color w:val="auto"/>
        </w:rPr>
      </w:pPr>
    </w:p>
    <w:p>
      <w:pPr>
        <w:jc w:val="both"/>
        <w:ind w:left="760"/>
        <w:spacing w:after="0" w:line="251" w:lineRule="exact"/>
        <w:rPr>
          <w:sz w:val="20"/>
          <w:szCs w:val="20"/>
          <w:color w:val="auto"/>
        </w:rPr>
      </w:pPr>
      <w:r>
        <w:rPr>
          <w:rFonts w:ascii="Times New Roman" w:cs="Times New Roman" w:eastAsia="Times New Roman" w:hAnsi="Times New Roman"/>
          <w:sz w:val="21"/>
          <w:szCs w:val="21"/>
          <w:color w:val="auto"/>
        </w:rPr>
        <w:t xml:space="preserve">transferor and a certificate substantially in the form of </w:t>
      </w:r>
      <w:r>
        <w:rPr>
          <w:rFonts w:ascii="Times New Roman" w:cs="Times New Roman" w:eastAsia="Times New Roman" w:hAnsi="Times New Roman"/>
          <w:sz w:val="21"/>
          <w:szCs w:val="21"/>
          <w:u w:val="single" w:color="auto"/>
          <w:color w:val="auto"/>
        </w:rPr>
        <w:t>Exhibit B</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5</w:t>
      </w:r>
      <w:r>
        <w:rPr>
          <w:rFonts w:ascii="Times New Roman" w:cs="Times New Roman" w:eastAsia="Times New Roman" w:hAnsi="Times New Roman"/>
          <w:sz w:val="21"/>
          <w:szCs w:val="21"/>
          <w:color w:val="auto"/>
        </w:rPr>
        <w:t xml:space="preserve"> (as applicable) attached hereto executed by each transferee, (C) instructions given in accordance with Euroclear, Clearstream or DTC's procedures, as the case may be, from an Agent Member to instruct DTC to cause to be credited a beneficial interest in the corresponding Rule 144A Global Notes or Regulation S Global Secured Notes, as applicable, in an amount equal to the Certificated Notes to be transferred to each such transferee or exchanged, and (D) a written order given in accordance with DTC's procedures containing information regarding the Agent Member's account at DTC and/or Euroclear or Clearstream to be credited with such increase, the Note Registrar shall cancel such Certificated Note in accordance with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xml:space="preserve">, record the transfer in the Note Register in accordance with </w:t>
      </w:r>
      <w:r>
        <w:rPr>
          <w:rFonts w:ascii="Times New Roman" w:cs="Times New Roman" w:eastAsia="Times New Roman" w:hAnsi="Times New Roman"/>
          <w:sz w:val="21"/>
          <w:szCs w:val="21"/>
          <w:u w:val="single" w:color="auto"/>
          <w:color w:val="auto"/>
        </w:rPr>
        <w:t>Section 2.5(a)</w:t>
      </w:r>
      <w:r>
        <w:rPr>
          <w:rFonts w:ascii="Times New Roman" w:cs="Times New Roman" w:eastAsia="Times New Roman" w:hAnsi="Times New Roman"/>
          <w:sz w:val="21"/>
          <w:szCs w:val="21"/>
          <w:color w:val="auto"/>
        </w:rPr>
        <w:t xml:space="preserve"> and approve the instructions at DTC, concurrently with such cancellation, to credit or cause to be credited to the securities account of the Agent Member specified in such instructions a beneficial interest in the corresponding Rule 144A Global Notes or Regulation S Global Secured Note equal to the principal amount of the Certificated Note transferred to each such transferee or exchanged.</w:t>
      </w:r>
    </w:p>
    <w:p>
      <w:pPr>
        <w:spacing w:after="0" w:line="181" w:lineRule="exact"/>
        <w:rPr>
          <w:sz w:val="20"/>
          <w:szCs w:val="20"/>
          <w:color w:val="auto"/>
        </w:rPr>
      </w:pPr>
    </w:p>
    <w:p>
      <w:pPr>
        <w:jc w:val="both"/>
        <w:ind w:left="760" w:firstLine="1015"/>
        <w:spacing w:after="0" w:line="247" w:lineRule="exact"/>
        <w:tabs>
          <w:tab w:leader="none" w:pos="2224"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Certificated Notes to Certificated Notes</w:t>
      </w:r>
      <w:r>
        <w:rPr>
          <w:rFonts w:ascii="Times New Roman" w:cs="Times New Roman" w:eastAsia="Times New Roman" w:hAnsi="Times New Roman"/>
          <w:sz w:val="22"/>
          <w:szCs w:val="22"/>
          <w:color w:val="auto"/>
        </w:rPr>
        <w:t xml:space="preserve">. Subject to this </w:t>
      </w:r>
      <w:r>
        <w:rPr>
          <w:rFonts w:ascii="Times New Roman" w:cs="Times New Roman" w:eastAsia="Times New Roman" w:hAnsi="Times New Roman"/>
          <w:sz w:val="22"/>
          <w:szCs w:val="22"/>
          <w:u w:val="single" w:color="auto"/>
          <w:color w:val="auto"/>
        </w:rPr>
        <w:t>Section 2.5(h)(ii)</w:t>
      </w:r>
      <w:r>
        <w:rPr>
          <w:rFonts w:ascii="Times New Roman" w:cs="Times New Roman" w:eastAsia="Times New Roman" w:hAnsi="Times New Roman"/>
          <w:sz w:val="22"/>
          <w:szCs w:val="22"/>
          <w:color w:val="auto"/>
        </w:rPr>
        <w:t xml:space="preserve">, a holder of a Certificated Note may at any time exchange such Certificated Note for one or more Certificated Notes and/or transfer all or a portion of such Certificated Note to one or more Person taking delivery thereof in the form of a Certificated Note. Upon receipt by the Note Registrar of (A) a Holder's Certificated Note properly endorsed for assignment to each transferee, and (B) a duly-executed certificates substantially in the form of </w:t>
      </w:r>
      <w:r>
        <w:rPr>
          <w:rFonts w:ascii="Times New Roman" w:cs="Times New Roman" w:eastAsia="Times New Roman" w:hAnsi="Times New Roman"/>
          <w:sz w:val="22"/>
          <w:szCs w:val="22"/>
          <w:u w:val="single" w:color="auto"/>
          <w:color w:val="auto"/>
        </w:rPr>
        <w:t>Exhibit B</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attached hereto executed by each transferee, the Note Registrar shall cancel such Certificated Note in accordance with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record the transfer in the Note Register in accordance with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xml:space="preserve"> and upon execution by the Issuer, authentication by the Collateral Trustee or the Authenticating Agent and delivery by the Collateral Trustee, deliver one or more Certificated Notes bearing the same designation as the Certificated Note endorsed for transfer, registered in the names specified in the assignment described in clause (A) above, in principal amounts designated by the transferee (the aggregate of such principal amounts being equal to the aggregate principal amount of the Certificated Note surrendered by the transferor) but not less than the Minimum Denomination applicable to such Class of Notes.</w:t>
      </w:r>
    </w:p>
    <w:p>
      <w:pPr>
        <w:spacing w:after="0" w:line="185"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Notes are issued upon the transfer, exchange or replacement of Notes bearing the applicable legends set forth in the applicable part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 if a request is made to remove such applicable legend on such Notes, the applicable legend shall not be removed unless there is delivered to the Collateral Trustee and the Issuer such satisfactory evidence, which may include an Opinion of Counsel acceptable to them, as may be reasonably required by the Issuer (and which shall by its terms permit reliance by the Collateral Trustee), to the effect that neither such applicable legend nor the restrictions on transfer set forth therein are required to ensure that transfers thereof comply with the provisions of the Securities Act, the 1940 Act, ERISA or the Code. Upon provision of such satisfactory evidence, the Collateral Trustee or its Authenticating Agent, at the written direction of the Issuer shall, after due execution by the Issuer authenticate and deliver Notes that do not bear such applicable legend.</w:t>
      </w:r>
    </w:p>
    <w:p>
      <w:pPr>
        <w:spacing w:after="0" w:line="183"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Person who becomes a beneficial owner of Notes represented by an interest in a Global Note will be deemed to have represented and agreed as follows (except as may</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be expressly agreed in writing between an initial purchaser and the Issuer, which writing shall be provided to the Collateral Trustee):</w:t>
      </w:r>
    </w:p>
    <w:p>
      <w:pPr>
        <w:spacing w:after="0" w:line="158" w:lineRule="exact"/>
        <w:rPr>
          <w:sz w:val="20"/>
          <w:szCs w:val="20"/>
          <w:color w:val="auto"/>
        </w:rPr>
      </w:pPr>
    </w:p>
    <w:p>
      <w:pPr>
        <w:jc w:val="both"/>
        <w:ind w:left="760" w:firstLine="1015"/>
        <w:spacing w:after="0" w:line="242" w:lineRule="auto"/>
        <w:tabs>
          <w:tab w:leader="none" w:pos="221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purchase of such Notes, such beneficial owner agrees that: (A) none of the Issuer, the Collateral Manager, the Placement Agent, the Collateral Trustee, the Loan Agent, the Collateral Administrator, the Administrative Service Provider, the Transferor or any of their respective affiliates is acting as a fiduciary or financial or investment adviser for such beneficial owner; (B) such beneficial owner is not relying (for purposes of making any investment decision or otherwise) upon any advice, counsel or representations (whether written or oral) of the Issuer, the Collateral Manager, the Placement Agent, the Collateral Trustee, the Loan Agent, the Collateral Administrator, the Administrative Service Provider, the Transferor or any of their respective affiliates other than any statements in the final Offering Circular for such Notes, and such beneficial owner has read and understands such final Offering Circular (including, without limitation, the descriptions therein of the structure of the transaction in which the Notes are being issued and the risks to purchasers of the Notes); (C) such beneficial owner has consulted with its own legal, regulatory, tax, business, investment, financial and accounting advisors to the extent it has deemed necessary and has made its own investment decisions (including decisions regarding the suitability of any transaction pursuant to this Indenture) based upon its own judgment and upon any advice from such advisors as it has deemed necessary and not upon any view expressed by the Issuer, the Collateral Manager, the Placement Agent, the Collateral Trustee, the Loan Agent, the Collateral Administrator, the Administrative Service Provider, the Transferor or any of their respective affiliates; (D) such beneficial owner is either (i) (in the case of a beneficial owner of an interest in a Rule 144A Global Note) both (1) a Qualified Institutional Buyer that is not a broker-dealer which owns and invests on a discretionary basis less than U.S.$25,000,000 in securities of issuers that are not affiliated persons of the dealer and is not a plan referred to in paragraph (a)(1)(i)(D) or (a)(1)(i)(E) of Rule 144A under the Securities Act or a trust fund referred to in paragraph (a)</w:t>
      </w:r>
    </w:p>
    <w:p>
      <w:pPr>
        <w:spacing w:after="0" w:line="14" w:lineRule="exact"/>
        <w:rPr>
          <w:rFonts w:ascii="Times New Roman" w:cs="Times New Roman" w:eastAsia="Times New Roman" w:hAnsi="Times New Roman"/>
          <w:sz w:val="21"/>
          <w:szCs w:val="21"/>
          <w:color w:val="auto"/>
        </w:rPr>
      </w:pPr>
    </w:p>
    <w:p>
      <w:pPr>
        <w:jc w:val="both"/>
        <w:ind w:left="760"/>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(1)(i)(F) of Rule 144A under the Securities Act that holds the assets of such a plan, if investment decisions with respect to the plan are made by beneficiaries of the plan and (2) a Qualified Purchaser or an entity (other than a trust) owned exclusively by Qualified Purchasers or (ii) (in the case of a beneficial owner of an interest in a Regulation S Global Secured Note) both (1) a "qualified person" that is not a "U.S. person" (as defined in Regulation S) and (2) a Qualified Purchaser or an entity (other than a trust) owned exclusively by Qualified Purchasers and is acquiring the Secured Notes in reliance on the exemption from registration provided by Regulation S; (E) such beneficial owner is acquiring its interest in such Notes for its own account and not with a view to the resale, distribution or other disposition thereof in violation of the Securities Act; (F) such beneficial owner was not formed for the purpose of investing in such Notes; (G) such beneficial owner understands that the Issuer may receive a list of participants holding interests in the Notes from one or more book-entry depositories; (H) such beneficial owner will hold and transfer at least the Minimum Denomination of such Notes; (I) such beneficial owner is a sophisticated investor and is purchasing the Notes with a full understanding of all of the terms, conditions and risks thereof, and is capable of and willing to assume those risks; and</w:t>
      </w:r>
    </w:p>
    <w:p>
      <w:pPr>
        <w:spacing w:after="0" w:line="6" w:lineRule="exact"/>
        <w:rPr>
          <w:rFonts w:ascii="Times New Roman" w:cs="Times New Roman" w:eastAsia="Times New Roman" w:hAnsi="Times New Roman"/>
          <w:sz w:val="21"/>
          <w:szCs w:val="21"/>
          <w:color w:val="auto"/>
        </w:rPr>
      </w:pPr>
    </w:p>
    <w:p>
      <w:pPr>
        <w:ind w:left="760" w:hanging="3"/>
        <w:spacing w:after="0" w:line="237" w:lineRule="auto"/>
        <w:tabs>
          <w:tab w:leader="none" w:pos="109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beneficial owner will provide notice of the relevant transfer restrictions, representations, warranties and agreements to subsequent transferees.</w:t>
      </w:r>
    </w:p>
    <w:p>
      <w:pPr>
        <w:spacing w:after="0" w:line="15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85" w:lineRule="exact"/>
        <w:rPr>
          <w:sz w:val="20"/>
          <w:szCs w:val="20"/>
          <w:color w:val="auto"/>
        </w:rPr>
      </w:pPr>
    </w:p>
    <w:p>
      <w:pPr>
        <w:jc w:val="both"/>
        <w:ind w:left="760" w:firstLine="1015"/>
        <w:spacing w:after="0" w:line="246" w:lineRule="auto"/>
        <w:tabs>
          <w:tab w:leader="none" w:pos="221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the Class A-1 Notes, the Class A-2 Notes, the Class B Notes and the Class C Notes, or any interest therein, and solely after the Issuer has received written advice of Dechert LLP, or an opinion of another nationally recognized tax counsel, with respect to the Class D Notes, such beneficial owner agrees that (a) if it is, or is acting on behalf of, a Benefit Plan Investor, its acquisition, holding and disposition of such Notes do not and will not constitute or result in a non-exempt prohibited transaction under Section 406 of ERISA or Section 4975 of the Code, and</w:t>
      </w:r>
    </w:p>
    <w:p>
      <w:pPr>
        <w:spacing w:after="0" w:line="1" w:lineRule="exact"/>
        <w:rPr>
          <w:rFonts w:ascii="Times New Roman" w:cs="Times New Roman" w:eastAsia="Times New Roman" w:hAnsi="Times New Roman"/>
          <w:sz w:val="21"/>
          <w:szCs w:val="21"/>
          <w:color w:val="auto"/>
        </w:rPr>
      </w:pPr>
    </w:p>
    <w:p>
      <w:pPr>
        <w:jc w:val="both"/>
        <w:ind w:left="760" w:hanging="3"/>
        <w:spacing w:after="0" w:line="232" w:lineRule="auto"/>
        <w:tabs>
          <w:tab w:leader="none" w:pos="106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it is a governmental, church, non-U.S. or other plan which is subject to any Other Plan Law, its acquisition, holding and disposition of such Notes will not constitute or result in a non-exempt violation of any Other Plan Law. In the case of Class D Notes prior to the issuance of written advice of Dechert LLP, or an opinion of another nationally recognized tax counsel, each person who purchases or holds any direct or indirect interest in such Note shall be deemed to represent that on each date on which it holds such interest it is not and will not be a Benefit Plan Investor or a governmental, church, non-U.S. or other plan which is subject to any Other Plan Law.</w:t>
      </w:r>
    </w:p>
    <w:p>
      <w:pPr>
        <w:spacing w:after="0" w:line="182" w:lineRule="exact"/>
        <w:rPr>
          <w:rFonts w:ascii="Times New Roman" w:cs="Times New Roman" w:eastAsia="Times New Roman" w:hAnsi="Times New Roman"/>
          <w:sz w:val="22"/>
          <w:szCs w:val="22"/>
          <w:color w:val="auto"/>
        </w:rPr>
      </w:pPr>
    </w:p>
    <w:p>
      <w:pPr>
        <w:jc w:val="both"/>
        <w:ind w:left="760" w:firstLine="1015"/>
        <w:spacing w:after="0" w:line="238" w:lineRule="auto"/>
        <w:tabs>
          <w:tab w:leader="none" w:pos="221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purchaser or transferee of any Secured Notes or beneficial interest therein is a Benefit Plan Investor, it will be deemed to represent, warrant and agree that (i) none of the Transaction Parties or any of their affiliates, has provided any investment advice within the meaning of Section 3(21)(A)(ii) of ERISA to the Benefit Plan Investor, or to any Fiduciary, in connection with its acquisition of Notes, and (ii) the Fiduciary is exercising its own independent judgment in evaluating the investment in the Notes.</w:t>
      </w:r>
    </w:p>
    <w:p>
      <w:pPr>
        <w:spacing w:after="0" w:line="177" w:lineRule="exact"/>
        <w:rPr>
          <w:sz w:val="20"/>
          <w:szCs w:val="20"/>
          <w:color w:val="auto"/>
        </w:rPr>
      </w:pPr>
    </w:p>
    <w:p>
      <w:pPr>
        <w:jc w:val="both"/>
        <w:ind w:left="760" w:firstLine="1015"/>
        <w:spacing w:after="0" w:line="234" w:lineRule="auto"/>
        <w:tabs>
          <w:tab w:leader="none" w:pos="221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beneficial owner understands that such Notes are being offered only in a transaction not involving any public offering in the United States within the meaning of the Securities Act, such Notes have not been and will not be registered under the Securities Act, and, if in the future such beneficial owner decides to offer, resell, pledge or otherwise transfer its interest in such Notes, such interest in the Notes may be offered, resold, pledged or otherwise transferred only in accordance with the provisions of this Indenture and the legend on such Notes. Such beneficial owner acknowledges that no representation has been made as to the availability of any exemption under the Securities Act or any state securities laws for resale of such Notes. Such beneficial owner understands that the Issuer has not been registered as an investment company under the 1940 Act, and that the Issuer is exempt from registration as such by virtue of Section 3(c)(7) of the 1940 Act.</w:t>
      </w:r>
    </w:p>
    <w:p>
      <w:pPr>
        <w:spacing w:after="0" w:line="183" w:lineRule="exact"/>
        <w:rPr>
          <w:rFonts w:ascii="Times New Roman" w:cs="Times New Roman" w:eastAsia="Times New Roman" w:hAnsi="Times New Roman"/>
          <w:sz w:val="22"/>
          <w:szCs w:val="22"/>
          <w:color w:val="auto"/>
        </w:rPr>
      </w:pPr>
    </w:p>
    <w:p>
      <w:pPr>
        <w:jc w:val="both"/>
        <w:ind w:left="760" w:firstLine="1015"/>
        <w:spacing w:after="0" w:line="239" w:lineRule="auto"/>
        <w:tabs>
          <w:tab w:leader="none" w:pos="221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beneficial owner is aware that, except as otherwise provided herein, any Secured Notes (or interest therein) being sold to it in reliance on Regulation S will be represented by one or more Regulation S Global Secured Notes and that beneficial interests therein may be held only through DTC for the respective accounts of Euroclear or Clearstream.</w:t>
      </w:r>
    </w:p>
    <w:p>
      <w:pPr>
        <w:spacing w:after="0" w:line="180" w:lineRule="exact"/>
        <w:rPr>
          <w:sz w:val="20"/>
          <w:szCs w:val="20"/>
          <w:color w:val="auto"/>
        </w:rPr>
      </w:pPr>
    </w:p>
    <w:p>
      <w:pPr>
        <w:ind w:left="76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Such beneficial owner agrees to the provisions of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and makes the representations and warranties set forth therein.</w:t>
      </w:r>
    </w:p>
    <w:p>
      <w:pPr>
        <w:spacing w:after="0" w:line="158" w:lineRule="exact"/>
        <w:rPr>
          <w:sz w:val="20"/>
          <w:szCs w:val="20"/>
          <w:color w:val="auto"/>
        </w:rPr>
      </w:pPr>
    </w:p>
    <w:p>
      <w:pPr>
        <w:ind w:left="760" w:right="20" w:firstLine="1015"/>
        <w:spacing w:after="0" w:line="258" w:lineRule="auto"/>
        <w:tabs>
          <w:tab w:leader="none" w:pos="221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beneficial owner agrees not to seek to commence in respect of the Issuer, or cause the Issuer to commence, a bankruptcy proceeding before a year and a day</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85"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has elapsed since the payment in full to the holders of the Notes issued pursuant to this Indenture or, if longer, the applicable preference period (plus one day) then in effect.</w:t>
      </w:r>
    </w:p>
    <w:p>
      <w:pPr>
        <w:spacing w:after="0" w:line="158" w:lineRule="exact"/>
        <w:rPr>
          <w:sz w:val="20"/>
          <w:szCs w:val="20"/>
          <w:color w:val="auto"/>
        </w:rPr>
      </w:pPr>
    </w:p>
    <w:p>
      <w:pPr>
        <w:jc w:val="both"/>
        <w:ind w:left="760" w:firstLine="1015"/>
        <w:spacing w:after="0" w:line="246" w:lineRule="auto"/>
        <w:tabs>
          <w:tab w:leader="none" w:pos="221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beneficial owner agrees that (a) (i) the express terms of this Indenture govern the rights of the holders to direct the commencement of a Proceeding against any Person, (ii) this Indenture contains limitations on the rights of the holders to direct the commencement of any such Proceeding, and (iii) each beneficial owner shall comply with such express terms if it seeks to direct the commencement of any such Proceeding, (b) there are no implied rights under this Indenture to direct the commencement of any such Proceeding, and (c) notwithstanding any provision of this Indenture, or any provision of the Notes or of any other agreement, the Issuer shall be under no duty or obligation of any kind to the holders of the Notes (or of any interest therein), or any of them, to institute any legal or other proceedings of any kind, against any person or entity, including, without limitation, the Collateral Trustee, the Loan Agent, the Collateral Manager, the Collateral Administrator, the Administrative Service Provider or the Calculation Agent.</w:t>
      </w:r>
    </w:p>
    <w:p>
      <w:pPr>
        <w:spacing w:after="0" w:line="175" w:lineRule="exact"/>
        <w:rPr>
          <w:rFonts w:ascii="Times New Roman" w:cs="Times New Roman" w:eastAsia="Times New Roman" w:hAnsi="Times New Roman"/>
          <w:sz w:val="21"/>
          <w:szCs w:val="21"/>
          <w:color w:val="auto"/>
        </w:rPr>
      </w:pPr>
    </w:p>
    <w:p>
      <w:pPr>
        <w:jc w:val="both"/>
        <w:ind w:left="760" w:firstLine="1015"/>
        <w:spacing w:after="0" w:line="235" w:lineRule="auto"/>
        <w:tabs>
          <w:tab w:leader="none" w:pos="2642"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beneficial owner agrees that the Issuer, or the Re-Pricing Intermediary on behalf of the Issuer, may enter into binding commitments to sell and transfer all Notes of a Re-Priced Class held by non-consenting holders pursuant to this Indenture, and if such beneficial owner is a non-consenting holder, it agrees to sell and transfer its Notes in accordance with the provisions of this Indenture and hereby irrevocably appoints the Issuer, or the Re-Pricing Intermediary on behalf of the Issuer, as its true and lawful agent and attorney-in-fact (with full power of substitution) in its name, place and stead and at its expense, in connection with such sale and transfer, and agrees to cooperate with the Issuer, the Re-Pricing Intermediary on behalf of the Issuer and/or the Collateral Trustee to effect such sale and transfers.</w:t>
      </w:r>
    </w:p>
    <w:p>
      <w:pPr>
        <w:spacing w:after="0" w:line="178" w:lineRule="exact"/>
        <w:rPr>
          <w:rFonts w:ascii="Times New Roman" w:cs="Times New Roman" w:eastAsia="Times New Roman" w:hAnsi="Times New Roman"/>
          <w:sz w:val="22"/>
          <w:szCs w:val="22"/>
          <w:color w:val="auto"/>
        </w:rPr>
      </w:pPr>
    </w:p>
    <w:p>
      <w:pPr>
        <w:ind w:firstLine="1505"/>
        <w:spacing w:after="0" w:line="285" w:lineRule="exact"/>
        <w:tabs>
          <w:tab w:leader="none" w:pos="192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Person who becomes an owner of a Certificated Note will be required to make the representations and agreements set forth in </w:t>
      </w:r>
      <w:r>
        <w:rPr>
          <w:rFonts w:ascii="Times New Roman" w:cs="Times New Roman" w:eastAsia="Times New Roman" w:hAnsi="Times New Roman"/>
          <w:sz w:val="22"/>
          <w:szCs w:val="22"/>
          <w:u w:val="single" w:color="auto"/>
          <w:color w:val="auto"/>
        </w:rPr>
        <w:t>Exhibit B</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jc w:val="both"/>
        <w:ind w:firstLine="1505"/>
        <w:spacing w:after="0" w:line="255" w:lineRule="auto"/>
        <w:tabs>
          <w:tab w:leader="none" w:pos="1929"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required by the Issuer, as determined by the Issuer or the Collateral Manager on behalf of the Issuer, the Issuer may, upon written notice to the Collateral Trustee and the Loan Agent impose additional transfer restrictions on the Notes to comply with the USA PATRIOT Act or the Code and other similar laws or regulations, including, without limitation, requiring each transferee of a Note to make representations to the Issuer in connection with such compliance.</w:t>
      </w:r>
    </w:p>
    <w:p>
      <w:pPr>
        <w:spacing w:after="0" w:line="161" w:lineRule="exact"/>
        <w:rPr>
          <w:rFonts w:ascii="Times New Roman" w:cs="Times New Roman" w:eastAsia="Times New Roman" w:hAnsi="Times New Roman"/>
          <w:sz w:val="21"/>
          <w:szCs w:val="21"/>
          <w:color w:val="auto"/>
        </w:rPr>
      </w:pPr>
    </w:p>
    <w:p>
      <w:pPr>
        <w:jc w:val="both"/>
        <w:ind w:firstLine="1505"/>
        <w:spacing w:after="0" w:line="235" w:lineRule="auto"/>
        <w:tabs>
          <w:tab w:leader="none" w:pos="192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Note Registrar, the Collateral Trustee and the Issuer shall be entitled to conclusively rely on the information set forth on the face of any purchaser, transferor and transferee certificate delivered pursuant to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and shall be able to presume conclusively the continuing accuracy thereof, in each case without further inquiry or investigation. Notwithstanding anything in this Indenture to the contrary, neither the Collateral Trustee nor the Transfer Agent shall be required to obtain any certificate specifically required by the terms of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if the Collateral Trustee or the Transfer Agent is not notified of or in a position to know of any transfer requiring such a certificate to be presented by the proposed transferor or transferee.</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85" w:lineRule="exact"/>
        <w:rPr>
          <w:sz w:val="20"/>
          <w:szCs w:val="20"/>
          <w:color w:val="auto"/>
        </w:rPr>
      </w:pPr>
    </w:p>
    <w:p>
      <w:pPr>
        <w:jc w:val="both"/>
        <w:ind w:right="20" w:firstLine="1505"/>
        <w:spacing w:after="0" w:line="244" w:lineRule="auto"/>
        <w:tabs>
          <w:tab w:leader="none" w:pos="192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notwithstanding anything in this Indenture to the contrary, the Placement Agent may hold a position in a Regulation S Global Secured Note prior to the distribution of the applicable Notes represented by such position.</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9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Conversion of Class A-1L-A Loans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left="760" w:firstLine="1015"/>
        <w:spacing w:after="0" w:line="234" w:lineRule="auto"/>
        <w:tabs>
          <w:tab w:leader="none" w:pos="221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and in accordance with the procedures set forth in Section 2.07 of the Class A-1L-A Credit Agreement, upon written notice to the Collateral Trustee, the Loan Agent and the Issuer, provided in accordance with the Class A-1L-A Credit Agreement, a Class A-1L-A Lender may elect any Business Day (such Business Day, the "</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xml:space="preserve">") upon which all or a portion of the Aggregate Outstanding Amount of the Class A-1L-A Loans held by such Converting Lender will be converted into Class A-1 Notes of an equal Aggregate Outstanding Amount in accordance with the terms hereof and the terms of the Class A-1L-A Credit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such Conversion Date will be no earlier than the fifth Business Day following the date such notice is delivered (or such earlier date as may be reasonably agreed to by such Converting Lender, the Loan Agent and the Collateral Trustee) and (y) the Conversion Date may only occur on a Payment Date.</w:t>
      </w:r>
    </w:p>
    <w:p>
      <w:pPr>
        <w:spacing w:after="0" w:line="183" w:lineRule="exact"/>
        <w:rPr>
          <w:rFonts w:ascii="Times New Roman" w:cs="Times New Roman" w:eastAsia="Times New Roman" w:hAnsi="Times New Roman"/>
          <w:sz w:val="22"/>
          <w:szCs w:val="22"/>
          <w:color w:val="auto"/>
        </w:rPr>
      </w:pPr>
    </w:p>
    <w:p>
      <w:pPr>
        <w:jc w:val="both"/>
        <w:ind w:left="760" w:firstLine="1015"/>
        <w:spacing w:after="0" w:line="238" w:lineRule="auto"/>
        <w:tabs>
          <w:tab w:leader="none" w:pos="221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Conversion Date, (A) the Aggregate Outstanding Amount of the Class A-1 Notes will be increased by the current Aggregate Outstanding Amount of the Class A-1L-A Loans so converted and (B) the Class A-1L-A Loans so converted will cease to be Outstanding and will be deemed to have been repaid in full for all purposes hereunder and under the Class A-1L-A Credit Agreement. Class A-1 Notes may not be converted into Class A-1L-A Loans.</w:t>
      </w:r>
    </w:p>
    <w:p>
      <w:pPr>
        <w:spacing w:after="0" w:line="176" w:lineRule="exact"/>
        <w:rPr>
          <w:rFonts w:ascii="Times New Roman" w:cs="Times New Roman" w:eastAsia="Times New Roman" w:hAnsi="Times New Roman"/>
          <w:sz w:val="22"/>
          <w:szCs w:val="22"/>
          <w:color w:val="auto"/>
        </w:rPr>
      </w:pPr>
    </w:p>
    <w:p>
      <w:pPr>
        <w:jc w:val="both"/>
        <w:ind w:left="760" w:firstLine="1015"/>
        <w:spacing w:after="0" w:line="239" w:lineRule="auto"/>
        <w:tabs>
          <w:tab w:leader="none" w:pos="221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the Collateral Manager and the Converting Lender agree to provide reasonable assistance to the Collateral Trustee and the Loan Agent in connection with such conversion, including, but not limited to, providing applicable instructions to DTC, the Collateral Trustee, the Loan Agent and the Note Registrar or Loan Registrar, as applicable.</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purported transfer of a Note or interest therein not in accordance with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shall be null and void and shall not be given effect for any purpose whatsoever.</w:t>
      </w:r>
    </w:p>
    <w:p>
      <w:pPr>
        <w:spacing w:after="0" w:line="15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2.6 Mutilated, Defaced, Destroyed, Lost or Stolen Note</w:t>
      </w:r>
      <w:r>
        <w:rPr>
          <w:rFonts w:ascii="Times New Roman" w:cs="Times New Roman" w:eastAsia="Times New Roman" w:hAnsi="Times New Roman"/>
          <w:sz w:val="22"/>
          <w:szCs w:val="22"/>
          <w:color w:val="auto"/>
        </w:rPr>
        <w:t xml:space="preserve"> . (a) If (i) any mutilated or defaced Note is surrendered to a Transfer Agent, or if there shall be delivered to the Issuer, the Collateral Trustee and the relevant Transfer Agent evidence to their reasonable satisfaction of the destruction, loss or theft of any Note, and (ii) there is delivered to the Issuer, the Collateral Trustee and such Transfer Agent such security or indemnity as may be required by them to hold each of them harmless, then, in the absence of notice to the Issuer, the Collateral Trustee or such Transfer Agent that such Note has been acquired by a protected purchaser, the Issuer shall execute and, upon Issuer Order, the Collateral Trustee shall authenticate, or cause the Authenticating Agent to authenticate, and deliver to the Holder, in lieu of any such mutilated, defaced, destroyed, lost or stolen Note, a new Note having the same designation, of like tenor (including the same date of issuance) and equal principal or face amount, registered in the same manner, dated the date of its authentication, bearing interest from the date to which interest has</w:t>
      </w:r>
    </w:p>
    <w:p>
      <w:pPr>
        <w:spacing w:after="0" w:line="158"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been paid on the mutilated, defaced, destroyed, lost or stolen Note and bearing a number not contemporaneously outstanding.</w:t>
      </w:r>
    </w:p>
    <w:p>
      <w:pPr>
        <w:spacing w:after="0" w:line="206" w:lineRule="exact"/>
        <w:rPr>
          <w:sz w:val="20"/>
          <w:szCs w:val="20"/>
          <w:color w:val="auto"/>
        </w:rPr>
      </w:pPr>
    </w:p>
    <w:p>
      <w:pPr>
        <w:jc w:val="both"/>
        <w:ind w:firstLine="1505"/>
        <w:spacing w:after="0" w:line="238" w:lineRule="auto"/>
        <w:tabs>
          <w:tab w:leader="none" w:pos="192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delivery of such new Note, a protected purchaser of the predecessor Note presents for payment, transfer or exchange such predecessor Note, the Issuer, the Transfer Agent and the Collateral Trustee shall be entitled to recover such new Note from the Person to whom it was delivered or any Person taking therefrom, and shall be entitled to recover upon the security or indemnity provided therefor to the extent of any loss, damage, cost or expense incurred by the Issuer, the Collateral Trustee and the Transfer Agent in connection therewith.</w:t>
      </w:r>
    </w:p>
    <w:p>
      <w:pPr>
        <w:spacing w:after="0" w:line="176"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any such mutilated, defaced, destroyed, lost or stolen Note has become due and payable, the Issuer in its discretion may, instead of issuing a new Note pay such Note without requiring surrender thereof except that any mutilated or defaced Note shall be surrendered.</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issuance of any new Note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the Issuer may require the payment by the Holder thereof of a sum sufficient to cover any tax or other governmental charge that may be imposed in relation thereto and any other expenses (including the fees and expenses of the Collateral Trustee) connected therewith.</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Every new Note issued pursuant to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in lieu of any mutilated, defaced, destroyed, lost or stolen Note shall constitute an original additional contractual obligation of the Issuer and such new Note shall be entitled, subject to the second paragraph of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to all the benefits of this Indenture equally and proportionately with any and all other Notes of the same Class duly issued hereunder.</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are exclusive and shall preclude (to the extent lawful) all other rights and remedies with respect to the replacement or payment of mutilated, defaced, destroyed, lost or stolen Notes.</w:t>
      </w:r>
    </w:p>
    <w:p>
      <w:pPr>
        <w:spacing w:after="0" w:line="158"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2.7</w:t>
      </w:r>
      <w:r>
        <w:rPr>
          <w:sz w:val="20"/>
          <w:szCs w:val="20"/>
          <w:color w:val="auto"/>
        </w:rPr>
        <w:tab/>
      </w:r>
      <w:r>
        <w:rPr>
          <w:rFonts w:ascii="Times New Roman" w:cs="Times New Roman" w:eastAsia="Times New Roman" w:hAnsi="Times New Roman"/>
          <w:sz w:val="22"/>
          <w:szCs w:val="22"/>
          <w:u w:val="single" w:color="auto"/>
          <w:color w:val="auto"/>
        </w:rPr>
        <w:t xml:space="preserve">Payment of Principal and Interest and Other Amounts; Principal and Interest Rights Preserved </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both"/>
        <w:ind w:firstLine="8"/>
        <w:spacing w:after="0" w:line="243" w:lineRule="auto"/>
        <w:tabs>
          <w:tab w:leader="none" w:pos="305"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Secured Debt of each Class shall accrue interest during each Interest Accrual Period or portion thereof at the applicable Interest Rate and such interest will be payable in arrears on each Payment Date on the Aggregate Outstanding Amount thereof on the first day of the related Interest Accrual Period (after giving effect to payments of principal thereof on such date), except as otherwise set forth below. For purposes of determining any Interest Accrual Period, in the case of any Fixed Rate Notes, (i) for any Payment Date that is not a Redemption Date or a Re-Pricing Date, the Payment Date shall be assumed to be the 20th day of the relevant month (irrespective of whether such day is a Business Day) and (ii) for any Payment Date that is a Redemption Date or a Re-Pricing Date, the Payment Date shall be the Redemption Date or the Re-Pricing Date, as applicable. Payment of interest on each Class of Secured Debt (other than the Class A-1 Debt) (and payments of available Interest Proceeds to the Holders of the Subordinated Notes) will be subordinated to the payment of interest on each related Priority Class as provided in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So long as any Priority Class is Outstanding with respect to a Class of Deferrable Notes, any payment of interest due on such Class of Deferrable Notes that is not available to be paid in accordance with the Priority of Payments on any Payment Date ("</w:t>
      </w:r>
      <w:r>
        <w:rPr>
          <w:rFonts w:ascii="Times New Roman" w:cs="Times New Roman" w:eastAsia="Times New Roman" w:hAnsi="Times New Roman"/>
          <w:sz w:val="21"/>
          <w:szCs w:val="21"/>
          <w:u w:val="single" w:color="auto"/>
          <w:color w:val="auto"/>
        </w:rPr>
        <w:t>Deferred Interest</w:t>
      </w:r>
      <w:r>
        <w:rPr>
          <w:rFonts w:ascii="Times New Roman" w:cs="Times New Roman" w:eastAsia="Times New Roman" w:hAnsi="Times New Roman"/>
          <w:sz w:val="21"/>
          <w:szCs w:val="21"/>
          <w:color w:val="auto"/>
        </w:rPr>
        <w:t>" with respect to such Class) shall not be considered "due and payable" for the purposes of</w:t>
      </w:r>
    </w:p>
    <w:p>
      <w:pPr>
        <w:spacing w:after="0" w:line="153"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 xml:space="preserve"> (and the failure to pay such interest shall not be an Event of Default) until the earliest of (i) the Payment Date on which funds are available to pay such Deferred Interest in accordance with the Priority of Payments, (ii) the Redemption Date with respect to such Class of Deferrable Notes, and (iii) the Stated Maturity of such Class of Deferrable Notes. Deferred Interest on the Deferrable Notes shall be payable on the first Payment Date on which funds are available to be used for such purpose in accordance with the Priority of Payments, but in any event no later than the earlier of the Payment Date (i) that is the Redemption Date with respect to such Class of Deferrable Notes, and (ii) that is the Stated Maturity of such Class of Deferrable Notes. Regardless of whether any Priority Class is Outstanding with respect to a Class of Deferrable Notes, to the extent that funds are not available on any Payment Date (other than the Redemption Date with respect to, or Stated Maturity of, such Class of Deferrable Notes) to pay previously accrued Deferred Interest, such previously accrued Deferred Interest will not be due and payable on such Payment Date and any failure to pay such previously accrued Deferred Interest on such Payment Date will not be an Event of Default. Interest will cease to accrue on each Class of Secured Debt, or in the case of a partial repayment, on such repaid part, from the date of repayment. To the extent lawful and enforceable, interest on any interest that is not paid when due on any Class A-1 Note, Class A-1L-A Loan or Class A-1L-B Loan, or if no Class A-1 Notes, Class A-1L-A Loans or Class A-1L-B Loans are Outstanding, any Class A-2 Notes, or if no Class A-1 Notes, Class A-1L-A Loans, Class A-1L-B Loans or, Class A-2 Notes are Outstanding, any Class B Notes, or if no Class A-1 Notes, Class A-1L-A Loans, Class A-1L-B Loans, Class A-2 Notes or Class B Notes are Outstanding, any Class C Notes, or if no Class A-1 Notes, Class A-1L-A Loans, Class A-1L-B Loans, Class A-2 Notes, Class B Notes or Class C Notes are Outstanding, any Class D Notes, shall accrue at the Interest Rate for such Class until paid as provided herein.</w:t>
      </w:r>
    </w:p>
    <w:p>
      <w:pPr>
        <w:spacing w:after="0" w:line="188" w:lineRule="exact"/>
        <w:rPr>
          <w:sz w:val="20"/>
          <w:szCs w:val="20"/>
          <w:color w:val="auto"/>
        </w:rPr>
      </w:pPr>
    </w:p>
    <w:p>
      <w:pPr>
        <w:jc w:val="both"/>
        <w:ind w:firstLine="1505"/>
        <w:spacing w:after="0" w:line="234" w:lineRule="auto"/>
        <w:tabs>
          <w:tab w:leader="none" w:pos="192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principal of each Class of Secured Debt matures at par and is due and payable on the date of the Stated Maturity for such Class, unless such principal has been previously repaid or unless the unpaid principal of such Class becomes due and payable at an earlier date by declaration of acceleration, call for redemption or otherwise. Notwithstanding the foregoing, the payment of principal of each Class (and payments of Principal Proceeds to the Holders of the Subordinated Notes) may only occur in accordance with the Priority of Payments. Payments of principal on any Class of Secured Debt that are not paid in accordance with the Priority of Payments on any Payment Date (other than the Payment Date that is the Stated Maturity of such Class of Secured Debt or any Redemption Date) because of insufficient funds therefor shall not be considered "due and payable" for purposes of </w:t>
      </w: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 xml:space="preserve"> until the Payment Date on which such principal may be paid in accordance with the Priority of Payments or all Priority Classes with respect to such Class have been paid in full.</w:t>
      </w:r>
    </w:p>
    <w:p>
      <w:pPr>
        <w:spacing w:after="0" w:line="18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Principal payments on the Debt will be made in accordance with the Priority of Payments and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55" w:lineRule="exact"/>
        <w:tabs>
          <w:tab w:leader="none" w:pos="192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shall require the previous delivery of properly completed and signed applicable tax certifications (generally, in the case of U.S. federal income tax, an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 (or applicable successor form) in the case of a "United States person" (as defined in Section 7701(a)(30) of the Code) or the applicable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 (or applicable successor form) in the case of a Person that is not a "United States person" (as defined in Section 7701(a)(30) of the Code)) or other certification acceptable to it to enable the Issuer, the Collateral Trustee and any Paying Agent to determine their duties and liabilities with respect to any taxes or other charges</w:t>
      </w:r>
    </w:p>
    <w:p>
      <w:pPr>
        <w:spacing w:after="0" w:line="15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that they may be required to pay, deduct or withhold from payments in respect of such Debt or the Holder or beneficial owner of such Debt under any present or future law or regulation of the United States, any other jurisdiction or any political subdivision thereof or taxing authority therein or to comply with any reporting or other requirements under any such law or regulation (including any cost basis reporting obligations) and, if instructed by the Issuer, the delivery of any information required under FATCA. The Issuer shall not be obligated to pay any additional amounts to the Holders or beneficial owners of Debt as a result of deduction or withholding for or on account of any present or future taxes, duties, assessments or governmental charges with respect to the Debt. Nothing herein shall be construed to obligate the Paying Agent or the Collateral Trustee to determine the duties or liabilities of the Issuer or any other paying agent with respect to any tax certification or withholding requirements, or any tax certification or withholding requirements of any jurisdiction, political subdivision or taxing authority outside the United States.</w:t>
      </w:r>
    </w:p>
    <w:p>
      <w:pPr>
        <w:spacing w:after="0" w:line="179" w:lineRule="exact"/>
        <w:rPr>
          <w:sz w:val="20"/>
          <w:szCs w:val="20"/>
          <w:color w:val="auto"/>
        </w:rPr>
      </w:pPr>
    </w:p>
    <w:p>
      <w:pPr>
        <w:jc w:val="both"/>
        <w:ind w:firstLine="1505"/>
        <w:spacing w:after="0" w:line="232" w:lineRule="auto"/>
        <w:tabs>
          <w:tab w:leader="none" w:pos="192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in respect of interest on and principal of Secured Debt and any payment with respect to any Subordinated Note shall be made by the Collateral Trustee or by a Paying Agent in Dollars to: (1) the Loan Agent, for distribution to the Class A-1 Lenders in the case of the Class A-1 Loans; (2) DTC or its designee with respect to a Global Note; and (3) the Holder or its nominee with respect to a Certificated Note; in each case, by wire transfer, as directed by such Person, in immediately available funds to a Dollar account maintained by the Loan Agent, in the case of the Class A-1 Loans, by DTC or its nominee, in the case of Global Notes, or by the Holder or its nominee, in the case of Certificated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 Certificated Note (1) the Holder thereof shall have provided written wiring instructions to the Collateral Trustee on or before the related Record Date and (2) if appropriate instructions for any such wire transfer are not received by the related Record Date, then such payment shall be made by check drawn on a U.S. bank mailed to the address of such Holder, as it appears on the Note Register. Upon final payment due on the Maturity of (A) a Note, the Holder thereof shall present and surrender such Note at the Corporate Trust Office of the Collateral Trustee or at the office of any Paying Agent on or prior to such Maturity and (B) the Class A-1 Loans, the Holder thereof shall present and surrender the lender note representing such Class A-1 Loan to the Corporate Trust Office of the Loan Agent in accordance with the Credit Agreements, in each case, on or prior to such Maturity;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Collateral Trustee, the Loan Agent and the Issuer shall have been furnished such security or indemnity as may be required by them to save each of them harmless and an undertaking thereafter to surrender such certificate, then, in the absence of notice to the Issuer and the Collateral Trustee that the applicable Note has been acquired by a protected purchaser, such final payment with respect to such shall be made without presentation or surrender. None of the Issuer, the Collateral Trustee, the Collateral Manager or any Paying Agent will have any responsibility or liability for any aspects of the records (or for maintaining, supervising or reviewing such records) maintained by DTC, Euroclear, Clearstream or any of the Agent Members or any of their nominees relating to or for payments made thereby on account of beneficial interests in a Global Note. In the case where any final payment of principal and interest is to be made on any Note (other than on the Stated Maturity thereof), the Collateral Trustee, or the Loan Agent, as applicable, in the name and at the expense of the Issuer shall prior to the date on which such payment is to be made, provide to the Persons entitled thereto at their respective addresses as they appear on the Note Register, a notice which shall specify the date on which such payment will be made and the place where such Notes may be presented and surrendered for such payment.</w:t>
      </w:r>
    </w:p>
    <w:p>
      <w:pPr>
        <w:spacing w:after="0" w:line="15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85" w:lineRule="exact"/>
        <w:rPr>
          <w:sz w:val="20"/>
          <w:szCs w:val="20"/>
          <w:color w:val="auto"/>
        </w:rPr>
      </w:pPr>
    </w:p>
    <w:p>
      <w:pPr>
        <w:jc w:val="both"/>
        <w:ind w:firstLine="1505"/>
        <w:spacing w:after="0" w:line="244" w:lineRule="auto"/>
        <w:tabs>
          <w:tab w:leader="none" w:pos="192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to Holders of Debt of each Class shall be made in the proportion that the Aggregate Outstanding Amount of such Class registered in the name of each such Holder on the applicable Record Date bears to the Aggregate Outstanding Amount of such Class on such Record Date.</w:t>
      </w:r>
    </w:p>
    <w:p>
      <w:pPr>
        <w:spacing w:after="0" w:line="173" w:lineRule="exact"/>
        <w:rPr>
          <w:rFonts w:ascii="Times New Roman" w:cs="Times New Roman" w:eastAsia="Times New Roman" w:hAnsi="Times New Roman"/>
          <w:sz w:val="22"/>
          <w:szCs w:val="22"/>
          <w:color w:val="auto"/>
        </w:rPr>
      </w:pPr>
    </w:p>
    <w:p>
      <w:pPr>
        <w:jc w:val="both"/>
        <w:ind w:firstLine="1505"/>
        <w:spacing w:after="0" w:line="253" w:lineRule="exact"/>
        <w:tabs>
          <w:tab w:leader="none" w:pos="192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Interest accrued with respect to the Secured Debt (other than any Fixed Rate Notes) shall be calculated on the basis of the actual number of days elapsed in the applicable Interest Accrual Period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360. Interest on any Fixed Rate Notes shall be calculated on the basis of a 360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year consisting of twelve (12) 30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day months;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redemption occurs on a Business Day that would not otherwise be a Payment Date, interest on such Fixed Rate Notes will be calculated on the basis of the actual number of days elapsed in the applicable Interest Accrual Period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360.</w:t>
      </w:r>
    </w:p>
    <w:p>
      <w:pPr>
        <w:spacing w:after="0" w:line="179"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reductions in the principal amount of a Note (or one or more predecessor Notes) or Class A-1 Loan effected by payments of installments of principal made on any Payment Date or Redemption Date shall be binding upon all future Holders of such Note or Class A-1 Loan, as applicable, and of any Note issued upon the registration of transfer thereof or in exchange therefor or in lieu thereof, whether or not such payment is noted on such Note.</w:t>
      </w:r>
    </w:p>
    <w:p>
      <w:pPr>
        <w:spacing w:after="0" w:line="180" w:lineRule="exact"/>
        <w:rPr>
          <w:rFonts w:ascii="Times New Roman" w:cs="Times New Roman" w:eastAsia="Times New Roman" w:hAnsi="Times New Roman"/>
          <w:sz w:val="22"/>
          <w:szCs w:val="22"/>
          <w:color w:val="auto"/>
        </w:rPr>
      </w:pPr>
    </w:p>
    <w:p>
      <w:pPr>
        <w:jc w:val="both"/>
        <w:ind w:firstLine="1505"/>
        <w:spacing w:after="0" w:line="232" w:lineRule="auto"/>
        <w:tabs>
          <w:tab w:leader="none" w:pos="192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Indenture or the Credit Agreements, the obligations of the Issuer under the Secured Notes, the Class A-1 Loans and the Transaction Documents are limited recourse obligations of the Issuer and the Subordinated Notes are non-recourse obligations of the Issuer payable solely from the Assets and following realization of the Assets, and application of the proceeds thereof in accordance with this Indenture and the Credit Agreements, all obligations of and any claims against the Issuer hereunder or in connection herewith after such realization shall be extinguished and shall not thereafter revive. No recourse shall be had against any officer, director, manager, partner, member, employee, shared personnel, shareholder, authorized Person or incorporator of either of the Issuer, the Collateral Manager or their respective affiliates, successors or assigns for any amounts payable under the Debt, this Indenture or the Credit Agreements. It is understood that the foregoing provisions of this paragraph (i) shall not (i) prevent recourse to the Assets for the sums due or to become due under any security, instrument or agreement which is part of the Assets or (ii) constitute a waiver, release or discharge of any indebtedness or obligation evidenced by the Debt or the Credit Agreements or secured by this Indenture until such Assets have been realized. It is further understood that the foregoing provisions of this paragraph (i) shall not limit the right of any Person to name the Issuer as a party defendant in any Proceeding or in the exercise of any other remedy under the Debt, this Indenture or the Credit Agreements, so long as no judgment in the nature of a deficiency judgment or seeking personal liability shall be asked for or (if obtained) enforced against any such Person or entity. The Subordinated Notes are not secured hereunder, and the Holders of the Subordinated Notes are not Secured Parties.</w:t>
      </w:r>
    </w:p>
    <w:p>
      <w:pPr>
        <w:spacing w:after="0" w:line="191"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foregoing provisions of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each Note delivered under this Indenture and upon registration of transfer of or in exchange for or in lieu of any other Note shall carry the rights to unpaid interest and principal (or other applicable amount) that were carried by such other Note.</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85" w:lineRule="exact"/>
        <w:rPr>
          <w:sz w:val="20"/>
          <w:szCs w:val="20"/>
          <w:color w:val="auto"/>
        </w:rPr>
      </w:pPr>
    </w:p>
    <w:p>
      <w:pPr>
        <w:jc w:val="both"/>
        <w:ind w:firstLine="1505"/>
        <w:spacing w:after="0" w:line="244" w:lineRule="auto"/>
        <w:tabs>
          <w:tab w:leader="none" w:pos="192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in respect of the Subordinated Notes are subordinated to the payment of interest on and principal of each Class of Secured Debt as provided in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except that notwithstanding the Priority of Payments, Permitted RIC Distributions may be made if the conditions specified in the definition thereof are satisfied.</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2.8 Persons Deemed Owners</w:t>
      </w:r>
      <w:r>
        <w:rPr>
          <w:rFonts w:ascii="Times New Roman" w:cs="Times New Roman" w:eastAsia="Times New Roman" w:hAnsi="Times New Roman"/>
          <w:sz w:val="22"/>
          <w:szCs w:val="22"/>
          <w:color w:val="auto"/>
        </w:rPr>
        <w:t xml:space="preserve"> . The Issuer, the Collateral Trustee and any agent of the Issuer or the Collateral Trustee shall treat as the owner of each Note the Person in whose name such Note is registered on the Note Register on the applicable Record Date for the purpose of receiving payments of principal of and interest on such Note and on, other than as otherwise expressly provided in this Indenture, any other date for all other purposes whatsoever (whether or not such Note is overdue), and neither the Issuer nor the Collateral Trustee, nor any agent of the Issuer or the Collateral Trustee shall be affected by notice to the contrary.</w:t>
      </w:r>
    </w:p>
    <w:p>
      <w:pPr>
        <w:spacing w:after="0" w:line="181"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2.9 Cancellation . All Notes surrendered for payment, registration of transfer, exchange or redemption, or deemed lost or stolen, shall be promptly canceled by the Collateral Trustee and may not be reissued or resold. No Note may be surrendered (including any surrender in connection with any abandonment, donation, gift or contribution thereof or other event or circumstance) except for payment as provided herein, or for registration of transfer or exchange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or redemption in accordance with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hereof (and, in the case of Special Redemption, a mandatory redemption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or an Optional Redemption in part by Class, only to the extent that such Special Redemption, mandatory redemption or Optional Redemption results in payment in full of the applicable Class of Notes), or for replacement in connection with any Note deemed lost or stolen. Any Notes surrendered for cancellation as permitted by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shall, if surrendered to any Person other than the Collateral Trustee, be delivered to the Collateral Trustee. No Notes shall be authenticated in lieu of or in exchange for any Notes canceled as provided in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except as expressly permitted by this Indenture. All canceled Notes held by the Collateral Trustee shall be destroyed or held by the Collateral Trustee in accordance with its standard retention policy unless the Issuer shall direct by an Issuer Order received prior to destruction that they be returned to it. The Issuer may not acquire any of the Notes (including any Notes surrendered or abandoned). The preceding sentence shall not limit any redemption in accordance with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-2036445</wp:posOffset>
            </wp:positionV>
            <wp:extent cx="16103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10360" cy="8890"/>
                    </a:xfrm>
                    <a:prstGeom prst="rect">
                      <a:avLst/>
                    </a:prstGeom>
                    <a:noFill/>
                  </pic:spPr>
                </pic:pic>
              </a:graphicData>
            </a:graphic>
          </wp:anchor>
        </w:drawing>
      </w:r>
    </w:p>
    <w:p>
      <w:pPr>
        <w:spacing w:after="0" w:line="16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2.10 DTC Ceases to be Depository</w:t>
      </w:r>
      <w:r>
        <w:rPr>
          <w:rFonts w:ascii="Times New Roman" w:cs="Times New Roman" w:eastAsia="Times New Roman" w:hAnsi="Times New Roman"/>
          <w:sz w:val="22"/>
          <w:szCs w:val="22"/>
          <w:color w:val="auto"/>
        </w:rPr>
        <w:t xml:space="preserve"> . (a) A Global Note deposited with DTC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shall be transferred in the form of one or more corresponding Certificated Notes to the beneficial owners thereof only if (A) such transfer complies with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of this Indenture and (B) either (x) (i) DTC notifies the Issuer that it is unwilling or unable to continue as depository for such Global Note, or (ii) DTC ceases to be a Clearing Agency registered under the Exchange Act and, in each case, a successor depository is not appointed by the Issuer within 90 days after receiving notice of such event or (y) an Event of Default has occurred and is continuing and such transfer is requested by any beneficial owner of an interest in such Global Note.</w:t>
      </w:r>
    </w:p>
    <w:p>
      <w:pPr>
        <w:spacing w:after="0" w:line="183" w:lineRule="exact"/>
        <w:rPr>
          <w:sz w:val="20"/>
          <w:szCs w:val="20"/>
          <w:color w:val="auto"/>
        </w:rPr>
      </w:pPr>
    </w:p>
    <w:p>
      <w:pPr>
        <w:jc w:val="both"/>
        <w:ind w:firstLine="1505"/>
        <w:spacing w:after="0" w:line="239" w:lineRule="auto"/>
        <w:tabs>
          <w:tab w:leader="none" w:pos="192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Global Note that is transferable in the form of a corresponding Certificated Note to the beneficial owner thereof pursuant to this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shall be deemed to be surrendered by DTC to the Collateral Trustee's Corporate Trust Office to be so transferred, in whole or from time to time in part, without charge, and the Issuer shall execute and the Collateral Trustee shall authenticate, or cause the Authenticating Agent to authenticate, and deliver, upon</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such transfer of each portion of such Global Note, an equal aggregate principal amount of definitive physical certificates (pursuant to the instructions of DTC) in authorized denominations. Any Certificated Note delivered in exchange for an interest in a Global Note shall, except as otherwise provided by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bear the legends set forth in the applicable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shall be subject to the transfer restrictions referred to in such legends.</w:t>
      </w:r>
    </w:p>
    <w:p>
      <w:pPr>
        <w:spacing w:after="0" w:line="180" w:lineRule="exact"/>
        <w:rPr>
          <w:sz w:val="20"/>
          <w:szCs w:val="20"/>
          <w:color w:val="auto"/>
        </w:rPr>
      </w:pPr>
    </w:p>
    <w:p>
      <w:pPr>
        <w:jc w:val="both"/>
        <w:ind w:firstLine="1505"/>
        <w:spacing w:after="0" w:line="244" w:lineRule="auto"/>
        <w:tabs>
          <w:tab w:leader="none" w:pos="192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the Holder of a Global Note may grant proxies and otherwise authorize any Person, including Agent Members and Persons that may hold interests through Agent Members, to take any action that such Holder is entitled to take under this Indenture or the Notes.</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the occurrence of any of the events specified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the Issuer will promptly make available to the Collateral Trustee a reasonable supply of Certificated Notes.</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If Certificated Notes are not so issued by the Issuer to such beneficial owners of interests in Global Notes as required by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xml:space="preserve">, the Issuer expressly acknowledges that the beneficial owners shall be entitled to pursue any remedy that the Holders of a Global Note would be entitled to pursue in accordance with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of this Indenture (but only to the extent of such beneficial owner's interest in the Global Note) as if corresponding Certificated Notes had been issued;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Collateral Trustee shall be entitled to rely upon any certificate of ownership provided by such beneficial owners (including a certificate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and/or other forms of reasonable evidence of such ownership and shall have no liability for relying on the same.</w:t>
      </w:r>
    </w:p>
    <w:p>
      <w:pPr>
        <w:spacing w:after="0" w:line="18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Neither the Collateral Trustee nor the Note Registrar shall be liable for any delay in the delivery of directions from the DTC, as depository, and may conclusively rely on, and shall be fully protected in relying on, such direction as to the names of the beneficial owners in whose names such Certificated Notes shall be registered or as to delivery instructions for such Certificated Notes.</w:t>
      </w:r>
    </w:p>
    <w:p>
      <w:pPr>
        <w:spacing w:after="0" w:line="146" w:lineRule="exact"/>
        <w:rPr>
          <w:sz w:val="20"/>
          <w:szCs w:val="20"/>
          <w:color w:val="auto"/>
        </w:rPr>
      </w:pPr>
    </w:p>
    <w:p>
      <w:pPr>
        <w:jc w:val="both"/>
        <w:ind w:firstLine="1497"/>
        <w:spacing w:after="0" w:line="260" w:lineRule="exact"/>
        <w:rPr>
          <w:sz w:val="20"/>
          <w:szCs w:val="20"/>
          <w:color w:val="auto"/>
        </w:rPr>
      </w:pPr>
      <w:r>
        <w:rPr>
          <w:rFonts w:ascii="Times New Roman" w:cs="Times New Roman" w:eastAsia="Times New Roman" w:hAnsi="Times New Roman"/>
          <w:sz w:val="22"/>
          <w:szCs w:val="22"/>
          <w:u w:val="single" w:color="auto"/>
          <w:color w:val="auto"/>
        </w:rPr>
        <w:t>Section 2.11 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Permitted Holders</w:t>
      </w:r>
      <w:r>
        <w:rPr>
          <w:rFonts w:ascii="Times New Roman" w:cs="Times New Roman" w:eastAsia="Times New Roman" w:hAnsi="Times New Roman"/>
          <w:sz w:val="22"/>
          <w:szCs w:val="22"/>
          <w:color w:val="auto"/>
        </w:rPr>
        <w:t xml:space="preserve"> . (a) Notwithstanding anything to the contrary elsewhere herein, any transfer of a beneficial interest in any Note to a Person that is not a Qualified Purchaser and any transfer of a Subordinated Note to a Person that is not a U.S. Person shall in either case be null and void and any such purported transfer of which the Issuer, the Collateral Trustee and the Loan Agent shall have notice may be disregarded by the Issuer, the Collateral Trustee and the Loan Agent for all purposes. In addition, the acquisition of Notes by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Permitted Holder under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shall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505"/>
        <w:spacing w:after="0" w:line="235" w:lineRule="auto"/>
        <w:tabs>
          <w:tab w:leader="none" w:pos="192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any U.S. Person that is not a QIB/QP (or, solely in the case of Notes issued as Certificated Notes, a U.S. Person that is an Institutional Accredited Investor and is also a Qualified Purchaser (or a corporation, partnership, limited liability company or other entity (other than a trust) of which each shareholder, partner, member or other equity owner is a Qualified Purchaser)), (ii) any non-U.S. Person that is not a Qualified Purchaser (or a corporation, partnership, limited liability company or other entity (other than a trust) of which each shareholder, partner, member or other equity owner is a Qualified Purchaser)) or (iii) solely in the case of the Subordinated notes, any non-U.S. Person shall in any case become the Holder or beneficial owner</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50" w:lineRule="exact"/>
        <w:rPr>
          <w:sz w:val="20"/>
          <w:szCs w:val="20"/>
          <w:color w:val="auto"/>
        </w:rPr>
      </w:pPr>
    </w:p>
    <w:p>
      <w:pPr>
        <w:jc w:val="both"/>
        <w:spacing w:after="0" w:line="253" w:lineRule="exact"/>
        <w:rPr>
          <w:sz w:val="20"/>
          <w:szCs w:val="20"/>
          <w:color w:val="auto"/>
        </w:rPr>
      </w:pPr>
      <w:r>
        <w:rPr>
          <w:rFonts w:ascii="Times New Roman" w:cs="Times New Roman" w:eastAsia="Times New Roman" w:hAnsi="Times New Roman"/>
          <w:sz w:val="21"/>
          <w:szCs w:val="21"/>
          <w:color w:val="auto"/>
        </w:rPr>
        <w:t>of an interest in any Note (any such Person a "</w:t>
      </w:r>
      <w:r>
        <w:rPr>
          <w:rFonts w:ascii="Times New Roman" w:cs="Times New Roman" w:eastAsia="Times New Roman" w:hAnsi="Times New Roman"/>
          <w:sz w:val="21"/>
          <w:szCs w:val="21"/>
          <w:u w:val="single" w:color="auto"/>
          <w:color w:val="auto"/>
        </w:rPr>
        <w:t>Non</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Permitted Holder</w:t>
      </w:r>
      <w:r>
        <w:rPr>
          <w:rFonts w:ascii="Times New Roman" w:cs="Times New Roman" w:eastAsia="Times New Roman" w:hAnsi="Times New Roman"/>
          <w:sz w:val="21"/>
          <w:szCs w:val="21"/>
          <w:color w:val="auto"/>
        </w:rPr>
        <w:t xml:space="preserve">"), the acquisition of such Notes by such Holder shall be null and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 The Issuer (or the Collateral Manager on behalf of the Issuer) shall, promptly after discovery that such Person is 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Permitted Holder by the Issuer, or upon notice to the Issuer from the Collateral Trustee (if a Trust Officer of the Collateral Trustee obtains actual knowledge (in which case the Collateral Trustee agrees to notify the Issuer of such discovery, if any)), send notice to such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Permitted Holder demanding that such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Permitted Holder transfer its interest in the Notes held by such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Permitted Holder to a Person that is not 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Permitted Holder within 30 days after the date of such notice. If such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Permitted Holder fails to so transfer such Notes or interest therein, the Issuer or the Collateral Manager acting for the Issuer shall have the right, without further notice to the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Permitted Holder, to sell such Notes or interest in such Notes to a purchaser selected by the Issuer that is not 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Permitted Holder on such terms as the Issuer may choose. The Issuer, or the Collateral Manager acting on behalf of the Issuer, may (but is not required to) select the purchaser by soliciting one or more bids from one or more brokers or other market professionals that regularly deal in securities similar to the Notes and sell such Notes to the highest such bidder;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Collateral Manager, its Affiliates and accounts, funds, clients or portfolios established and controlled by the Collateral Manager shall be entitled to bid in any such sale. However, the Issuer or the Collateral Manager may select a purchaser by any other means determined by it in its sole discretion. The Holder of each Note, the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Permitted Holder and each other Person in the chain of title from the Holder to the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Permitted Holder, by its acceptance of an interest in the Notes, agrees to cooperate with the Issuer, the Collateral Trustee, the Transfer Agent and the Collateral Manager to effect such transfers. The proceeds of such sale, net of any commissions, expenses and taxes due in connection with such sale shall be remitted to the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Permitted Holder. The terms and conditions of any such sale under this sub</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section shall be determined in the sole discretion of the Issuer, and none of the Issuer, the Collateral Trustee or the Collateral Manager shall be liable to any Person having an interest in the Notes sold as a result of any such sale or the exercise of such discretion.</w:t>
      </w:r>
    </w:p>
    <w:p>
      <w:pPr>
        <w:spacing w:after="0" w:line="195" w:lineRule="exact"/>
        <w:rPr>
          <w:sz w:val="20"/>
          <w:szCs w:val="20"/>
          <w:color w:val="auto"/>
        </w:rPr>
      </w:pPr>
    </w:p>
    <w:p>
      <w:pPr>
        <w:jc w:val="both"/>
        <w:ind w:firstLine="1505"/>
        <w:spacing w:after="0" w:line="255" w:lineRule="exact"/>
        <w:tabs>
          <w:tab w:leader="none" w:pos="192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Person shall become the beneficial owner of an interest in any Note who has made or is deemed to have made, as applicable, a prohibited transaction, Benefit Plan Investor, Similar Law or Other Plan Law representation required by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that is subsequently shown to be false or misleading (any such Person a "</w:t>
      </w: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Permitted ERISA Holder</w:t>
      </w:r>
      <w:r>
        <w:rPr>
          <w:rFonts w:ascii="Times New Roman" w:cs="Times New Roman" w:eastAsia="Times New Roman" w:hAnsi="Times New Roman"/>
          <w:sz w:val="22"/>
          <w:szCs w:val="22"/>
          <w:color w:val="auto"/>
        </w:rPr>
        <w:t>"), the Issuer shall, promptly after discovery that such Person is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Permitted ERISA Holder by the Issuer or upon notice to the Issuer from the Collateral Trustee (if a Trust Officer of the Collateral Trustee obtains actual knowledge (who, in which case, agree to notify the Issuer of such discovery, if any)), send notice to such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Permitted ERISA Holder demanding that such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Permitted ERISA Holder transfer all or any portion of the Notes held by such Person to a Person that is not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Permitted ERISA Holder within 10 days after the date of such notice. If such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Permitted ERISA Holder fails to so transfer such Notes, the Issuer shall have the right, without further notice to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Permitted ERISA Holder, to sell such Notes or interest in such Notes to a purchaser selected by the Issuer that is not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Permitted ERISA Holder on such terms as the Issuer may choose. The Issuer may select the purchaser by soliciting one or more bids from one or more brokers or other market professionals that regularly deal in securities similar to the Notes and sell such Notes to the highest such bidder;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Collateral Manager, its Affiliates and accounts, funds, clients or portfolios established and controlled by the Collateral Manager shall be entitled to bid in any such sale. However, the Issuer may select a purchaser by any other means in its sole discretion. The holder of each Note,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Permitted ERISA Holder</w:t>
      </w:r>
    </w:p>
    <w:p>
      <w:pPr>
        <w:spacing w:after="0" w:line="138"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50" w:lineRule="exact"/>
        <w:rPr>
          <w:sz w:val="20"/>
          <w:szCs w:val="20"/>
          <w:color w:val="auto"/>
        </w:rPr>
      </w:pPr>
    </w:p>
    <w:p>
      <w:pPr>
        <w:jc w:val="both"/>
        <w:spacing w:after="0" w:line="260" w:lineRule="exact"/>
        <w:rPr>
          <w:sz w:val="20"/>
          <w:szCs w:val="20"/>
          <w:color w:val="auto"/>
        </w:rPr>
      </w:pPr>
      <w:r>
        <w:rPr>
          <w:rFonts w:ascii="Times New Roman" w:cs="Times New Roman" w:eastAsia="Times New Roman" w:hAnsi="Times New Roman"/>
          <w:sz w:val="22"/>
          <w:szCs w:val="22"/>
          <w:color w:val="auto"/>
        </w:rPr>
        <w:t>and each other Person in the chain of title from the Holder to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Permitted ERISA Holder, by its acceptance of an interest in the Notes, agrees to cooperate with the Issuer and the Collateral Trustee to effect such transfers. The proceeds of such sale, net of any commissions, expenses and taxes due in connection with such sale shall be remitted to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Permitted ERISA Holder. The terms and conditions of any sale under this subsection shall be determined in the sole discretion of the Issuer, and none of the Issuer, the Collateral Trustee, the Loan Agent or the Collateral Manager shall be liable to any Person having an interest in the Notes sold as a result of any such sale or the exercise of such discretion.</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2.12 Tax Treatment and Tax Certifications</w:t>
      </w:r>
      <w:r>
        <w:rPr>
          <w:rFonts w:ascii="Times New Roman" w:cs="Times New Roman" w:eastAsia="Times New Roman" w:hAnsi="Times New Roman"/>
          <w:sz w:val="22"/>
          <w:szCs w:val="22"/>
          <w:color w:val="auto"/>
        </w:rPr>
        <w:t xml:space="preserve"> . (a) Each Holder (including for purposes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2.12</w:t>
      </w:r>
      <w:r>
        <w:rPr>
          <w:rFonts w:ascii="Times New Roman" w:cs="Times New Roman" w:eastAsia="Times New Roman" w:hAnsi="Times New Roman"/>
          <w:sz w:val="22"/>
          <w:szCs w:val="22"/>
          <w:color w:val="auto"/>
        </w:rPr>
        <w:t>, any beneficial owner of an interest in Debt) will treat the Issuer and the Debt as described in the "</w:t>
      </w:r>
      <w:r>
        <w:rPr>
          <w:rFonts w:ascii="Times New Roman" w:cs="Times New Roman" w:eastAsia="Times New Roman" w:hAnsi="Times New Roman"/>
          <w:sz w:val="22"/>
          <w:szCs w:val="22"/>
          <w:i w:val="1"/>
          <w:iCs w:val="1"/>
          <w:color w:val="auto"/>
        </w:rPr>
        <w:t>Certain U.S. Federal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Income Tax Considerations</w:t>
      </w:r>
      <w:r>
        <w:rPr>
          <w:rFonts w:ascii="Times New Roman" w:cs="Times New Roman" w:eastAsia="Times New Roman" w:hAnsi="Times New Roman"/>
          <w:sz w:val="22"/>
          <w:szCs w:val="22"/>
          <w:color w:val="auto"/>
        </w:rPr>
        <w:t>" section of the Offering Circular for all U.S. federal, state and local income tax purposes and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take no action inconsistent with such treatment unless required by law.</w:t>
      </w:r>
    </w:p>
    <w:p>
      <w:pPr>
        <w:spacing w:after="0" w:line="180" w:lineRule="exact"/>
        <w:rPr>
          <w:sz w:val="20"/>
          <w:szCs w:val="20"/>
          <w:color w:val="auto"/>
        </w:rPr>
      </w:pPr>
    </w:p>
    <w:p>
      <w:pPr>
        <w:jc w:val="both"/>
        <w:ind w:firstLine="1505"/>
        <w:spacing w:after="0" w:line="234" w:lineRule="auto"/>
        <w:tabs>
          <w:tab w:leader="none" w:pos="192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beneficial owner will timely furnish the Issuer, the Collateral Trustee and their respective agents with any tax forms or certifications (including, without limitation, IRS Form W-9, an applicable IRS Form W-8 (together with all applicable attachments), or any successors to such IRS forms) that the Issuer or its agents reasonably request (A) to permit the Issuer, the Collateral Trustee and their respective agents to make payments to the beneficial owner without, or at a reduced rate of, deduction or withholding, (B) to enable the Issuer and its agents to qualify for a reduced rate of withholding or deduction in any jurisdiction from or through which they receive payments, and (C) to enable the Issuer, the Collateral Trustee and their respective agents to satisfy reporting and other obligations under any applicable law or regulation (including any cost basis reporting obligation), and will update or replace such tax forms or certifications in accordance with their terms or subsequent amendments. Each beneficial owner acknowledges that the failure to provide, update or replace any such tax forms or certifications may result in the imposition of withholding or back-up withholding on payments to the beneficial owner.</w:t>
      </w:r>
    </w:p>
    <w:p>
      <w:pPr>
        <w:spacing w:after="0" w:line="17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beneficial owner of Debt (or interest therein) will be deemed (and may be required) to represent and</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 that:</w:t>
      </w:r>
    </w:p>
    <w:p>
      <w:pPr>
        <w:spacing w:after="0" w:line="182" w:lineRule="exact"/>
        <w:rPr>
          <w:rFonts w:ascii="Times New Roman" w:cs="Times New Roman" w:eastAsia="Times New Roman" w:hAnsi="Times New Roman"/>
          <w:sz w:val="21"/>
          <w:szCs w:val="21"/>
          <w:color w:val="auto"/>
        </w:rPr>
      </w:pPr>
    </w:p>
    <w:p>
      <w:pPr>
        <w:ind w:left="760" w:right="20" w:firstLine="1015"/>
        <w:spacing w:after="0" w:line="258" w:lineRule="auto"/>
        <w:tabs>
          <w:tab w:leader="none" w:pos="221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Class A-1 Debt, the Class A-2 Notes, the Class B Notes, the Class C Notes and the Class D Notes, if it is not a "United States person" (as defined in Section 7701(a)(30) of the Code),</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w:t>
      </w:r>
    </w:p>
    <w:p>
      <w:pPr>
        <w:spacing w:after="0" w:line="206" w:lineRule="exact"/>
        <w:rPr>
          <w:rFonts w:ascii="Times New Roman" w:cs="Times New Roman" w:eastAsia="Times New Roman" w:hAnsi="Times New Roman"/>
          <w:sz w:val="22"/>
          <w:szCs w:val="22"/>
          <w:color w:val="auto"/>
        </w:rPr>
      </w:pPr>
    </w:p>
    <w:p>
      <w:pPr>
        <w:jc w:val="both"/>
        <w:ind w:left="2260" w:right="20" w:firstLine="1012"/>
        <w:spacing w:after="0" w:line="244" w:lineRule="auto"/>
        <w:tabs>
          <w:tab w:leader="none" w:pos="3710" w:val="left"/>
        </w:tabs>
        <w:numPr>
          <w:ilvl w:val="3"/>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 bank (or an entity affiliated with a bank) extending credit pursuant to a loan agreement entered into in the ordinary course of its trade or business (within the meaning of Section 881(c)(3)(A) of the Code); and</w:t>
      </w:r>
    </w:p>
    <w:p>
      <w:pPr>
        <w:spacing w:after="0" w:line="173" w:lineRule="exact"/>
        <w:rPr>
          <w:rFonts w:ascii="Times New Roman" w:cs="Times New Roman" w:eastAsia="Times New Roman" w:hAnsi="Times New Roman"/>
          <w:sz w:val="22"/>
          <w:szCs w:val="22"/>
          <w:color w:val="auto"/>
        </w:rPr>
      </w:pPr>
    </w:p>
    <w:p>
      <w:pPr>
        <w:ind w:left="2260" w:right="40" w:firstLine="1012"/>
        <w:spacing w:after="0" w:line="258" w:lineRule="auto"/>
        <w:tabs>
          <w:tab w:leader="none" w:pos="3710" w:val="left"/>
        </w:tabs>
        <w:numPr>
          <w:ilvl w:val="3"/>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 "10 percent shareholder" with respect to the Issuer (or its sole owner, as applicable) within the meaning of Section 871(h)(3) or Section 881(c)(3)(B) of the Code; and</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85" w:lineRule="exact"/>
        <w:rPr>
          <w:sz w:val="20"/>
          <w:szCs w:val="20"/>
          <w:color w:val="auto"/>
        </w:rPr>
      </w:pPr>
    </w:p>
    <w:p>
      <w:pPr>
        <w:ind w:left="2260" w:right="20" w:firstLine="1012"/>
        <w:spacing w:after="0" w:line="258" w:lineRule="auto"/>
        <w:tabs>
          <w:tab w:leader="none" w:pos="3710" w:val="left"/>
        </w:tabs>
        <w:numPr>
          <w:ilvl w:val="3"/>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 "controlled foreign corporation" that is related to the Issuer (or its sole owner, as applicable) within the meaning of Section 881(c)(3)(C) of the Code; or</w:t>
      </w:r>
    </w:p>
    <w:p>
      <w:pPr>
        <w:spacing w:after="0" w:line="158"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provided an IRS Form W-8ECI representing that all payments received or to be received by it from the Issuer are effectively connected with its conduct of a trade or business in the United States and includible in its gross income; or</w:t>
      </w:r>
    </w:p>
    <w:p>
      <w:pPr>
        <w:spacing w:after="0" w:line="173"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eligible for benefits under an income tax treaty with the United States that eliminates U.S. federal income tax of payments on the Debt; and</w:t>
      </w:r>
    </w:p>
    <w:p>
      <w:pPr>
        <w:spacing w:after="0" w:line="158" w:lineRule="exact"/>
        <w:rPr>
          <w:rFonts w:ascii="Times New Roman" w:cs="Times New Roman" w:eastAsia="Times New Roman" w:hAnsi="Times New Roman"/>
          <w:sz w:val="22"/>
          <w:szCs w:val="22"/>
          <w:color w:val="auto"/>
        </w:rPr>
      </w:pPr>
    </w:p>
    <w:p>
      <w:pPr>
        <w:ind w:left="760" w:firstLine="1015"/>
        <w:spacing w:after="0" w:line="258" w:lineRule="auto"/>
        <w:tabs>
          <w:tab w:leader="none" w:pos="221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provide the Issuer and the Collateral Trustee with certifications necessary to establish that it is not subject to U.S. federal withholding tax under FATCA; and</w:t>
      </w:r>
    </w:p>
    <w:p>
      <w:pPr>
        <w:spacing w:after="0" w:line="158" w:lineRule="exact"/>
        <w:rPr>
          <w:rFonts w:ascii="Times New Roman" w:cs="Times New Roman" w:eastAsia="Times New Roman" w:hAnsi="Times New Roman"/>
          <w:sz w:val="22"/>
          <w:szCs w:val="22"/>
          <w:color w:val="auto"/>
        </w:rPr>
      </w:pPr>
    </w:p>
    <w:p>
      <w:pPr>
        <w:jc w:val="both"/>
        <w:ind w:left="760" w:firstLine="1015"/>
        <w:spacing w:after="0" w:line="255" w:lineRule="auto"/>
        <w:tabs>
          <w:tab w:leader="none" w:pos="2295"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it is a beneficial owner of Debt, for U.S. federal income tax purposes, it is not a member of an "expanded group" (as defined in Treasury Regulations Section 1.385-1(c)(4)) with respect to which a beneficial owner of Subordinated Notes is a "covered member" (as defined in Treasury Regulations Section 1.385-1(c)(2)), except to the extent that the Issuer or its agents have provided such beneficial owner with an express waiver of this representation.</w:t>
      </w:r>
    </w:p>
    <w:p>
      <w:pPr>
        <w:spacing w:after="0" w:line="161"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Holder of Subordinated Notes (or interest therein) will be deemed (and may be required) to represent</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 agree that:</w:t>
      </w:r>
    </w:p>
    <w:p>
      <w:pPr>
        <w:spacing w:after="0" w:line="182" w:lineRule="exact"/>
        <w:rPr>
          <w:rFonts w:ascii="Times New Roman" w:cs="Times New Roman" w:eastAsia="Times New Roman" w:hAnsi="Times New Roman"/>
          <w:sz w:val="21"/>
          <w:szCs w:val="21"/>
          <w:color w:val="auto"/>
        </w:rPr>
      </w:pPr>
    </w:p>
    <w:p>
      <w:pPr>
        <w:jc w:val="both"/>
        <w:ind w:left="760" w:firstLine="1015"/>
        <w:spacing w:after="0" w:line="239" w:lineRule="auto"/>
        <w:tabs>
          <w:tab w:leader="none" w:pos="221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 “United States person” within the meaning of Section 7701(a)(30) of the Code, and will provide a properly completed and signed IRS Form W-9 (or applicable successor form). It understands and acknowledges that failure to provide the Issuer or the Collateral Trustee with the applicable tax certifications may result in withholding or back-up withholding from payments to it in respect of the Subordinated Notes; and</w:t>
      </w:r>
    </w:p>
    <w:p>
      <w:pPr>
        <w:spacing w:after="0" w:line="180" w:lineRule="exact"/>
        <w:rPr>
          <w:rFonts w:ascii="Times New Roman" w:cs="Times New Roman" w:eastAsia="Times New Roman" w:hAnsi="Times New Roman"/>
          <w:sz w:val="22"/>
          <w:szCs w:val="22"/>
          <w:color w:val="auto"/>
        </w:rPr>
      </w:pPr>
    </w:p>
    <w:p>
      <w:pPr>
        <w:jc w:val="both"/>
        <w:ind w:left="760" w:firstLine="1015"/>
        <w:spacing w:after="0" w:line="235" w:lineRule="auto"/>
        <w:tabs>
          <w:tab w:leader="none" w:pos="221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acknowledges and agrees that no Subordinated Note (or interest therein) may be acquired, and no holder of an Subordinated Note may sell, transfer, assign, participate, pledge or otherwise dispose of, transfer or convey in any manner an Subordinated Note (or any interest therein) or other equity interest in the Issuer or cause an Subordinated Note or other equity interest in the Issuer to be marketed, (1) on or through (x) a United States national, regional or local securities exchange, (y) a foreign securities exchange or (z) an interdealer quotation system that regularly disseminates firm buy or sell quotations or (2) if such acquisition would cause the combined number of holders of Subordinated Notes and any equity interests in the Issuer to be held by more than 90 persons; and</w:t>
      </w:r>
    </w:p>
    <w:p>
      <w:pPr>
        <w:spacing w:after="0" w:line="183"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acknowledges and agrees that it will not enter into any financial instrument the payments on which are, or the value of which is, determined in whole or in part by reference to such Debt or other equity interests in the Issuer (including the amount of distributions on such Debt or such equity interests, the value of the Issuer’s assets, or</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85"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22"/>
          <w:szCs w:val="22"/>
          <w:color w:val="auto"/>
        </w:rPr>
        <w:t>the result of the Issuer’s operations), or any contract that otherwise is described in Treasury Regulations Section 1.7704 1(a)(2)(i)(B); and</w:t>
      </w:r>
    </w:p>
    <w:p>
      <w:pPr>
        <w:spacing w:after="0" w:line="158" w:lineRule="exact"/>
        <w:rPr>
          <w:sz w:val="20"/>
          <w:szCs w:val="20"/>
          <w:color w:val="auto"/>
        </w:rPr>
      </w:pPr>
    </w:p>
    <w:p>
      <w:pPr>
        <w:jc w:val="both"/>
        <w:ind w:left="760" w:firstLine="1015"/>
        <w:spacing w:after="0" w:line="234" w:lineRule="auto"/>
        <w:tabs>
          <w:tab w:leader="none" w:pos="221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acknowledges and agrees that no Subordinated Note (or interest therein) may be acquired or owned by any person that is classified for U.S. federal income tax purposes as a partnership, subchapter S corporation or grantor trust unless (1)(x) none of the direct or indirect holders of any interest in such person have more than 40% of the value of its interest in such person attributable to the aggregate interest of such person in the combined value of the Subordinated Notes and any other equity interests of the Issuer held by such person and (y) a principal purpose of the arrangement involving the investment of such person in any Subordinated Notes (or any other equity interests in the Issuer) is not and will not be to permit any partnership to satisfy the 100 partner limitation of Section 1.7704-1(h)(1)(ii) of the regulations under the Code; or (2) the Issuer must otherwise determine that the holder will not cause the Issuer to be unable to rely on the “private placement” safe harbor of Treasury Regulations Section 1.7704-1(h);</w:t>
      </w:r>
    </w:p>
    <w:p>
      <w:pPr>
        <w:spacing w:after="0" w:line="183"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may not transfer all or any portion of the Subordinated Notes unless: (1) the Person to which it transfers such Subordinated Notes agrees to be bound by the restrictions, conditions, representations, warranties, and covenants set forth in this clause (d), and (2) such transfer does not violate this clause (d); and</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35" w:lineRule="auto"/>
        <w:tabs>
          <w:tab w:leader="none" w:pos="221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transfer made in violation of this clause (iii), or that otherwise would cause the Issuer to be unable to rely on the “private placement” safe harbor of Treasury Regulations Section 1.7704-1(h), will be void and of no force or effect, and shall not bind or be recognized by the Issuer or any other Person, and no Person to which such Subordinated Notes are transferred shall become a Holder unless such Person agrees to be bound by this clause (d). However, notwithstanding the immediately preceding sentence, a transfer in violation of this clause (d) shall be permitted if the Issuer obtains written advice of Dechert LLP or Cadwalader, Wickersham &amp; Taft LLP, or an opinion of another nationally recognized tax counsel, that the transfer will not cause the Issuer to be treated as a “publicly traded partnership” taxable as a corporation for U.S. federal income tax purposes.</w:t>
      </w:r>
    </w:p>
    <w:p>
      <w:pPr>
        <w:spacing w:after="0" w:line="178"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of Subordinated Notes hereby agrees to take any and all actions, and to furnish any and all information, requested by the Issuer in order to permit the Issuer to minimize any tax liability that would otherwise be imposed on the Issuer under Section 6225 of the Code, or any successor provision, including (if requested by the Issuer) by (i) filing amended tax returns to take into account any adjustment to the amount of any item of income, gain, loss, deduction, or credit of the Holder, or of any Person’s distributive share thereof, and (ii) providing the Issuer with any information necessary for the Issuer to (x) establish the amount of any tax liability resulting from any such adjustment and (y) elect (in accordance with Section 6226 of the Code, or any successor provision) for each Holder to take any such adjustment into account directly. To the fullest extent permitted by law, each Holder of Subordinated Notes hereby agrees to indemnify the Issuer for the Holder’s allocable share of any applicable tax liability of any type whatsoever (including any liability for penalties, additions to tax or interest) attributable to such Holder’s share of the income of the Issuer or attributable to distributions to such Holder.</w:t>
      </w:r>
    </w:p>
    <w:p>
      <w:pPr>
        <w:spacing w:after="0" w:line="158"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85" w:lineRule="exact"/>
        <w:rPr>
          <w:sz w:val="20"/>
          <w:szCs w:val="20"/>
          <w:color w:val="auto"/>
        </w:rPr>
      </w:pPr>
    </w:p>
    <w:p>
      <w:pPr>
        <w:ind w:firstLine="1505"/>
        <w:spacing w:after="0" w:line="258" w:lineRule="auto"/>
        <w:tabs>
          <w:tab w:leader="none" w:pos="1929"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such Holder owns less than 100% of the Subordinated Notes, it will not acquire Subordinated Notes if such acquisition would cause it to own 100% of the Subordinated Notes.</w:t>
      </w:r>
    </w:p>
    <w:p>
      <w:pPr>
        <w:spacing w:after="0" w:line="158" w:lineRule="exact"/>
        <w:rPr>
          <w:rFonts w:ascii="Times New Roman" w:cs="Times New Roman" w:eastAsia="Times New Roman" w:hAnsi="Times New Roman"/>
          <w:sz w:val="22"/>
          <w:szCs w:val="22"/>
          <w:color w:val="auto"/>
        </w:rPr>
      </w:pPr>
    </w:p>
    <w:p>
      <w:pPr>
        <w:jc w:val="both"/>
        <w:ind w:firstLine="1505"/>
        <w:spacing w:after="0" w:line="253" w:lineRule="auto"/>
        <w:tabs>
          <w:tab w:leader="none" w:pos="1929"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such Holder owns 100% of the Subordinated Notes, such Holder will not sell, transfer, assign, participate, pledge or otherwise dispose of any Debt unless it obtains written advice of Dechert LLP or Cadwalader, Wickersham</w:t>
      </w:r>
    </w:p>
    <w:p>
      <w:pPr>
        <w:jc w:val="both"/>
        <w:ind w:firstLine="8"/>
        <w:spacing w:after="0" w:line="234" w:lineRule="auto"/>
        <w:tabs>
          <w:tab w:leader="none" w:pos="24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Taft LLP, or an opinion of another nationally recognized tax counsel, that (i) such sale, transfer, assignment, participation, pledge or disposition will not cause the Issuer to be treated as a “publicly traded partnership” taxable as a corporation for U.S. federal income tax purposes or as otherwise to be subject to U.S. federal income tax on a net basis and (ii) any transferred Debt will be characterized as indebtedness for U.S. federal income tax purposes.</w:t>
      </w:r>
    </w:p>
    <w:p>
      <w:pPr>
        <w:spacing w:after="0" w:line="17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2.13 Additional Issuance</w:t>
      </w:r>
      <w:r>
        <w:rPr>
          <w:rFonts w:ascii="Times New Roman" w:cs="Times New Roman" w:eastAsia="Times New Roman" w:hAnsi="Times New Roman"/>
          <w:sz w:val="22"/>
          <w:szCs w:val="22"/>
          <w:color w:val="auto"/>
        </w:rPr>
        <w:t xml:space="preserve">. (a) At any time during the Reinvestment Period (and, solely with respect to additional Subordinated Notes, after the Reinvestment Period), the Issuer may incur additional loans, issue and sell additional Secured Debt of each Class and/or issue and sell additional Subordinated Notes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with respect to each Class or, if additional Class A-1 Debt is not being issued,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for all Classes that are subordinate to the Class A-1 Debt) (except a greater proportion of Subordinated Notes may be issued) and use the proceeds to purchase additional Collateral Obligations or as otherwise permitted under this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additional Class A-1 Debt may consist of additional Class A-1L-A Loans, Class A-1L-B Loans or Class A-1 Notes;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following conditions are met:</w:t>
      </w:r>
    </w:p>
    <w:p>
      <w:pPr>
        <w:spacing w:after="0" w:line="183" w:lineRule="exact"/>
        <w:rPr>
          <w:sz w:val="20"/>
          <w:szCs w:val="20"/>
          <w:color w:val="auto"/>
        </w:rPr>
      </w:pPr>
    </w:p>
    <w:p>
      <w:pPr>
        <w:ind w:left="760" w:firstLine="1015"/>
        <w:spacing w:after="0" w:line="258" w:lineRule="auto"/>
        <w:tabs>
          <w:tab w:leader="none" w:pos="221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the Transferor, a Majority of the Subordinated Notes and, solely with respect to an additional issuance of Class A-1 Debt, a Majority of the Class A-1 Debt, consents to such issuance;</w:t>
      </w:r>
    </w:p>
    <w:p>
      <w:pPr>
        <w:spacing w:after="0" w:line="158" w:lineRule="exact"/>
        <w:rPr>
          <w:rFonts w:ascii="Times New Roman" w:cs="Times New Roman" w:eastAsia="Times New Roman" w:hAnsi="Times New Roman"/>
          <w:sz w:val="22"/>
          <w:szCs w:val="22"/>
          <w:color w:val="auto"/>
        </w:rPr>
      </w:pPr>
    </w:p>
    <w:p>
      <w:pPr>
        <w:ind w:left="760" w:right="20" w:firstLine="1015"/>
        <w:spacing w:after="0" w:line="258" w:lineRule="auto"/>
        <w:tabs>
          <w:tab w:leader="none" w:pos="221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Debt of any Class issued in all additional issuances shall not exceed 100% of the respective Aggregate Outstanding Amount of such Class on the Closing Date;</w:t>
      </w:r>
    </w:p>
    <w:p>
      <w:pPr>
        <w:spacing w:after="0" w:line="158" w:lineRule="exact"/>
        <w:rPr>
          <w:rFonts w:ascii="Times New Roman" w:cs="Times New Roman" w:eastAsia="Times New Roman" w:hAnsi="Times New Roman"/>
          <w:sz w:val="22"/>
          <w:szCs w:val="22"/>
          <w:color w:val="auto"/>
        </w:rPr>
      </w:pPr>
    </w:p>
    <w:p>
      <w:pPr>
        <w:jc w:val="both"/>
        <w:ind w:left="760" w:firstLine="1015"/>
        <w:spacing w:after="0" w:line="236" w:lineRule="auto"/>
        <w:tabs>
          <w:tab w:leader="none" w:pos="221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of the Debt issued or incurred, as applicable, must be identical to the respective terms of previously issued or incurred, as applicable, Debt of the applicable Class (except that the interest due on additional Secured Debt will accrue from the issue or incurrence date of such additional Secured Debt and the spread over the Benchmark (or the stated interest rate, in the case of Fixed Rate Debt) and price of such additional Secured Debt do not have to be identical to those of the initial Secured Debt of such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Interest Rate of any such additional Secured Debt must not exceed the Interest Rate applicable to the initial Secured Debt of that Class);</w:t>
      </w:r>
    </w:p>
    <w:p>
      <w:pPr>
        <w:spacing w:after="0" w:line="181"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any additional Debt (net of fees and expenses incurred in connection with such issuance) will be treated as Principal Proceeds, used to purchase additional Collateral Obligations, or as otherwise permitted hereunder;</w:t>
      </w:r>
    </w:p>
    <w:p>
      <w:pPr>
        <w:spacing w:after="0" w:line="173" w:lineRule="exact"/>
        <w:rPr>
          <w:rFonts w:ascii="Times New Roman" w:cs="Times New Roman" w:eastAsia="Times New Roman" w:hAnsi="Times New Roman"/>
          <w:sz w:val="22"/>
          <w:szCs w:val="22"/>
          <w:color w:val="auto"/>
        </w:rPr>
      </w:pPr>
    </w:p>
    <w:p>
      <w:pPr>
        <w:ind w:left="760" w:right="20" w:firstLine="1015"/>
        <w:spacing w:after="0" w:line="258" w:lineRule="auto"/>
        <w:tabs>
          <w:tab w:leader="none" w:pos="221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Overcollateralization Ratio with respect to each Class is maintained or improved after giving effect to such issuance;</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85" w:lineRule="exact"/>
        <w:rPr>
          <w:sz w:val="20"/>
          <w:szCs w:val="20"/>
          <w:color w:val="auto"/>
        </w:rPr>
      </w:pPr>
    </w:p>
    <w:p>
      <w:pPr>
        <w:jc w:val="both"/>
        <w:ind w:left="760" w:firstLine="1015"/>
        <w:spacing w:after="0" w:line="234" w:lineRule="auto"/>
        <w:tabs>
          <w:tab w:leader="none" w:pos="221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when only additional Subordinated Notes are being issued, an opinion of tax counsel of nationally recognized standing in the United States experienced in such matters will be delivered to the Issuer to the effect that (1) such additional issuance will not cause the Issuer (A) to be subject to U.S. federal income tax with respect to its net income or subject to tax liability under Section 1446 of the Code, or (B) to be treated as a publicly traded partnership taxable as a corporation for U.S. federal income tax purposes and (2) any additional Class A-1 Debt, Class A-2 Notes, Class B Notes, Class C Notes or Class D Notes will be treated as indebtedness for U.S. federal income tax purposes;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opinion described in this clause (vii)(2) will not be required with respect to any additional Debt that bears a different securities identifier from the Debt of the same Class that is Outstanding at the time of the additional issuance;</w:t>
      </w:r>
    </w:p>
    <w:p>
      <w:pPr>
        <w:spacing w:after="0" w:line="183" w:lineRule="exact"/>
        <w:rPr>
          <w:rFonts w:ascii="Times New Roman" w:cs="Times New Roman" w:eastAsia="Times New Roman" w:hAnsi="Times New Roman"/>
          <w:sz w:val="22"/>
          <w:szCs w:val="22"/>
          <w:color w:val="auto"/>
        </w:rPr>
      </w:pPr>
    </w:p>
    <w:p>
      <w:pPr>
        <w:ind w:left="760" w:right="20" w:firstLine="1015"/>
        <w:spacing w:after="0" w:line="258" w:lineRule="auto"/>
        <w:tabs>
          <w:tab w:leader="none" w:pos="221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Debt will be issued in a manner that allows the accountants of the Issuer to accurately provide the tax information relating to original issue discount to Holders of Debt; and</w:t>
      </w:r>
    </w:p>
    <w:p>
      <w:pPr>
        <w:spacing w:after="0" w:line="158" w:lineRule="exact"/>
        <w:rPr>
          <w:rFonts w:ascii="Times New Roman" w:cs="Times New Roman" w:eastAsia="Times New Roman" w:hAnsi="Times New Roman"/>
          <w:sz w:val="22"/>
          <w:szCs w:val="22"/>
          <w:color w:val="auto"/>
        </w:rPr>
      </w:pPr>
    </w:p>
    <w:p>
      <w:pPr>
        <w:ind w:left="760" w:right="20" w:firstLine="1015"/>
        <w:spacing w:after="0" w:line="258" w:lineRule="auto"/>
        <w:tabs>
          <w:tab w:leader="none" w:pos="2642"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officer's certificate of the Issuer is delivered to the Collateral Trustee stating that the foregoing conditions (i) through (viii) have been satisfied.</w:t>
      </w:r>
    </w:p>
    <w:p>
      <w:pPr>
        <w:spacing w:after="0" w:line="158"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an issuance being made in order for the Transferor, the Collateral Manager or an Affiliate thereof to comply with the U.S. Risk Retention Rules (based on written advice of nationally recognized counsel to the Transferor or the Collateral Manager, as applicable, experiences in such matters) (a “</w:t>
      </w:r>
      <w:r>
        <w:rPr>
          <w:rFonts w:ascii="Times New Roman" w:cs="Times New Roman" w:eastAsia="Times New Roman" w:hAnsi="Times New Roman"/>
          <w:sz w:val="22"/>
          <w:szCs w:val="22"/>
          <w:u w:val="single" w:color="auto"/>
          <w:color w:val="auto"/>
        </w:rPr>
        <w:t>Risk Retention Issuance</w:t>
      </w:r>
      <w:r>
        <w:rPr>
          <w:rFonts w:ascii="Times New Roman" w:cs="Times New Roman" w:eastAsia="Times New Roman" w:hAnsi="Times New Roman"/>
          <w:sz w:val="22"/>
          <w:szCs w:val="22"/>
          <w:color w:val="auto"/>
        </w:rPr>
        <w:t xml:space="preserve">”), (i) any additional Class A-1 Debt issued as described above will be offered to the existing holders of Class A-1 Debt in the form of Class A-1L-A Loans, Class A-1L-B Loans and/or Class A-1 Notes held by each such existing holder (x) first, in such amounts as are necessary to preserve each such holder's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ownership interest in the Class A-1 Debt and (y) second, in the case of any unsold additional Class A-1 Debt, without regard to each holder's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ownership interest in the Class A-1 Debt, it being understood that additional Class A-1 Debt offered to an existing holder pursuant to this subclause (y) may be subscribed for by such holder in the form of additional Class A-1L-A Loans, Class A-1L-B Loans or additional Class A-1 Notes, without regard to the form of such holder's existing holdings, (ii) any additional Debt of any other Class issued as described above will, to the extent reasonably practicable, be offered first to holders of that Class in such amounts as are necessary to preserve each such holder's </w:t>
      </w:r>
      <w:r>
        <w:rPr>
          <w:rFonts w:ascii="Times New Roman" w:cs="Times New Roman" w:eastAsia="Times New Roman" w:hAnsi="Times New Roman"/>
          <w:sz w:val="22"/>
          <w:szCs w:val="22"/>
          <w:i w:val="1"/>
          <w:iCs w:val="1"/>
          <w:color w:val="auto"/>
        </w:rPr>
        <w:t xml:space="preserve">pro rata </w:t>
      </w:r>
      <w:r>
        <w:rPr>
          <w:rFonts w:ascii="Times New Roman" w:cs="Times New Roman" w:eastAsia="Times New Roman" w:hAnsi="Times New Roman"/>
          <w:sz w:val="22"/>
          <w:szCs w:val="22"/>
          <w:color w:val="auto"/>
        </w:rPr>
        <w:t>ownership interest in such Class and (iii) any additional Subordinated Notes issued as described above shall,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extent reasonably practicable, be offered first to holders of Subordinated Notes in such amounts as are necessary to preserve each such holder’s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ownership interest in the Subordinated Notes . The Collateral Trustee shall provide written notice to S&amp;P of the issuance of any additional Debt pursuant to this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3.1 Conditions to Issuance of Notes on Closing Date</w:t>
      </w:r>
      <w:r>
        <w:rPr>
          <w:rFonts w:ascii="Times New Roman" w:cs="Times New Roman" w:eastAsia="Times New Roman" w:hAnsi="Times New Roman"/>
          <w:sz w:val="22"/>
          <w:szCs w:val="22"/>
          <w:color w:val="auto"/>
        </w:rPr>
        <w:t xml:space="preserve"> . The Notes to be issued on the Closing Date may be executed by the Issuer and delivered to the Collateral Trustee for authentication and thereupon the same shall be authenticated by the Collateral Trustee or the</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Authenticating Agent and delivered by the Collateral Trustee upon Issuer Order and upon receipt by the Collateral Trustee and the Loan Agent of the following:</w:t>
      </w:r>
    </w:p>
    <w:p>
      <w:pPr>
        <w:spacing w:after="0" w:line="158" w:lineRule="exact"/>
        <w:rPr>
          <w:sz w:val="20"/>
          <w:szCs w:val="20"/>
          <w:color w:val="auto"/>
        </w:rPr>
      </w:pPr>
    </w:p>
    <w:p>
      <w:pPr>
        <w:jc w:val="both"/>
        <w:ind w:firstLine="1505"/>
        <w:spacing w:after="0" w:line="247" w:lineRule="auto"/>
        <w:tabs>
          <w:tab w:leader="none" w:pos="194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Officers' Certificate of the Issuer Regarding Corporate Matters</w:t>
      </w:r>
      <w:r>
        <w:rPr>
          <w:rFonts w:ascii="Times New Roman" w:cs="Times New Roman" w:eastAsia="Times New Roman" w:hAnsi="Times New Roman"/>
          <w:sz w:val="21"/>
          <w:szCs w:val="21"/>
          <w:color w:val="auto"/>
        </w:rPr>
        <w:t>. An Officer's certificate of the Issuer (A) evidencing the authorization by Resolution of the execution and delivery of this Indenture, the Credit Agreements, the Collateral Management Agreement, the Collateral Administration Agreement and related Transaction Documents and, in each case, the execution, authentication and delivery of the Notes applied for by it and the incurrence of the Class A-1 Loans, (B) specifying the Stated Maturity, principal amount and Interest Rate (in the case of the Secured Debt) of each Class of Notes to be authenticated and delivered and the Class A-1 Loans to be incurred and (C) certifying that (1) the attached copy of the Resolution is a true and complete copy thereof, (2) such Resolution has not been rescinded and is in full force and effect on and as of the Closing Date and (3) the Officers authorized to execute and deliver such documents hold the offices and have the signatures indicated thereon.</w:t>
      </w:r>
    </w:p>
    <w:p>
      <w:pPr>
        <w:spacing w:after="0" w:line="171" w:lineRule="exact"/>
        <w:rPr>
          <w:rFonts w:ascii="Times New Roman" w:cs="Times New Roman" w:eastAsia="Times New Roman" w:hAnsi="Times New Roman"/>
          <w:sz w:val="21"/>
          <w:szCs w:val="21"/>
          <w:color w:val="auto"/>
        </w:rPr>
      </w:pPr>
    </w:p>
    <w:p>
      <w:pPr>
        <w:jc w:val="both"/>
        <w:ind w:firstLine="1505"/>
        <w:spacing w:after="0" w:line="238" w:lineRule="auto"/>
        <w:tabs>
          <w:tab w:leader="none" w:pos="194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Either (A) a certificate of the Issuer or other official document evidencing the due authorization, approval or consent of any governmental body or bodies, at the time having jurisdiction in the premises, together with an Opinion of Counsel of the Issuer that no other authorization, approval or consent of any governmental body is required for the valid issuance of the Notes or (B) an Opinion of Counsel of the Issuer that no such authorization, approval or consent of any governmental body is required for the valid issuance of such Notes except as has been given.</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 Counsel Opinions</w:t>
      </w:r>
      <w:r>
        <w:rPr>
          <w:rFonts w:ascii="Times New Roman" w:cs="Times New Roman" w:eastAsia="Times New Roman" w:hAnsi="Times New Roman"/>
          <w:sz w:val="22"/>
          <w:szCs w:val="22"/>
          <w:color w:val="auto"/>
        </w:rPr>
        <w:t>. Opinions of Cadwalader, Wickersham &amp; Taft LLP, special counsel to the Issuer, Clark Hill PLC, Delaware counsel to the Issuer, Dechert LLP, counsel to the Collateral Manager and the Transferor and Greenberg Traurig LLP, counsel to the Collateral Trustee and the Collateral Administrator, in each case dated the Closing Date, in form and substance satisfactory to the Issuer.</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Officer's Certificate of Issuer Regarding Indenture</w:t>
      </w:r>
      <w:r>
        <w:rPr>
          <w:rFonts w:ascii="Times New Roman" w:cs="Times New Roman" w:eastAsia="Times New Roman" w:hAnsi="Times New Roman"/>
          <w:sz w:val="21"/>
          <w:szCs w:val="21"/>
          <w:color w:val="auto"/>
        </w:rPr>
        <w:t>. An Officer's certificate of the Issuer stating that, to the signing Officer's knowledge, the Issuer is not in default under this Indenture and that neither the issuance of the Notes applied for by it nor the incurrence of the Class A-1 Loans will result in a default or a breach of any of the terms, conditions or provisions of, or constitute a default under, its organizational documents, any indenture or other agreement or instrument to which it is a party or by which it is bound, or any order of any court or administrative agency entered in any Proceeding to which it is a party or by which it may be bound or to which it may be subject; that all conditions precedent provided herein relating to the authentication and delivery of the Notes applied for by it have been complied with; that all expenses due or accrued with respect to the Offering of such Notes or relating to actions taken on or in connection with the Closing Date have been paid or reserves therefor have been made; and that all of the Issuer's representations and warranties contained herein are true and correct as of the Closing Date.</w:t>
      </w:r>
    </w:p>
    <w:p>
      <w:pPr>
        <w:spacing w:after="0" w:line="175" w:lineRule="exact"/>
        <w:rPr>
          <w:rFonts w:ascii="Times New Roman" w:cs="Times New Roman" w:eastAsia="Times New Roman" w:hAnsi="Times New Roman"/>
          <w:sz w:val="21"/>
          <w:szCs w:val="21"/>
          <w:color w:val="auto"/>
        </w:rPr>
      </w:pPr>
    </w:p>
    <w:p>
      <w:pPr>
        <w:ind w:firstLine="1505"/>
        <w:spacing w:after="0" w:line="258" w:lineRule="auto"/>
        <w:tabs>
          <w:tab w:leader="none" w:pos="194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of the Collateral Manager</w:t>
      </w:r>
      <w:r>
        <w:rPr>
          <w:rFonts w:ascii="Times New Roman" w:cs="Times New Roman" w:eastAsia="Times New Roman" w:hAnsi="Times New Roman"/>
          <w:sz w:val="22"/>
          <w:szCs w:val="22"/>
          <w:color w:val="auto"/>
        </w:rPr>
        <w:t>. An Officer's certificate of the Collateral Manager, dated as of the Closing Date, to the effect that immediately before the Delivery of the Collateral Obligations on the Closing Date:</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5" w:lineRule="exact"/>
        <w:rPr>
          <w:sz w:val="20"/>
          <w:szCs w:val="20"/>
          <w:color w:val="auto"/>
        </w:rPr>
      </w:pPr>
    </w:p>
    <w:p>
      <w:pPr>
        <w:ind w:left="760" w:right="20" w:firstLine="1015"/>
        <w:spacing w:after="0" w:line="258" w:lineRule="auto"/>
        <w:tabs>
          <w:tab w:leader="none" w:pos="221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with respect to each Collateral Obligation in the Schedule of Collateral Obligations is true and correct and such schedule is complete with respect to each such Collateral Obligation;</w:t>
      </w:r>
    </w:p>
    <w:p>
      <w:pPr>
        <w:spacing w:after="0" w:line="158" w:lineRule="exact"/>
        <w:rPr>
          <w:rFonts w:ascii="Times New Roman" w:cs="Times New Roman" w:eastAsia="Times New Roman" w:hAnsi="Times New Roman"/>
          <w:sz w:val="22"/>
          <w:szCs w:val="22"/>
          <w:color w:val="auto"/>
        </w:rPr>
      </w:pPr>
    </w:p>
    <w:p>
      <w:pPr>
        <w:ind w:left="760" w:right="20" w:firstLine="1015"/>
        <w:spacing w:after="0" w:line="258" w:lineRule="auto"/>
        <w:tabs>
          <w:tab w:leader="none" w:pos="221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Collateral Obligation in the Schedule of Collateral Obligations satisfies the requirements of the definition of "Collateral Obligation";</w:t>
      </w:r>
    </w:p>
    <w:p>
      <w:pPr>
        <w:spacing w:after="0" w:line="158" w:lineRule="exact"/>
        <w:rPr>
          <w:rFonts w:ascii="Times New Roman" w:cs="Times New Roman" w:eastAsia="Times New Roman" w:hAnsi="Times New Roman"/>
          <w:sz w:val="22"/>
          <w:szCs w:val="22"/>
          <w:color w:val="auto"/>
        </w:rPr>
      </w:pPr>
    </w:p>
    <w:p>
      <w:pPr>
        <w:ind w:left="760" w:right="20" w:firstLine="1015"/>
        <w:spacing w:after="0" w:line="258" w:lineRule="auto"/>
        <w:tabs>
          <w:tab w:leader="none" w:pos="221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purchased or entered into each Collateral Obligation in the Schedule of Collateral Obligations in compliance with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Balance of the Collateral Obligations which the Issuer has purchased, acquired in the Initial Sale and Contribution or entered into binding commitments to purchase or identified for expected purchase on or prior to the Closing Date is at least U.S.$417,000,000.</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7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Collateral Obligations</w:t>
      </w:r>
      <w:r>
        <w:rPr>
          <w:rFonts w:ascii="Times New Roman" w:cs="Times New Roman" w:eastAsia="Times New Roman" w:hAnsi="Times New Roman"/>
          <w:sz w:val="22"/>
          <w:szCs w:val="22"/>
          <w:color w:val="auto"/>
        </w:rPr>
        <w:t xml:space="preserve">. Contemporaneously with the issuance and sale of the Notes on the Closing Date, the Grant pursuant to the Granting Clauses of this Indenture of all of the Issuer's right, title and interest in and to the Collateral Obligations pledged to the Collateral Trustee for inclusion in the Assets on the Closing Date shall be effective, and Delivery of such Collateral Obligations (including each promissory note and all other Underlying Documents related thereto to the extent received by the Issuer) as contemplated by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shall have been effected.</w:t>
      </w:r>
    </w:p>
    <w:p>
      <w:pPr>
        <w:spacing w:after="0" w:line="176" w:lineRule="exact"/>
        <w:rPr>
          <w:rFonts w:ascii="Times New Roman" w:cs="Times New Roman" w:eastAsia="Times New Roman" w:hAnsi="Times New Roman"/>
          <w:sz w:val="22"/>
          <w:szCs w:val="22"/>
          <w:color w:val="auto"/>
        </w:rPr>
      </w:pPr>
    </w:p>
    <w:p>
      <w:pPr>
        <w:ind w:firstLine="1505"/>
        <w:spacing w:after="0" w:line="258" w:lineRule="auto"/>
        <w:tabs>
          <w:tab w:leader="none" w:pos="194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of the Issuer Regarding Assets</w:t>
      </w:r>
      <w:r>
        <w:rPr>
          <w:rFonts w:ascii="Times New Roman" w:cs="Times New Roman" w:eastAsia="Times New Roman" w:hAnsi="Times New Roman"/>
          <w:sz w:val="22"/>
          <w:szCs w:val="22"/>
          <w:color w:val="auto"/>
        </w:rPr>
        <w:t>. An Officer's certificate of the Issuer, dated as of the Closing Date, to the effect that:</w:t>
      </w:r>
    </w:p>
    <w:p>
      <w:pPr>
        <w:spacing w:after="0" w:line="158"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each Collateral Obligation pledged to the Collateral Trustee for inclusion in the Assets, on the Closing Date and immediately prior to the Delivery thereof (or immediately after Delivery thereof, in the case of clause (VI)(ii) below) on the Closing Date;</w:t>
      </w:r>
    </w:p>
    <w:p>
      <w:pPr>
        <w:spacing w:after="0" w:line="173" w:lineRule="exact"/>
        <w:rPr>
          <w:sz w:val="20"/>
          <w:szCs w:val="20"/>
          <w:color w:val="auto"/>
        </w:rPr>
      </w:pPr>
    </w:p>
    <w:p>
      <w:pPr>
        <w:jc w:val="both"/>
        <w:ind w:left="1500" w:right="20" w:firstLine="754"/>
        <w:spacing w:after="0" w:line="244" w:lineRule="auto"/>
        <w:tabs>
          <w:tab w:leader="none" w:pos="268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is the owner of such Collateral Obligation free and clear of any liens, claims or encumbrances of any nature whatsoever except for (i) those which are being released on the Closing Date; (ii) those Granted pursuant to this Indenture and (iii) any other Permitted Liens;</w:t>
      </w:r>
    </w:p>
    <w:p>
      <w:pPr>
        <w:spacing w:after="0" w:line="173" w:lineRule="exact"/>
        <w:rPr>
          <w:sz w:val="20"/>
          <w:szCs w:val="20"/>
          <w:color w:val="auto"/>
        </w:rPr>
      </w:pPr>
    </w:p>
    <w:p>
      <w:pPr>
        <w:ind w:left="1500" w:right="20" w:firstLine="754"/>
        <w:spacing w:after="0" w:line="258" w:lineRule="auto"/>
        <w:tabs>
          <w:tab w:leader="none" w:pos="268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acquired its ownership in such Collateral Obligation in good faith without notice of any adverse claim, except as described in clause (I) above;</w:t>
      </w:r>
    </w:p>
    <w:p>
      <w:pPr>
        <w:spacing w:after="0" w:line="158" w:lineRule="exact"/>
        <w:rPr>
          <w:sz w:val="20"/>
          <w:szCs w:val="20"/>
          <w:color w:val="auto"/>
        </w:rPr>
      </w:pPr>
    </w:p>
    <w:p>
      <w:pPr>
        <w:jc w:val="both"/>
        <w:ind w:left="1500" w:firstLine="754"/>
        <w:spacing w:after="0" w:line="244" w:lineRule="auto"/>
        <w:tabs>
          <w:tab w:leader="none" w:pos="268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not assigned, pledged or otherwise encumbered any interest in such Collateral Obligation (or, if any such interest has been assigned, pledged or otherwise encumbered, it has been released) other than interests Granted pursuant to this Indenture and the Securities Account Control Agreement;</w:t>
      </w:r>
    </w:p>
    <w:p>
      <w:pPr>
        <w:spacing w:after="0" w:line="173" w:lineRule="exact"/>
        <w:rPr>
          <w:sz w:val="20"/>
          <w:szCs w:val="20"/>
          <w:color w:val="auto"/>
        </w:rPr>
      </w:pPr>
    </w:p>
    <w:p>
      <w:pPr>
        <w:ind w:left="1500" w:right="40" w:firstLine="749"/>
        <w:spacing w:after="0" w:line="258" w:lineRule="auto"/>
        <w:rPr>
          <w:sz w:val="20"/>
          <w:szCs w:val="20"/>
          <w:color w:val="auto"/>
        </w:rPr>
      </w:pPr>
      <w:r>
        <w:rPr>
          <w:rFonts w:ascii="Times New Roman" w:cs="Times New Roman" w:eastAsia="Times New Roman" w:hAnsi="Times New Roman"/>
          <w:sz w:val="22"/>
          <w:szCs w:val="22"/>
          <w:color w:val="auto"/>
        </w:rPr>
        <w:t>(IV) the Issuer has full right to Grant a security interest in and assign and pledge such Collateral Obligation to the Collateral Trustee;</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5" w:lineRule="exact"/>
        <w:rPr>
          <w:sz w:val="20"/>
          <w:szCs w:val="20"/>
          <w:color w:val="auto"/>
        </w:rPr>
      </w:pPr>
    </w:p>
    <w:p>
      <w:pPr>
        <w:jc w:val="both"/>
        <w:ind w:left="1500" w:firstLine="754"/>
        <w:spacing w:after="0" w:line="244" w:lineRule="auto"/>
        <w:tabs>
          <w:tab w:leader="none" w:pos="268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based on the certificate of the Collateral Manager delivered pursuant to </w:t>
      </w:r>
      <w:r>
        <w:rPr>
          <w:rFonts w:ascii="Times New Roman" w:cs="Times New Roman" w:eastAsia="Times New Roman" w:hAnsi="Times New Roman"/>
          <w:sz w:val="22"/>
          <w:szCs w:val="22"/>
          <w:u w:val="single" w:color="auto"/>
          <w:color w:val="auto"/>
        </w:rPr>
        <w:t>Section 3.1(f)</w:t>
      </w:r>
      <w:r>
        <w:rPr>
          <w:rFonts w:ascii="Times New Roman" w:cs="Times New Roman" w:eastAsia="Times New Roman" w:hAnsi="Times New Roman"/>
          <w:sz w:val="22"/>
          <w:szCs w:val="22"/>
          <w:color w:val="auto"/>
        </w:rPr>
        <w:t>, the information set forth with respect to such Collateral Obligation in the Schedule of Collateral Obligations is true and correct;</w:t>
      </w:r>
    </w:p>
    <w:p>
      <w:pPr>
        <w:spacing w:after="0" w:line="173" w:lineRule="exact"/>
        <w:rPr>
          <w:sz w:val="20"/>
          <w:szCs w:val="20"/>
          <w:color w:val="auto"/>
        </w:rPr>
      </w:pPr>
    </w:p>
    <w:p>
      <w:pPr>
        <w:jc w:val="both"/>
        <w:ind w:left="1500" w:firstLine="749"/>
        <w:spacing w:after="0" w:line="244" w:lineRule="auto"/>
        <w:rPr>
          <w:sz w:val="20"/>
          <w:szCs w:val="20"/>
          <w:color w:val="auto"/>
        </w:rPr>
      </w:pPr>
      <w:r>
        <w:rPr>
          <w:rFonts w:ascii="Times New Roman" w:cs="Times New Roman" w:eastAsia="Times New Roman" w:hAnsi="Times New Roman"/>
          <w:sz w:val="22"/>
          <w:szCs w:val="22"/>
          <w:color w:val="auto"/>
        </w:rPr>
        <w:t xml:space="preserve">(VI) (i) based on the certificate of the Collateral Manager delivered pursuant to </w:t>
      </w:r>
      <w:r>
        <w:rPr>
          <w:rFonts w:ascii="Times New Roman" w:cs="Times New Roman" w:eastAsia="Times New Roman" w:hAnsi="Times New Roman"/>
          <w:sz w:val="22"/>
          <w:szCs w:val="22"/>
          <w:u w:val="single" w:color="auto"/>
          <w:color w:val="auto"/>
        </w:rPr>
        <w:t>Section 3.1(f)</w:t>
      </w:r>
      <w:r>
        <w:rPr>
          <w:rFonts w:ascii="Times New Roman" w:cs="Times New Roman" w:eastAsia="Times New Roman" w:hAnsi="Times New Roman"/>
          <w:sz w:val="22"/>
          <w:szCs w:val="22"/>
          <w:color w:val="auto"/>
        </w:rPr>
        <w:t xml:space="preserve">, each Collateral Obligation included in the Assets satisfies the requirements of the definition of "Collateral Obligation" and (ii) the requirements of </w:t>
      </w:r>
      <w:r>
        <w:rPr>
          <w:rFonts w:ascii="Times New Roman" w:cs="Times New Roman" w:eastAsia="Times New Roman" w:hAnsi="Times New Roman"/>
          <w:sz w:val="22"/>
          <w:szCs w:val="22"/>
          <w:u w:val="single" w:color="auto"/>
          <w:color w:val="auto"/>
        </w:rPr>
        <w:t>Section 3.1(g)</w:t>
      </w:r>
      <w:r>
        <w:rPr>
          <w:rFonts w:ascii="Times New Roman" w:cs="Times New Roman" w:eastAsia="Times New Roman" w:hAnsi="Times New Roman"/>
          <w:sz w:val="22"/>
          <w:szCs w:val="22"/>
          <w:color w:val="auto"/>
        </w:rPr>
        <w:t xml:space="preserve"> have been satisfied;</w:t>
      </w:r>
    </w:p>
    <w:p>
      <w:pPr>
        <w:spacing w:after="0" w:line="173" w:lineRule="exact"/>
        <w:rPr>
          <w:sz w:val="20"/>
          <w:szCs w:val="20"/>
          <w:color w:val="auto"/>
        </w:rPr>
      </w:pPr>
    </w:p>
    <w:p>
      <w:pPr>
        <w:ind w:left="1500" w:right="40" w:firstLine="749"/>
        <w:spacing w:after="0" w:line="258" w:lineRule="auto"/>
        <w:rPr>
          <w:sz w:val="20"/>
          <w:szCs w:val="20"/>
          <w:color w:val="auto"/>
        </w:rPr>
      </w:pPr>
      <w:r>
        <w:rPr>
          <w:rFonts w:ascii="Times New Roman" w:cs="Times New Roman" w:eastAsia="Times New Roman" w:hAnsi="Times New Roman"/>
          <w:sz w:val="22"/>
          <w:szCs w:val="22"/>
          <w:color w:val="auto"/>
        </w:rPr>
        <w:t>(VII) upon the Grant by the Issuer, the Collateral Trustee has a first priority perfected security interest in the Collateral Obligations and other Assets, except as permitted by this Indenture; and</w:t>
      </w:r>
    </w:p>
    <w:p>
      <w:pPr>
        <w:spacing w:after="0" w:line="158" w:lineRule="exact"/>
        <w:rPr>
          <w:sz w:val="20"/>
          <w:szCs w:val="20"/>
          <w:color w:val="auto"/>
        </w:rPr>
      </w:pPr>
    </w:p>
    <w:p>
      <w:pPr>
        <w:jc w:val="both"/>
        <w:ind w:left="760" w:firstLine="1015"/>
        <w:spacing w:after="0" w:line="239" w:lineRule="auto"/>
        <w:tabs>
          <w:tab w:leader="none" w:pos="221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based on the certificate of the Collateral Manager delivered pursuant to </w:t>
      </w:r>
      <w:r>
        <w:rPr>
          <w:rFonts w:ascii="Times New Roman" w:cs="Times New Roman" w:eastAsia="Times New Roman" w:hAnsi="Times New Roman"/>
          <w:sz w:val="22"/>
          <w:szCs w:val="22"/>
          <w:u w:val="single" w:color="auto"/>
          <w:color w:val="auto"/>
        </w:rPr>
        <w:t>Section 3.1(f)</w:t>
      </w:r>
      <w:r>
        <w:rPr>
          <w:rFonts w:ascii="Times New Roman" w:cs="Times New Roman" w:eastAsia="Times New Roman" w:hAnsi="Times New Roman"/>
          <w:sz w:val="22"/>
          <w:szCs w:val="22"/>
          <w:color w:val="auto"/>
        </w:rPr>
        <w:t>, the Aggregate Principal Balance of the Collateral Obligations which the Issuer has purchased, acquired in the Initial Sale and Contribution or entered into binding commitments to purchase or identified for expected purchase on or prior to the Closing Date is at least U.S.$417,000,000.</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Rating Letters</w:t>
      </w:r>
      <w:r>
        <w:rPr>
          <w:rFonts w:ascii="Times New Roman" w:cs="Times New Roman" w:eastAsia="Times New Roman" w:hAnsi="Times New Roman"/>
          <w:sz w:val="22"/>
          <w:szCs w:val="22"/>
          <w:color w:val="auto"/>
        </w:rPr>
        <w:t>. An Officer's certificate of the Issuer to the effect that it has received a letter signed by S&amp;P confirming that each Class of Secured Debt has been assigned the applicable Initial Rating and that such ratings are in effect on the Closing Date.</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Evidence of the establishment of each of the Accounts.</w:t>
      </w:r>
    </w:p>
    <w:p>
      <w:pPr>
        <w:spacing w:after="0" w:line="206" w:lineRule="exact"/>
        <w:rPr>
          <w:rFonts w:ascii="Times New Roman" w:cs="Times New Roman" w:eastAsia="Times New Roman" w:hAnsi="Times New Roman"/>
          <w:sz w:val="22"/>
          <w:szCs w:val="22"/>
          <w:color w:val="auto"/>
        </w:rPr>
      </w:pPr>
    </w:p>
    <w:p>
      <w:pPr>
        <w:jc w:val="both"/>
        <w:ind w:firstLine="1505"/>
        <w:spacing w:after="0" w:line="247" w:lineRule="exact"/>
        <w:tabs>
          <w:tab w:leader="none" w:pos="192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Issuer Order for Deposit of Funds into Accounts</w:t>
      </w:r>
      <w:r>
        <w:rPr>
          <w:rFonts w:ascii="Times New Roman" w:cs="Times New Roman" w:eastAsia="Times New Roman" w:hAnsi="Times New Roman"/>
          <w:sz w:val="22"/>
          <w:szCs w:val="22"/>
          <w:color w:val="auto"/>
        </w:rPr>
        <w:t>. (i) An Issuer Order signed in the name of the Issuer by a Responsible Officer of the Issuer, dated as of the Closing Date, authorizing the deposit of U.S.$50,912,131.06 from the proceeds of the issuance of the Notes and the incurrence of the Class A-1 Loans into the Ramp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Up Account for use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10.3(c)</w:t>
      </w:r>
      <w:r>
        <w:rPr>
          <w:rFonts w:ascii="Times New Roman" w:cs="Times New Roman" w:eastAsia="Times New Roman" w:hAnsi="Times New Roman"/>
          <w:sz w:val="22"/>
          <w:szCs w:val="22"/>
          <w:color w:val="auto"/>
        </w:rPr>
        <w:t xml:space="preserve">; (ii) an Issuer Order signed in the name of the Issuer by a Responsible Officer of the Issuer, dated as of the Closing Date, authorizing the deposit of U.S.$1,345,000 from the proceeds of the issuance of the Notes and the incurrence of the Class A-1 Loans into the Expense Reserve Account for use pursuant to </w:t>
      </w:r>
      <w:r>
        <w:rPr>
          <w:rFonts w:ascii="Times New Roman" w:cs="Times New Roman" w:eastAsia="Times New Roman" w:hAnsi="Times New Roman"/>
          <w:sz w:val="22"/>
          <w:szCs w:val="22"/>
          <w:u w:val="single" w:color="auto"/>
          <w:color w:val="auto"/>
        </w:rPr>
        <w:t>Section 10.3(d)</w:t>
      </w:r>
      <w:r>
        <w:rPr>
          <w:rFonts w:ascii="Times New Roman" w:cs="Times New Roman" w:eastAsia="Times New Roman" w:hAnsi="Times New Roman"/>
          <w:sz w:val="22"/>
          <w:szCs w:val="22"/>
          <w:color w:val="auto"/>
        </w:rPr>
        <w:t xml:space="preserve">; (iii) an Issuer Order signed in the name of the Issuer by a Responsible Officer of the Issuer, dated as of the Closing Date, authorizing the deposit of an amount equal to the Interest Reserve Amount from the proceeds of the issuance of the Notes and the incurrence of the Class A-1 Loans into the Interest Reserve Account for use pursuant to </w:t>
      </w:r>
      <w:r>
        <w:rPr>
          <w:rFonts w:ascii="Times New Roman" w:cs="Times New Roman" w:eastAsia="Times New Roman" w:hAnsi="Times New Roman"/>
          <w:sz w:val="22"/>
          <w:szCs w:val="22"/>
          <w:u w:val="single" w:color="auto"/>
          <w:color w:val="auto"/>
        </w:rPr>
        <w:t>Section 10.3(e)</w:t>
      </w:r>
      <w:r>
        <w:rPr>
          <w:rFonts w:ascii="Times New Roman" w:cs="Times New Roman" w:eastAsia="Times New Roman" w:hAnsi="Times New Roman"/>
          <w:sz w:val="22"/>
          <w:szCs w:val="22"/>
          <w:color w:val="auto"/>
        </w:rPr>
        <w:t xml:space="preserve">; and (iv) an Issuer Order signed in the name of the Issuer by a Responsible Officer of the Issuer, dated as of the Closing Date, authorizing the deposit of U.S.$0 from the proceeds of the issuance of the Notes and the incurrence of the Class A-1 Loans into the Revolver Funding Account for use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10.4</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4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An executed counterpart of the Collateral Management Agreement, the Credit Agreements, the Collateral Administration Agreement and the Securities Account Control Agreement and a copy of each purchaser representation letter for Certificated Notes issued on the Closing Date (if any).</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85" w:lineRule="exact"/>
        <w:rPr>
          <w:sz w:val="20"/>
          <w:szCs w:val="20"/>
          <w:color w:val="auto"/>
        </w:rPr>
      </w:pPr>
    </w:p>
    <w:p>
      <w:pPr>
        <w:ind w:firstLine="1505"/>
        <w:spacing w:after="0" w:line="258" w:lineRule="auto"/>
        <w:tabs>
          <w:tab w:leader="none" w:pos="192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Documents</w:t>
      </w:r>
      <w:r>
        <w:rPr>
          <w:rFonts w:ascii="Times New Roman" w:cs="Times New Roman" w:eastAsia="Times New Roman" w:hAnsi="Times New Roman"/>
          <w:sz w:val="22"/>
          <w:szCs w:val="22"/>
          <w:color w:val="auto"/>
        </w:rPr>
        <w:t xml:space="preserve">. Such other documents as the Collateral Trustee may reasonably require;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clause (l) shall imply or impose a duty on the part of the Collateral Trustee to require any other documents.</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3.2 Conditions to Additional Issuance</w:t>
      </w:r>
      <w:r>
        <w:rPr>
          <w:rFonts w:ascii="Times New Roman" w:cs="Times New Roman" w:eastAsia="Times New Roman" w:hAnsi="Times New Roman"/>
          <w:sz w:val="22"/>
          <w:szCs w:val="22"/>
          <w:color w:val="auto"/>
        </w:rPr>
        <w:t xml:space="preserve"> . Any additional securities to be issued in accordance with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may be executed by the Issuer and delivered to the Collateral Trustee for authentication and thereupon the same shall be authenticated by the Collateral Trustee or the Authenticating Agent and delivered by the Collateral Trustee upon Issuer Order and upon receipt by the Collateral Trustee and the Loan Agent of the following:</w:t>
      </w:r>
    </w:p>
    <w:p>
      <w:pPr>
        <w:spacing w:after="0" w:line="180" w:lineRule="exact"/>
        <w:rPr>
          <w:sz w:val="20"/>
          <w:szCs w:val="20"/>
          <w:color w:val="auto"/>
        </w:rPr>
      </w:pPr>
    </w:p>
    <w:p>
      <w:pPr>
        <w:jc w:val="both"/>
        <w:ind w:firstLine="1505"/>
        <w:spacing w:after="0" w:line="238" w:lineRule="auto"/>
        <w:tabs>
          <w:tab w:leader="none" w:pos="1943"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 of the Issuer Regarding Corporate Matters</w:t>
      </w:r>
      <w:r>
        <w:rPr>
          <w:rFonts w:ascii="Times New Roman" w:cs="Times New Roman" w:eastAsia="Times New Roman" w:hAnsi="Times New Roman"/>
          <w:sz w:val="22"/>
          <w:szCs w:val="22"/>
          <w:color w:val="auto"/>
        </w:rPr>
        <w:t>. An Officer's certificate of the Issuer (a) evidencing the authorization by Resolution of the execution, authentication and delivery of the Notes applied for by it, (b) specifying the Stated Maturity, principal amount and Interest Rate of each Class of Notes to be authenticated and delivered and</w:t>
      </w:r>
    </w:p>
    <w:p>
      <w:pPr>
        <w:jc w:val="both"/>
        <w:ind w:firstLine="8"/>
        <w:spacing w:after="0" w:line="235" w:lineRule="auto"/>
        <w:tabs>
          <w:tab w:leader="none" w:pos="30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certifying that (A) the attached copy of the Resolution is a true and complete copy thereof, (B) such Resolution has not been rescinded and is in full force and effect on and as of the date of issuance and (C) the Officers authorized to execute and deliver such documents hold the offices and have the signatures indicated thereon.</w:t>
      </w:r>
    </w:p>
    <w:p>
      <w:pPr>
        <w:spacing w:after="0" w:line="177"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43"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Either (a) a certificate of the Issuer or other official document evidencing the due authorization, approval or consent of any governmental body or bodies, at the time having jurisdiction in the premises, together with an Opinion of Counsel of the Issuer that no other authorization, approval or consent of any governmental body is required for the valid issuance of the additional Notes or (b) an Opinion of Counsel of the Issuer that no such authorization, approval or consent of any governmental body is required for the valid issuance of such additional Notes except as has been given.</w:t>
      </w:r>
    </w:p>
    <w:p>
      <w:pPr>
        <w:spacing w:after="0" w:line="181"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 of the Issuer Regarding Indenture</w:t>
      </w:r>
      <w:r>
        <w:rPr>
          <w:rFonts w:ascii="Times New Roman" w:cs="Times New Roman" w:eastAsia="Times New Roman" w:hAnsi="Times New Roman"/>
          <w:sz w:val="22"/>
          <w:szCs w:val="22"/>
          <w:color w:val="auto"/>
        </w:rPr>
        <w:t xml:space="preserve">. An Officer's certificate of the Issuer stating that, to the signing Officer's knowledge, (a) the Issuer is not in default under this Indenture; (b) the issuance of the additional Notes applied for by it will not result in a default or a breach of any of the terms, conditions or provisions of, or constitute a default under, its organizational documents, any indenture or other agreement or instrument to which it is a party or by which it is bound, or any order of any court or administrative agency entered in any Proceeding to which it is a party or by which it may be bound or to which it may be subject; (c) the provisions of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and all conditions precedent provided in this Indenture relating to the authentication and delivery of the additional Notes applied for by it have been complied with; (d) all expenses due or accrued with respect to the Offering of such Notes or relating to actions taken on or in connection with the additional issuance have been paid or reserves therefor have been made; and (e) all of the Issuer's representations and warranties contained herein are true and correct as of the date of additional issuance.</w:t>
      </w:r>
    </w:p>
    <w:p>
      <w:pPr>
        <w:spacing w:after="0" w:line="179"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A fully executed counterpart of the supplemental indenture making such changes to this Indenture as shall be necessary to permit such additional issuance.</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Rating Agency Notice</w:t>
      </w:r>
      <w:r>
        <w:rPr>
          <w:rFonts w:ascii="Times New Roman" w:cs="Times New Roman" w:eastAsia="Times New Roman" w:hAnsi="Times New Roman"/>
          <w:sz w:val="22"/>
          <w:szCs w:val="22"/>
          <w:color w:val="auto"/>
        </w:rPr>
        <w:t>. Notice shall have been provided by the Issuer to the Rating Agencies.</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85" w:lineRule="exact"/>
        <w:rPr>
          <w:sz w:val="20"/>
          <w:szCs w:val="20"/>
          <w:color w:val="auto"/>
        </w:rPr>
      </w:pPr>
    </w:p>
    <w:p>
      <w:pPr>
        <w:jc w:val="both"/>
        <w:ind w:firstLine="1505"/>
        <w:spacing w:after="0" w:line="244" w:lineRule="auto"/>
        <w:tabs>
          <w:tab w:leader="none" w:pos="192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Issuer Order for Deposit of Funds into Accounts</w:t>
      </w:r>
      <w:r>
        <w:rPr>
          <w:rFonts w:ascii="Times New Roman" w:cs="Times New Roman" w:eastAsia="Times New Roman" w:hAnsi="Times New Roman"/>
          <w:sz w:val="22"/>
          <w:szCs w:val="22"/>
          <w:color w:val="auto"/>
        </w:rPr>
        <w:t xml:space="preserve">. An Issuer Order signed in the name of the Issuer by an Officer of the Issuer, dated as of the date of the additional issuance, authorizing the deposit of the net proceeds of the issuance into the Principal Collection Subaccount for use pursuant to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197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Required Consents</w:t>
      </w:r>
      <w:r>
        <w:rPr>
          <w:rFonts w:ascii="Times New Roman" w:cs="Times New Roman" w:eastAsia="Times New Roman" w:hAnsi="Times New Roman"/>
          <w:sz w:val="22"/>
          <w:szCs w:val="22"/>
          <w:color w:val="auto"/>
        </w:rPr>
        <w:t>. Satisfactory evidence of the consent of the Collateral Manager, the Transferor and a Majority of the Subordinated Notes to such issuance.</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Documents</w:t>
      </w:r>
      <w:r>
        <w:rPr>
          <w:rFonts w:ascii="Times New Roman" w:cs="Times New Roman" w:eastAsia="Times New Roman" w:hAnsi="Times New Roman"/>
          <w:sz w:val="22"/>
          <w:szCs w:val="22"/>
          <w:color w:val="auto"/>
        </w:rPr>
        <w:t xml:space="preserve">. Such other documents as the Collateral Trustee may reasonably require;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clause (h) shall imply or impose a duty on the part of the Collateral Trustee to require any other documents.</w:t>
      </w:r>
    </w:p>
    <w:p>
      <w:pPr>
        <w:spacing w:after="0" w:line="158" w:lineRule="exact"/>
        <w:rPr>
          <w:sz w:val="20"/>
          <w:szCs w:val="20"/>
          <w:color w:val="auto"/>
        </w:rPr>
      </w:pPr>
    </w:p>
    <w:p>
      <w:pPr>
        <w:jc w:val="both"/>
        <w:ind w:firstLine="1497"/>
        <w:spacing w:after="0" w:line="246" w:lineRule="exact"/>
        <w:rPr>
          <w:sz w:val="20"/>
          <w:szCs w:val="20"/>
          <w:color w:val="auto"/>
        </w:rPr>
      </w:pPr>
      <w:r>
        <w:rPr>
          <w:rFonts w:ascii="Times New Roman" w:cs="Times New Roman" w:eastAsia="Times New Roman" w:hAnsi="Times New Roman"/>
          <w:sz w:val="22"/>
          <w:szCs w:val="22"/>
          <w:u w:val="single" w:color="auto"/>
          <w:color w:val="auto"/>
        </w:rPr>
        <w:t>Section 3.3 Custodianship; Delivery of Collateral Obligations and Eligible Investments</w:t>
      </w:r>
      <w:r>
        <w:rPr>
          <w:rFonts w:ascii="Times New Roman" w:cs="Times New Roman" w:eastAsia="Times New Roman" w:hAnsi="Times New Roman"/>
          <w:sz w:val="22"/>
          <w:szCs w:val="22"/>
          <w:color w:val="auto"/>
        </w:rPr>
        <w:t xml:space="preserve"> . (a) The Collateral Manager, on behalf of the Issuer, shall deliver or cause to be delivered, on or prior to the Closing Date (with respect to the Initial Collateral Obligations) and within five (5) Business Days after the related Cut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Off Date (with respect to any additional Collateral Obligations) to the Custodian or the Collateral Trustee, as applicable, all Assets in accordance with the definition of "Deliver." The Custodian appointed hereby shall act as custodian for the Issuer and as custodian and agent for the Collateral Trustee on behalf of the Secured Parties for purposes of perfecting the Collateral Trustee's security interest in those Assets in which a security interest is perfected by Delivery of the related Assets to the Custodian. Initially, the Custodian shall be the Bank. Any successor custodian shall be a state or national bank or trust company that (i) has (A) capital and surplus of at least U.S.$200,000,000 and (B) a rating of at least "BBB+" by S&amp;P and (ii) is a Securities Intermediary. Subject to the limited right to relocate Assets as provided in </w:t>
      </w:r>
      <w:r>
        <w:rPr>
          <w:rFonts w:ascii="Times New Roman" w:cs="Times New Roman" w:eastAsia="Times New Roman" w:hAnsi="Times New Roman"/>
          <w:sz w:val="22"/>
          <w:szCs w:val="22"/>
          <w:u w:val="single" w:color="auto"/>
          <w:color w:val="auto"/>
        </w:rPr>
        <w:t>Section 7.5(b)</w:t>
      </w:r>
      <w:r>
        <w:rPr>
          <w:rFonts w:ascii="Times New Roman" w:cs="Times New Roman" w:eastAsia="Times New Roman" w:hAnsi="Times New Roman"/>
          <w:sz w:val="22"/>
          <w:szCs w:val="22"/>
          <w:color w:val="auto"/>
        </w:rPr>
        <w:t xml:space="preserve">, the Custodian shall hold (i) all Collateral Obligations, Eligible Investments, Cash and other investments purchased in accordance with this Indenture and (ii) any other property of the Issuer otherwise Delivered to the Collateral Trustee or the Custodian, as applicable, by or on behalf of the Issuer, and subject to the Securities Account Control Agreement, in the relevant Account established and maintained pursuant to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as to which in each case the Collateral Trustee shall have entered into the Securities Account Control Agreement with the Custodian providing, inter alia, that the establishment and maintenance of such Account will be governed by a law of a jurisdiction satisfactory to the Issuer and the Collateral Trustee.</w:t>
      </w:r>
    </w:p>
    <w:p>
      <w:pPr>
        <w:spacing w:after="0" w:line="188" w:lineRule="exact"/>
        <w:rPr>
          <w:sz w:val="20"/>
          <w:szCs w:val="20"/>
          <w:color w:val="auto"/>
        </w:rPr>
      </w:pPr>
    </w:p>
    <w:p>
      <w:pPr>
        <w:jc w:val="both"/>
        <w:ind w:firstLine="1505"/>
        <w:spacing w:after="0" w:line="233" w:lineRule="auto"/>
        <w:tabs>
          <w:tab w:leader="none" w:pos="192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time that the Collateral Manager on behalf of the Issuer directs or causes the acquisition of any Collateral Obligation, Eligible Investment or other investment, the Collateral Manager (on behalf of the Issuer) shall, if the Collateral Obligation, Eligible Investment or other investment is required to be, but has not already been, transferred to the relevant Account, cause the Collateral Obligation, Eligible Investment or other investment to be Delivered to the Custodian to be held in the Custodial Account (or in the case of any such investment that is not a Collateral Obligation, in the Account in which the funds used to purchase the investment are held in accordance with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for the benefit of the Collateral Trustee in accordance with this Indenture. The security interest of the Collateral Trustee in the funds or other property used in connection with the acquisition shall, immediately and without further action on the part of the Collateral Trustee, be released. The security interest of the Collateral Trustee shall nevertheless come into existence and continue in the Collateral Obligation, Eligible Investment or other investment so acquired, including all interests of the Issuer in to any contracts related to and proceeds of such Collateral Obligation, Eligible Investment or other investment.</w:t>
      </w:r>
    </w:p>
    <w:p>
      <w:pPr>
        <w:spacing w:after="0" w:line="16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SATISFACTION AND DISCHARGE</w:t>
      </w:r>
    </w:p>
    <w:p>
      <w:pPr>
        <w:spacing w:after="0" w:line="21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4.1 Satisfaction and Discharge of Indenture</w:t>
      </w:r>
      <w:r>
        <w:rPr>
          <w:rFonts w:ascii="Times New Roman" w:cs="Times New Roman" w:eastAsia="Times New Roman" w:hAnsi="Times New Roman"/>
          <w:sz w:val="22"/>
          <w:szCs w:val="22"/>
          <w:color w:val="auto"/>
        </w:rPr>
        <w:t>. This Indenture shall be discharged and shall cease to be of further effect except as to (i) rights of registration of transfer and exchange, (ii) substitution of mutilated, defaced, destroyed, lost or stolen Notes, (iii) rights of Holders to receive payments of principal thereof and interest thereon, (iv) the rights, obligations, protections, indemnities and immunities of the Collateral Trustee, (v) the rights, obligations and immunities of the Collateral Manager hereunder and under the Collateral Management Agreement, (vi) the rights, obligations, protections, indemnities and immunities of the Collateral Administrator hereunder and under the Collateral Administration Agreement, of the Loan Agent hereunder and under the Credit Agreements, and of the Bank in each other capacity under the Transaction Documents and (vii) the rights of Holders as beneficiaries hereof with respect to the property deposited with the Collateral Trustee and payable to all or any of them (and the Collateral Trustee, on demand of and at the expense of the Issuer, shall execute proper instruments acknowledging satisfaction and discharge of this Indenture) when either:</w:t>
      </w:r>
    </w:p>
    <w:p>
      <w:pPr>
        <w:spacing w:after="0" w:line="179" w:lineRule="exact"/>
        <w:rPr>
          <w:sz w:val="20"/>
          <w:szCs w:val="20"/>
          <w:color w:val="auto"/>
        </w:rPr>
      </w:pPr>
    </w:p>
    <w:p>
      <w:pPr>
        <w:ind w:left="1940" w:hanging="435"/>
        <w:spacing w:after="0"/>
        <w:tabs>
          <w:tab w:leader="none" w:pos="1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either:</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35" w:lineRule="auto"/>
        <w:tabs>
          <w:tab w:leader="none" w:pos="2681"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(x) all Notes theretofore authenticated and delivered to Holders other than (1) Notes which have been mutilated, defaced, destroyed, lost or stolen and which have been replaced or paid as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color w:val="auto"/>
        </w:rPr>
        <w:t xml:space="preserve"> and (2) Notes for whose payment Money has theretofore irrevocably been deposited in trust and thereafter repaid to the Issuer or discharged from such trust, as provided in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have been delivered to the Collateral Trustee for cancellation and (y) the Class A-1 Loans have been repaid in full in accordance with the terms of the Credit Agreements (other than the Class A-1 Loans for whose payment Money has theretofore irrevocably been deposited in trust and thereafter repaid to the Issuer or discharged from such trust, as provided in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or</w:t>
      </w:r>
    </w:p>
    <w:p>
      <w:pPr>
        <w:spacing w:after="0" w:line="178" w:lineRule="exact"/>
        <w:rPr>
          <w:rFonts w:ascii="Times New Roman" w:cs="Times New Roman" w:eastAsia="Times New Roman" w:hAnsi="Times New Roman"/>
          <w:sz w:val="22"/>
          <w:szCs w:val="22"/>
          <w:color w:val="auto"/>
        </w:rPr>
      </w:pPr>
    </w:p>
    <w:p>
      <w:pPr>
        <w:jc w:val="both"/>
        <w:ind w:left="1500" w:firstLine="754"/>
        <w:spacing w:after="0" w:line="247" w:lineRule="exact"/>
        <w:tabs>
          <w:tab w:leader="none" w:pos="2681"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Notes not theretofore delivered to the Collateral Trustee for cancellation and all Class A-1 Loans not prepaid in full in accordance with the Credit Agreements (1) have become due and payable, or (2) will become due and payable at their Stated Maturity within one year, or (3) are to be called for redemption pursuant to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in the case of the Class A-1 Loans, prepaid in accordance with the Credit Agreements) under an arrangement satisfactory to the Collateral Trustee for the giving of notice of redemption by the Issuer pursuant to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and either (x) the Issuer has irrevocably deposited or caused to be deposited with the Collateral Trustee, in trust for such purpose, Cash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callable direct obligations of the United States of America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obligations are entitled to the full faith and credit of the United States of America or are debt obligations that are rated "AAA" by S&amp;P) in an amount sufficient, as recalculated by a firm of Independent certified public accountants that are nationally recognized, to pay and discharge the entire indebtedness on any unpaid Class A-1 Loans and on any Notes not theretofore delivered to the Collateral Trustee for cancellation, for principal and interest to the date of such deposit (in the</w:t>
      </w:r>
    </w:p>
    <w:p>
      <w:pPr>
        <w:spacing w:after="0" w:line="16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85" w:lineRule="exact"/>
        <w:rPr>
          <w:sz w:val="20"/>
          <w:szCs w:val="20"/>
          <w:color w:val="auto"/>
        </w:rPr>
      </w:pPr>
    </w:p>
    <w:p>
      <w:pPr>
        <w:jc w:val="both"/>
        <w:ind w:left="1500"/>
        <w:spacing w:after="0" w:line="235" w:lineRule="auto"/>
        <w:rPr>
          <w:sz w:val="20"/>
          <w:szCs w:val="20"/>
          <w:color w:val="auto"/>
        </w:rPr>
      </w:pPr>
      <w:r>
        <w:rPr>
          <w:rFonts w:ascii="Times New Roman" w:cs="Times New Roman" w:eastAsia="Times New Roman" w:hAnsi="Times New Roman"/>
          <w:sz w:val="22"/>
          <w:szCs w:val="22"/>
          <w:color w:val="auto"/>
        </w:rPr>
        <w:t xml:space="preserve">case of Debt that has become due and payable), or to the respective Stated Maturity or the respective Redemption Date, as the case may be, and shall have Granted to the Collateral Trustee a valid perfected security interest in such Eligible Investment that is of first priority or free of any adverse claim, as applicable, and shall have furnished to the Collateral Trustee an Opinion of Counsel with respect thereto or (y) in the event all of the Assets are liquidated following the satisfaction of the conditions specified in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 the Issuer shall have paid or caused to be paid all proceeds of such liquidation of the Assets in accordance with the Priority of Payments; and</w:t>
      </w:r>
    </w:p>
    <w:p>
      <w:pPr>
        <w:spacing w:after="0" w:line="183" w:lineRule="exact"/>
        <w:rPr>
          <w:sz w:val="20"/>
          <w:szCs w:val="20"/>
          <w:color w:val="auto"/>
        </w:rPr>
      </w:pPr>
    </w:p>
    <w:p>
      <w:pPr>
        <w:jc w:val="both"/>
        <w:ind w:left="760" w:firstLine="1015"/>
        <w:spacing w:after="0" w:line="238" w:lineRule="auto"/>
        <w:tabs>
          <w:tab w:leader="none" w:pos="221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has paid or caused to be paid all other sums then due and payable hereunder and under the Credit Agreements (including, without limitation, any amounts then due and payable pursuant to the Collateral Administration Agreement and the Collateral Management Agreement, in each case, without regard to the Administrative Expense Cap) by the Issuer and no other amounts are scheduled to be due and payable by the Issuer (it being understood that the requirements of this clause (a)(ii) may be satisfied as set forth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and</w:t>
      </w:r>
    </w:p>
    <w:p>
      <w:pPr>
        <w:spacing w:after="0" w:line="176"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delivered to the Collateral Trustee an Officer's certificate and an Opinion of Counsel, each stating that all conditions precedent herein provided for relating to the satisfaction and discharge of this Indenture have been complied with; or</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Collateral Trustee confirms to the Issuer that:</w:t>
      </w:r>
    </w:p>
    <w:p>
      <w:pPr>
        <w:spacing w:after="0" w:line="206" w:lineRule="exact"/>
        <w:rPr>
          <w:rFonts w:ascii="Times New Roman" w:cs="Times New Roman" w:eastAsia="Times New Roman" w:hAnsi="Times New Roman"/>
          <w:sz w:val="22"/>
          <w:szCs w:val="22"/>
          <w:color w:val="auto"/>
        </w:rPr>
      </w:pPr>
    </w:p>
    <w:p>
      <w:pPr>
        <w:ind w:left="1500" w:right="60" w:firstLine="754"/>
        <w:spacing w:after="0" w:line="258" w:lineRule="auto"/>
        <w:tabs>
          <w:tab w:leader="none" w:pos="2681" w:val="left"/>
        </w:tabs>
        <w:numPr>
          <w:ilvl w:val="2"/>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is not holding any Collateral Obligations, Eligible Investments, Equity Securities or Cash in any Account other than Cash in an amount not greater than the Dissolution Expenses;</w:t>
      </w:r>
    </w:p>
    <w:p>
      <w:pPr>
        <w:spacing w:after="0" w:line="158" w:lineRule="exact"/>
        <w:rPr>
          <w:rFonts w:ascii="Times New Roman" w:cs="Times New Roman" w:eastAsia="Times New Roman" w:hAnsi="Times New Roman"/>
          <w:sz w:val="22"/>
          <w:szCs w:val="22"/>
          <w:color w:val="auto"/>
        </w:rPr>
      </w:pPr>
    </w:p>
    <w:p>
      <w:pPr>
        <w:jc w:val="both"/>
        <w:ind w:left="760" w:firstLine="1015"/>
        <w:spacing w:after="0" w:line="236" w:lineRule="auto"/>
        <w:tabs>
          <w:tab w:leader="none" w:pos="221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delivered to the Collateral Trustee a certificate stating that (1) there are no Assets (other than (x) the Collateral Management Agreement, the Collateral Administration Agreement and the Securities Account Control Agreement and (y) Cash in an amount not greater than the Dissolution Expenses) that remain subject to the lien of the Collateral Trustee, and (2) all funds (other than Cash in an amount not greater than the Dissolution Expenses) on deposit in or to the credit of the Accounts have been distributed in accordance with the terms of this Indenture or have otherwise been irrevocably deposited with the Collateral Trustee for such purpose; and</w:t>
      </w:r>
    </w:p>
    <w:p>
      <w:pPr>
        <w:spacing w:after="0" w:line="181"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delivered to the Collateral Trustee an Officer's certificate and an Opinion of Counsel, each stating that all conditions precedent herein provided for relating to the satisfaction and discharge of this Indenture have been complied with.</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Notwithstanding the satisfaction and discharge of this Indenture, the rights and obligations of the Issuer, the Collateral Trustee, the Loan Agent, the Collateral Manager and, if applicable, the Holders, as the case may be, under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5.4(d)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14.12</w:t>
      </w:r>
      <w:r>
        <w:rPr>
          <w:rFonts w:ascii="Times New Roman" w:cs="Times New Roman" w:eastAsia="Times New Roman" w:hAnsi="Times New Roman"/>
          <w:sz w:val="22"/>
          <w:szCs w:val="22"/>
          <w:color w:val="auto"/>
        </w:rPr>
        <w:t xml:space="preserve"> shall survive.</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4.2 Application of Trust Money</w:t>
      </w:r>
      <w:r>
        <w:rPr>
          <w:rFonts w:ascii="Times New Roman" w:cs="Times New Roman" w:eastAsia="Times New Roman" w:hAnsi="Times New Roman"/>
          <w:sz w:val="22"/>
          <w:szCs w:val="22"/>
          <w:color w:val="auto"/>
        </w:rPr>
        <w:t xml:space="preserve"> . All Cash and obligations deposited with the Collateral Trustee pursuant to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shall be held in trust and applied by it in</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accordance with the provisions of the Debt and this Indenture, including, without limitation, the Priority of Payments, to the payment of principal and interest (or other amounts with respect to the Subordinated Notes), either directly or through any Paying Agent, as the Collateral Trustee may determine; and such Cash and obligations shall be held in a segregated account identified as being held in trust for the benefit of the Secured Parties.</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4.3 Repayment of Monies Held by Paying Agent</w:t>
      </w:r>
      <w:r>
        <w:rPr>
          <w:rFonts w:ascii="Times New Roman" w:cs="Times New Roman" w:eastAsia="Times New Roman" w:hAnsi="Times New Roman"/>
          <w:sz w:val="22"/>
          <w:szCs w:val="22"/>
          <w:color w:val="auto"/>
        </w:rPr>
        <w:t xml:space="preserve">. In connection with the satisfaction and discharge of this Indenture with respect to the Debt, all Monies then held by any Paying Agent other than the Collateral Trustee under the provisions of this Indenture shall, upon demand of the Issuer, be paid to the Collateral Trustee to be held and applied pursuant to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hereof and in accordance with the Priority of Payments and thereupon such Paying Agent shall be released from all further liability with respect to such Monies.</w:t>
      </w:r>
    </w:p>
    <w:p>
      <w:pPr>
        <w:spacing w:after="0" w:line="17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4.4 Limitation on Obligation to Incur Administrative Expenses</w:t>
      </w:r>
      <w:r>
        <w:rPr>
          <w:rFonts w:ascii="Times New Roman" w:cs="Times New Roman" w:eastAsia="Times New Roman" w:hAnsi="Times New Roman"/>
          <w:sz w:val="22"/>
          <w:szCs w:val="22"/>
          <w:color w:val="auto"/>
        </w:rPr>
        <w:t xml:space="preserve">. If at any time when this Indenture is eligible to be discharged pursuant to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the sum of (i) Eligible Investments, (ii) Cash and (iii) amounts reasonably expected to be received by the Issuer in Cash during the current Collection Period (as certified by the Collateral Manager in its reasonable judgment) is less than the sum of Dissolution Expenses and any accrued and unpaid Administrative Expenses, then notwithstanding any other provision of this Indenture, the Issuer shall no longer be required to incur Administrative Expenses as otherwise required by this Indenture to any Person other than the Collateral Trustee, the Collateral Administrator, the Loan Agent (or the Bank in any other capacity pursuant to the Transaction Documents), the Collateral Manager and their respective Affiliates, including for opinions of counsel in connection with supplemental indentures pursuant to Article VIII, any annual opinions required hereunder, services of accountants and fees of Rating Agencies, and failure to pay such amounts or provide or obtain such opinions, reports or services shall not constitute a Default hereunder, and the Collateral Trustee shall have no liability for any failure to obtain or receive any of the foregoing opinions, reports or services. The foregoing shall not, however, limit, supersede or alter any right afforded to the Collateral Trustee, Loan Agent or Collateral Administrator under this Indenture or other Transaction Document to refrain from taking action in the absence of its receipt of any such opinion, report or service which it reasonably determines is necessary for its own protection.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EVENTS OF DEFAULT; REMEDIES</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5.1 Events of Default</w:t>
      </w:r>
      <w:r>
        <w:rPr>
          <w:rFonts w:ascii="Times New Roman" w:cs="Times New Roman" w:eastAsia="Times New Roman" w:hAnsi="Times New Roman"/>
          <w:sz w:val="22"/>
          <w:szCs w:val="22"/>
          <w:color w:val="auto"/>
        </w:rPr>
        <w:t xml:space="preserve"> . "Event of Default,"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0" w:lineRule="exact"/>
        <w:rPr>
          <w:sz w:val="20"/>
          <w:szCs w:val="20"/>
          <w:color w:val="auto"/>
        </w:rPr>
      </w:pPr>
    </w:p>
    <w:p>
      <w:pPr>
        <w:jc w:val="both"/>
        <w:ind w:firstLine="1505"/>
        <w:spacing w:after="0" w:line="238" w:lineRule="auto"/>
        <w:tabs>
          <w:tab w:leader="none" w:pos="192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in the payment, when due and payable, of (i) any interest on any Class A-1L-A Loan, any Class A-1L-B Loan, any Class A-1 Note, any Class A-2 Note, any Class B Note or, if there are no Class A-1L-A Loans Outstanding, Class A-1L-B Loans Outstanding, Class A-1 Notes Outstanding, Class A-2 Notes Outstanding or Class B Notes Outstanding, any Note or Notes of the Class that is the Controlling Class at such time and, in each case, the continuation of any such default for three Business Days after a Trust Officer of the Collateral</w:t>
      </w:r>
    </w:p>
    <w:p>
      <w:pPr>
        <w:spacing w:after="0" w:line="15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Trustee has actual knowledge or receives written notice from any holder of Secured Debt of such payment default, or (ii) any principal of, or interest or Deferred Interest on, or any Redemption Price in respect of, any Class of Secured Debt at its Stated Maturity or any Redemption Date with respect to such Secured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effect any Optional Redemption which is withdrawn by the Issuer in accordance with this Indenture or with respect to which any Refinancing fails to occur shall not constitute an Event of Default or a Failed Optional Redemption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solely with respect to clause (i) above, in the case of a failure to disburse funds due to an administrative error or omission by the Collateral Manager, the Administrative Service Provider, the Collateral Trustee, the Loan Agent, the Collateral Administrator or any Paying Agent, such failure continues for five Business Days after a Trust Officer of the Collateral Trustee receives written notice or has actual knowledge of such administrative error or omission;</w:t>
      </w:r>
    </w:p>
    <w:p>
      <w:pPr>
        <w:spacing w:after="0" w:line="183" w:lineRule="exact"/>
        <w:rPr>
          <w:sz w:val="20"/>
          <w:szCs w:val="20"/>
          <w:color w:val="auto"/>
        </w:rPr>
      </w:pPr>
    </w:p>
    <w:p>
      <w:pPr>
        <w:jc w:val="both"/>
        <w:ind w:firstLine="1505"/>
        <w:spacing w:after="0" w:line="238" w:lineRule="auto"/>
        <w:tabs>
          <w:tab w:leader="none" w:pos="192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on any Payment Date to disburse amounts available in the Payment Account in excess of U.S.$1,000 in accordance with the Priority of Payments and continuation of such failure for a period of three Business Days or, in the case of a failure to disburse due to an administrative error or omission by the Collateral Trustee, the Collateral Administrator or any Paying Agent, such failure continues for five Business Days after a Trust Officer of the Collateral Trustee receives written notice or has actual knowledge of such administrative error or omission;</w:t>
      </w:r>
    </w:p>
    <w:p>
      <w:pPr>
        <w:spacing w:after="0" w:line="176"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of the Issuer or the Assets becomes an investment company required to be registered under the 1940 Act (and such requirement has not been eliminated after a period of 45 days);</w:t>
      </w:r>
    </w:p>
    <w:p>
      <w:pPr>
        <w:spacing w:after="0" w:line="158"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a default in a material respect in the performance, or breach in a material respect, of any other covenant of the Issuer herein or in the Credit Agreements (it being understood, without limiting the generality of the foregoing, that (i) any failure to meet any Concentration Limitation, Collateral Quality Test or Coverage Test is not an Event of Default, except to the extent provided in clause (e) below, and (ii) the failure of the Issuer to satisfy the requirements of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will not constitute an Event of Default unless such failure constitutes an Event of Default under this clause (d) and the Issuer, or the Collateral Manager acting on behalf of the Issuer, has acted in bad faith), or the failure of any material representation or warranty of the Issuer made herein or in the Credit Agreements or in any certificate or other writing delivered pursuant hereto or in connection herewith to be correct in each case in all material respects when the same shall have been made and such default, breach or failure has a material adverse effect on the Holders, and the continuation of such default, breach or failure for a period of 45 days after notice to the Issuer and the Collateral Manager by registered or certified mail or overnight delivery service, by the Collateral Trustee or the Loan Agent at the direction of the Holders of at least a Majority of the Controlling Class, specifying such default, breach or failure and requiring it to be remedied and stating that such notice is a "Notice of Default" hereunder;</w:t>
      </w:r>
    </w:p>
    <w:p>
      <w:pPr>
        <w:spacing w:after="0" w:line="182"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any Measurement Date as of which any Class A-1 Debt is Outstanding, failure of the percentage equivalent of a fraction, (i) the numerator of which is equal to (1) the Collateral Principal Amount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(2) the aggregate Market Value of all Defaulted Obligations on such date and (ii) the denominator of which is equal to the Aggregate Outstanding Amount of the Class A-1 Debt, to equal or exceed 102.5%;</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85" w:lineRule="exact"/>
        <w:rPr>
          <w:sz w:val="20"/>
          <w:szCs w:val="20"/>
          <w:color w:val="auto"/>
        </w:rPr>
      </w:pPr>
    </w:p>
    <w:p>
      <w:pPr>
        <w:jc w:val="both"/>
        <w:ind w:firstLine="1505"/>
        <w:spacing w:after="0" w:line="251" w:lineRule="auto"/>
        <w:tabs>
          <w:tab w:leader="none" w:pos="1929"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entry of a decree or order by a court having competent jurisdiction adjudging the Issuer as bankrupt or insolvent, or approving as properly filed a petition seeking reorganization, arrangement, adjustment or composition of the Issuer under the Bankruptcy Code or any other applicable law, or appointing a receiver, liquidator, assignee, or sequestrator (or other similar official) of the Issuer or of any substantial part of its property, or ordering the winding up or liquidation of its affairs, respectively, and the continuance of any such decree or order unstayed and in effect for a period of 60 consecutive days; or</w:t>
      </w:r>
    </w:p>
    <w:p>
      <w:pPr>
        <w:spacing w:after="0" w:line="168" w:lineRule="exact"/>
        <w:rPr>
          <w:rFonts w:ascii="Times New Roman" w:cs="Times New Roman" w:eastAsia="Times New Roman" w:hAnsi="Times New Roman"/>
          <w:sz w:val="21"/>
          <w:szCs w:val="21"/>
          <w:color w:val="auto"/>
        </w:rPr>
      </w:pPr>
    </w:p>
    <w:p>
      <w:pPr>
        <w:jc w:val="both"/>
        <w:ind w:firstLine="1505"/>
        <w:spacing w:after="0" w:line="235" w:lineRule="auto"/>
        <w:tabs>
          <w:tab w:leader="none" w:pos="192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institution by the Issuer of Proceedings to have the Issuer adjudicated as bankrupt or insolvent, or the consent of the Issuer to the institution of bankruptcy or insolvency Proceedings against the Issuer, or the filing by the Issuer of a petition or answer or consent seeking reorganization or relief under the Bankruptcy Code or any other similar applicable law, or the consent by the Issuer to the filing of any such petition or to the appointment in a Proceeding of a receiver, liquidator, assignee, trustee or sequestrator (or other similar official) of the Issuer or of any substantial part of its property, respectively, or the making by the Issuer of an assignment for the benefit of creditors, or the admission by the Issuer in writing of its inability to pay its debts generally as they become due, or the taking of any action by the Issuer in furtherance of any such action.</w:t>
      </w:r>
    </w:p>
    <w:p>
      <w:pPr>
        <w:spacing w:after="0" w:line="18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Upon a Responsible Officer's obtaining knowledge of the occurrence of an Event of Default, each of (i) the Issuer, (ii) the Collateral Trustee and (iii) the Collateral Manager shall notify each other. Upon the occurrence of an Event of Default known to a Trust Officer of the Collateral Trustee, the Collateral Trustee shall promptly (and in no event later than three Business Days thereafter) notify the Holders (as their names appear on the Note Register or the Loan Register, as applicable), each Paying Agent and each of the Rating Agencies of such Event of Default in writing (unless such Event of Default has been waived as provided in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5.2 Acceleration of Maturity; Rescission and Annulment</w:t>
      </w:r>
      <w:r>
        <w:rPr>
          <w:rFonts w:ascii="Times New Roman" w:cs="Times New Roman" w:eastAsia="Times New Roman" w:hAnsi="Times New Roman"/>
          <w:sz w:val="22"/>
          <w:szCs w:val="22"/>
          <w:color w:val="auto"/>
        </w:rPr>
        <w:t xml:space="preserve"> . (a) If an Event of Default occurs and is continuing (other than an Event of Default specified in </w:t>
      </w:r>
      <w:r>
        <w:rPr>
          <w:rFonts w:ascii="Times New Roman" w:cs="Times New Roman" w:eastAsia="Times New Roman" w:hAnsi="Times New Roman"/>
          <w:sz w:val="22"/>
          <w:szCs w:val="22"/>
          <w:u w:val="single" w:color="auto"/>
          <w:color w:val="auto"/>
        </w:rPr>
        <w:t>Section 5.1(f)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the Collateral Trustee may, and shall, upon the written direction of a Supermajority of the Controlling Class, by notice to the Issuer and each Rating Agency, declare the principal of and accrued and unpaid interest on all the Secured Debt to be immediately due and payable, and upon any such declaration such principal, together with all accrued and unpaid interest thereon, and other amounts payable hereunder, shall become immediately due and payable. If an Event of Default specified in </w:t>
      </w:r>
      <w:r>
        <w:rPr>
          <w:rFonts w:ascii="Times New Roman" w:cs="Times New Roman" w:eastAsia="Times New Roman" w:hAnsi="Times New Roman"/>
          <w:sz w:val="22"/>
          <w:szCs w:val="22"/>
          <w:u w:val="single" w:color="auto"/>
          <w:color w:val="auto"/>
        </w:rPr>
        <w:t>Section 5.1(f)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occurs, all unpaid principal, together with all accrued and unpaid interest thereon, of all the Secured Debt, and other amounts payable thereunder and hereunder, shall automatically become due and payable without any declaration or other act on the part of the Collateral Trustee or any Holder.</w:t>
      </w:r>
    </w:p>
    <w:p>
      <w:pPr>
        <w:spacing w:after="0" w:line="183" w:lineRule="exact"/>
        <w:rPr>
          <w:sz w:val="20"/>
          <w:szCs w:val="20"/>
          <w:color w:val="auto"/>
        </w:rPr>
      </w:pPr>
    </w:p>
    <w:p>
      <w:pPr>
        <w:jc w:val="both"/>
        <w:ind w:right="20" w:firstLine="1505"/>
        <w:spacing w:after="0" w:line="239" w:lineRule="auto"/>
        <w:tabs>
          <w:tab w:leader="none" w:pos="192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after such a declaration of acceleration of maturity has been made and before a judgment or decree for payment of the Money due has been obtained by the Collateral Trustee as hereinafter provided in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a Majority of the Controlling Class, by written notice to the Issuer, the Collateral Trustee and each Rating Agency, may rescind and annul such declaration and its consequences if:</w:t>
      </w:r>
    </w:p>
    <w:p>
      <w:pPr>
        <w:spacing w:after="0" w:line="180"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paid or deposited with the Collateral Trustee a sum sufficient to pay:</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85" w:lineRule="exact"/>
        <w:rPr>
          <w:sz w:val="20"/>
          <w:szCs w:val="20"/>
          <w:color w:val="auto"/>
        </w:rPr>
      </w:pPr>
    </w:p>
    <w:p>
      <w:pPr>
        <w:ind w:left="1500" w:right="40" w:firstLine="754"/>
        <w:spacing w:after="0" w:line="258" w:lineRule="auto"/>
        <w:tabs>
          <w:tab w:leader="none" w:pos="2681"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unpaid installments of interest and principal then due on the Secured Debt (other than any principal amounts due to the occurrence of an acceleration);</w:t>
      </w:r>
    </w:p>
    <w:p>
      <w:pPr>
        <w:spacing w:after="0" w:line="158"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payment of such interest is lawful, interest upon any Deferred Interest at the applicable Interest Rate; and</w:t>
      </w:r>
    </w:p>
    <w:p>
      <w:pPr>
        <w:spacing w:after="0" w:line="158" w:lineRule="exact"/>
        <w:rPr>
          <w:rFonts w:ascii="Times New Roman" w:cs="Times New Roman" w:eastAsia="Times New Roman" w:hAnsi="Times New Roman"/>
          <w:sz w:val="22"/>
          <w:szCs w:val="22"/>
          <w:color w:val="auto"/>
        </w:rPr>
      </w:pPr>
    </w:p>
    <w:p>
      <w:pPr>
        <w:jc w:val="both"/>
        <w:ind w:left="1500" w:firstLine="754"/>
        <w:spacing w:after="0" w:line="236" w:lineRule="auto"/>
        <w:tabs>
          <w:tab w:leader="none" w:pos="2681"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unpaid taxes and Administrative Expenses of the Issuer and other sums paid or advanced by the Collateral Trustee hereunder, by the Loan Agent under the Credit Agreements or by the Collateral Administrator under the Collateral Administration Agreement or hereunder, accrued and unpaid Aggregate Collateral Management Fees then due and owing (excluding any Waived Collateral Management Fee) and any other amounts then payable by the Issuer hereunder prior to such Administrative Expenses and such Aggregate Collateral Management Fees; or</w:t>
      </w:r>
    </w:p>
    <w:p>
      <w:pPr>
        <w:spacing w:after="0" w:line="181" w:lineRule="exact"/>
        <w:rPr>
          <w:rFonts w:ascii="Times New Roman" w:cs="Times New Roman" w:eastAsia="Times New Roman" w:hAnsi="Times New Roman"/>
          <w:sz w:val="22"/>
          <w:szCs w:val="22"/>
          <w:color w:val="auto"/>
        </w:rPr>
      </w:pPr>
    </w:p>
    <w:p>
      <w:pPr>
        <w:ind w:left="760" w:right="40" w:firstLine="1015"/>
        <w:spacing w:after="0" w:line="258" w:lineRule="auto"/>
        <w:tabs>
          <w:tab w:leader="none" w:pos="221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been determined that all Events of Default, other than the nonpayment of the interest on or principal of the Secured Debt that has become due solely by such acceleration, have:</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been cured; and</w:t>
      </w:r>
    </w:p>
    <w:p>
      <w:pPr>
        <w:spacing w:after="0" w:line="206" w:lineRule="exact"/>
        <w:rPr>
          <w:sz w:val="20"/>
          <w:szCs w:val="20"/>
          <w:color w:val="auto"/>
        </w:rPr>
      </w:pPr>
    </w:p>
    <w:p>
      <w:pPr>
        <w:jc w:val="both"/>
        <w:ind w:left="2260" w:firstLine="743"/>
        <w:spacing w:after="0" w:line="244" w:lineRule="auto"/>
        <w:tabs>
          <w:tab w:leader="none" w:pos="344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 Event of Default specified in </w:t>
      </w:r>
      <w:r>
        <w:rPr>
          <w:rFonts w:ascii="Times New Roman" w:cs="Times New Roman" w:eastAsia="Times New Roman" w:hAnsi="Times New Roman"/>
          <w:sz w:val="22"/>
          <w:szCs w:val="22"/>
          <w:u w:val="single" w:color="auto"/>
          <w:color w:val="auto"/>
        </w:rPr>
        <w:t>Section 5.1(e)</w:t>
      </w:r>
      <w:r>
        <w:rPr>
          <w:rFonts w:ascii="Times New Roman" w:cs="Times New Roman" w:eastAsia="Times New Roman" w:hAnsi="Times New Roman"/>
          <w:sz w:val="22"/>
          <w:szCs w:val="22"/>
          <w:color w:val="auto"/>
        </w:rPr>
        <w:t>, the Holders of at least a Majority of the Class A-1 Debt, by written notice to the Collateral Trustee, have agreed with such determination (which agreement shall not be unreasonably withheld); or</w:t>
      </w:r>
    </w:p>
    <w:p>
      <w:pPr>
        <w:spacing w:after="0" w:line="173" w:lineRule="exact"/>
        <w:rPr>
          <w:sz w:val="20"/>
          <w:szCs w:val="20"/>
          <w:color w:val="auto"/>
        </w:rPr>
      </w:pPr>
    </w:p>
    <w:p>
      <w:pPr>
        <w:jc w:val="both"/>
        <w:ind w:left="2260" w:right="20" w:firstLine="743"/>
        <w:spacing w:after="0" w:line="261" w:lineRule="auto"/>
        <w:tabs>
          <w:tab w:leader="none" w:pos="3441"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other Event of Default, the Holders of at least a Majority of each Class of Secured Debt (voting separately by Class), in each case, by written notice to the Collateral Trustee, have agreed with such determination (which agreement shall not be unreasonably withheld); or</w:t>
      </w:r>
    </w:p>
    <w:p>
      <w:pPr>
        <w:spacing w:after="0" w:line="157"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been waived as provided in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No such rescission shall affect any subsequent Default or impair any right consequent thereon.</w:t>
      </w:r>
    </w:p>
    <w:p>
      <w:pPr>
        <w:spacing w:after="0" w:line="206" w:lineRule="exact"/>
        <w:rPr>
          <w:sz w:val="20"/>
          <w:szCs w:val="20"/>
          <w:color w:val="auto"/>
        </w:rPr>
      </w:pPr>
    </w:p>
    <w:p>
      <w:pPr>
        <w:jc w:val="both"/>
        <w:ind w:firstLine="1505"/>
        <w:spacing w:after="0" w:line="244" w:lineRule="auto"/>
        <w:tabs>
          <w:tab w:leader="none" w:pos="192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to the contrary, the Secured Debt will not be subject to acceleration by the Collateral Trustee solely as a result of the failure to pay any amount due on a Class of Secured Debt other than the Controlling Class other than any failure to pay interest due on the Class A-2 Notes or the B Notes.</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Section 5.3 Collection of Indebtedness and Suits for Enforcement by Collateral Trustee . The Issuer covenants that if a default shall occur in respect of the payment of any principal of or interest when due and payable on any Secured Debt, the Issuer will, upon demand of the Collateral Trustee, pay to the Collateral Trustee, for the benefit of the Holder of such Secured Debt, the whole amount, if any, then due and payable on such Secured Debt for principal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-493395</wp:posOffset>
            </wp:positionV>
            <wp:extent cx="53835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83530" cy="8890"/>
                    </a:xfrm>
                    <a:prstGeom prst="rect">
                      <a:avLst/>
                    </a:prstGeom>
                    <a:noFill/>
                  </pic:spPr>
                </pic:pic>
              </a:graphicData>
            </a:graphic>
          </wp:anchor>
        </w:drawing>
      </w:r>
    </w:p>
    <w:p>
      <w:pPr>
        <w:spacing w:after="0" w:line="13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interest with interest upon the overdue principal and, to the extent that payments of such interest shall be legally enforceable, upon overdue installments of interest, at the applicable Interest Rate, and, in addition thereto, such further amount as shall be sufficient to cover the costs and expenses of collection, including the reasonable compensation, expenses, disbursements and advances of the Collateral Trustee and its agents, experts and counsel.</w:t>
      </w:r>
    </w:p>
    <w:p>
      <w:pPr>
        <w:spacing w:after="0" w:line="18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If the Issuer fails to pay such amounts forthwith upon such demand, the Collateral Trustee, in its own name and as Collateral Trustee for the benefit of the Secured Parties, may, and shall, subject to the terms of this Indenture (including </w:t>
      </w:r>
      <w:r>
        <w:rPr>
          <w:rFonts w:ascii="Times New Roman" w:cs="Times New Roman" w:eastAsia="Times New Roman" w:hAnsi="Times New Roman"/>
          <w:sz w:val="22"/>
          <w:szCs w:val="22"/>
          <w:u w:val="single" w:color="auto"/>
          <w:color w:val="auto"/>
        </w:rPr>
        <w:t>Sections 6.1(c)(iv) and 6.3(e)</w:t>
      </w:r>
      <w:r>
        <w:rPr>
          <w:rFonts w:ascii="Times New Roman" w:cs="Times New Roman" w:eastAsia="Times New Roman" w:hAnsi="Times New Roman"/>
          <w:sz w:val="22"/>
          <w:szCs w:val="22"/>
          <w:color w:val="auto"/>
        </w:rPr>
        <w:t>) upon direction of a Majority of the Controlling Class, institute a Proceeding for the collection of the sums so due and unpaid, may prosecute such Proceeding to judgment or final decree, and may enforce the same against the Issuer or any other obligor upon the Secured Debt and collect the Monies adjudged or decreed to be payable in the manner provided by law out of the Assets.</w:t>
      </w:r>
    </w:p>
    <w:p>
      <w:pPr>
        <w:spacing w:after="0" w:line="18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If an Event of Default occurs and is continuing, the Collateral Trustee may in its discretion, and shall, subject to the terms of this Indenture (including </w:t>
      </w:r>
      <w:r>
        <w:rPr>
          <w:rFonts w:ascii="Times New Roman" w:cs="Times New Roman" w:eastAsia="Times New Roman" w:hAnsi="Times New Roman"/>
          <w:sz w:val="22"/>
          <w:szCs w:val="22"/>
          <w:u w:val="single" w:color="auto"/>
          <w:color w:val="auto"/>
        </w:rPr>
        <w:t>Sections 6.1(c)(iv) and 6.3(e)</w:t>
      </w:r>
      <w:r>
        <w:rPr>
          <w:rFonts w:ascii="Times New Roman" w:cs="Times New Roman" w:eastAsia="Times New Roman" w:hAnsi="Times New Roman"/>
          <w:sz w:val="22"/>
          <w:szCs w:val="22"/>
          <w:color w:val="auto"/>
        </w:rPr>
        <w:t>) upon written direction of the Majority of the Controlling Class, proceed to protect and enforce its rights and the rights of the Secured Parties by such appropriate Proceedings as the Collateral Trustee shall deem most effectual (if no such direction is received by the Collateral Trustee) or as the Collateral Trustee may be directed by the Majority of the Controlling Class, to protect and enforce any such rights, whether for the specific enforcement of any covenant or agreement herein or in aid of the exercise of any power granted herein, or to enforce any other proper remedy or legal or equitable right vested in the Collateral Trustee by this Indenture or by law.</w:t>
      </w:r>
    </w:p>
    <w:p>
      <w:pPr>
        <w:spacing w:after="0" w:line="18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In case there shall be pending Proceedings relative to the Issuer or any other obligor upon the Secured Debt under the Bankruptcy Code or any other applicable bankruptcy, insolvency or other similar law, or in case a receiver, assignee or trustee in bankruptcy or reorganization, liquidator, sequestrator or similar official shall have been appointed for or taken possession of the Issuer, its property or such other obligor or their property, or in case of any other comparable Proceedings relative to the Issuer or other obligor upon the Secured Debt, or the creditors or property of the Issuer or such other obligor, the Collateral Trustee, regardless of whether the principal of the Secured Debt shall then be due and payable as therein expressed or by declaration or otherwise and regardless of whether the Collateral Trustee shall have made any demand pursuant to the provisions of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shall be entitled and empowered, by intervention in such Proceedings or otherwise:</w:t>
      </w:r>
    </w:p>
    <w:p>
      <w:pPr>
        <w:spacing w:after="0" w:line="178" w:lineRule="exact"/>
        <w:rPr>
          <w:sz w:val="20"/>
          <w:szCs w:val="20"/>
          <w:color w:val="auto"/>
        </w:rPr>
      </w:pPr>
    </w:p>
    <w:p>
      <w:pPr>
        <w:jc w:val="both"/>
        <w:ind w:firstLine="1505"/>
        <w:spacing w:after="0" w:line="235" w:lineRule="auto"/>
        <w:tabs>
          <w:tab w:leader="none" w:pos="192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or claims for the whole amount of principal and interest owing and unpaid in respect of the Secured Debt upon direction by a Majority of the Controlling Class and to file such other papers or documents as may be necessary or advisable in order to have the claims of the Collateral Trustee (including any claim for reasonable compensation to the Collateral Trustee and each predecessor Collateral Trustee, and their respective agents, attorneys and counsel, and for reimbursement of all reasonable expenses and liabilities incurred, and all advances made, by the Collateral Trustee and each predecessor Collateral Trustee, except as a result of negligence) and of the Holders allowed in any Proceedings relative to the Issuer or to the creditors or property of the Issuer;</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85" w:lineRule="exact"/>
        <w:rPr>
          <w:sz w:val="20"/>
          <w:szCs w:val="20"/>
          <w:color w:val="auto"/>
        </w:rPr>
      </w:pPr>
    </w:p>
    <w:p>
      <w:pPr>
        <w:jc w:val="both"/>
        <w:ind w:firstLine="1505"/>
        <w:spacing w:after="0" w:line="261" w:lineRule="auto"/>
        <w:tabs>
          <w:tab w:leader="none" w:pos="1929"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prohibited by applicable law and regulations, to vote on behalf of the Holders upon the direction of a Majority of the Controlling Class, in any election of a trustee or a standby trustee in arrangement, reorganization, liquidation or other bankruptcy or insolvency Proceedings or Person performing similar functions in comparable Proceedings; and</w:t>
      </w:r>
    </w:p>
    <w:p>
      <w:pPr>
        <w:spacing w:after="0" w:line="157" w:lineRule="exact"/>
        <w:rPr>
          <w:rFonts w:ascii="Times New Roman" w:cs="Times New Roman" w:eastAsia="Times New Roman" w:hAnsi="Times New Roman"/>
          <w:sz w:val="21"/>
          <w:szCs w:val="21"/>
          <w:color w:val="auto"/>
        </w:rPr>
      </w:pPr>
    </w:p>
    <w:p>
      <w:pPr>
        <w:jc w:val="both"/>
        <w:ind w:firstLine="1505"/>
        <w:spacing w:after="0" w:line="234" w:lineRule="auto"/>
        <w:tabs>
          <w:tab w:leader="none" w:pos="192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to or deliverable on any such claims, and to distribute all amounts received with respect to the claims of the Noteholders, the Class A-1 Lenders and of the Collateral Trustee on their behalf; and any trustee, receiver or liquidator, custodian or other similar official is hereby authorized by each of the Noteholders and the Class A-1 Lenders to make payments to the Collateral Trustee, and, if the Collateral Trustee shall consent to the making of payments directly to the Noteholders (or, in the case of Class A-1 Loans, to the applicable Loan Agent) to pay to the Collateral Trustee such amounts as shall be sufficient to cover reasonable compensation to the Collateral Trustee, each predecessor Collateral Trustee and their respective agents, attorneys and counsel, and all other reasonable expenses and liabilities incurred, and all advances made, by the Collateral Trustee and each predecessor Collateral Trustee except as a result of negligence.</w:t>
      </w:r>
    </w:p>
    <w:p>
      <w:pPr>
        <w:spacing w:after="0" w:line="18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Nothing herein contained shall be deemed to authorize the Collateral Trustee to authorize or consent to or vote for or accept or adopt on behalf of any Holders of Secured Debt, any plan of reorganization, arrangement, adjustment or composition affecting the Secured Debt or any Holder thereof, or to authorize the Collateral Trustee to vote in respect of the claim of any such Holders, as applicable, in any such Proceeding except, as aforesaid, to vote for the election of a trustee in bankruptcy or similar Person.</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In any Proceedings brought by the Collateral Trustee on behalf of the Holders of the Secured Debt (and any such Proceedings involving the interpretation of any provision of this Indenture to which the Collateral Trustee shall be a party), the Collateral Trustee shall be held to represent all the Holders of the Secured Debt.</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Notwithstanding anything in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to the contrary, the Collateral Trustee may not sell or liquidate the Assets or institute Proceedings in furtherance thereof pursuant to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except according to the provisions specified in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5.4 Remedies</w:t>
      </w:r>
      <w:r>
        <w:rPr>
          <w:rFonts w:ascii="Times New Roman" w:cs="Times New Roman" w:eastAsia="Times New Roman" w:hAnsi="Times New Roman"/>
          <w:sz w:val="22"/>
          <w:szCs w:val="22"/>
          <w:color w:val="auto"/>
        </w:rPr>
        <w:t xml:space="preserve">. (a) If an Event of Default has occurred and is continuing, and the Secured Debt has been declared due and payable and such declaration and its consequences have not been rescinded and annulled, the Issuer agrees that the Collateral Trustee may, and shall, subject to the terms of this Indenture (including </w:t>
      </w:r>
      <w:r>
        <w:rPr>
          <w:rFonts w:ascii="Times New Roman" w:cs="Times New Roman" w:eastAsia="Times New Roman" w:hAnsi="Times New Roman"/>
          <w:sz w:val="22"/>
          <w:szCs w:val="22"/>
          <w:u w:val="single" w:color="auto"/>
          <w:color w:val="auto"/>
        </w:rPr>
        <w:t>Sections 6.1(c)(iv) and 6.3(e)</w:t>
      </w:r>
      <w:r>
        <w:rPr>
          <w:rFonts w:ascii="Times New Roman" w:cs="Times New Roman" w:eastAsia="Times New Roman" w:hAnsi="Times New Roman"/>
          <w:sz w:val="22"/>
          <w:szCs w:val="22"/>
          <w:color w:val="auto"/>
        </w:rPr>
        <w:t>), upon written direction of a Majority of the Controlling Class, to the extent permitted by applicable law, exercise one or more of the following rights, privileges and remedies:</w:t>
      </w:r>
    </w:p>
    <w:p>
      <w:pPr>
        <w:spacing w:after="0" w:line="177" w:lineRule="exact"/>
        <w:rPr>
          <w:sz w:val="20"/>
          <w:szCs w:val="20"/>
          <w:color w:val="auto"/>
        </w:rPr>
      </w:pPr>
    </w:p>
    <w:p>
      <w:pPr>
        <w:jc w:val="both"/>
        <w:ind w:left="760" w:firstLine="1015"/>
        <w:spacing w:after="0" w:line="244" w:lineRule="auto"/>
        <w:tabs>
          <w:tab w:leader="none" w:pos="221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institute Proceedings for the collection of all amounts then payable on the Secured Debt or otherwise payable under this Indenture or the Credit Agreements, whether by declaration or otherwise, enforce any judgment obtained, and collect from the Assets any Monies adjudged due;</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120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85" w:lineRule="exact"/>
        <w:rPr>
          <w:sz w:val="20"/>
          <w:szCs w:val="20"/>
          <w:color w:val="auto"/>
        </w:rPr>
      </w:pPr>
    </w:p>
    <w:p>
      <w:pPr>
        <w:ind w:left="760" w:firstLine="1015"/>
        <w:spacing w:after="0" w:line="282" w:lineRule="auto"/>
        <w:tabs>
          <w:tab w:leader="none" w:pos="221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sell or cause the sale of all or a portion of the Assets or rights or interests therein, at one or more public or private sales called and conducted in any manner permitted by law and in accordance with </w:t>
      </w:r>
      <w:r>
        <w:rPr>
          <w:rFonts w:ascii="Times New Roman" w:cs="Times New Roman" w:eastAsia="Times New Roman" w:hAnsi="Times New Roman"/>
          <w:sz w:val="21"/>
          <w:szCs w:val="21"/>
          <w:u w:val="single" w:color="auto"/>
          <w:color w:val="auto"/>
        </w:rPr>
        <w:t>Section 5.17</w:t>
      </w:r>
      <w:r>
        <w:rPr>
          <w:rFonts w:ascii="Times New Roman" w:cs="Times New Roman" w:eastAsia="Times New Roman" w:hAnsi="Times New Roman"/>
          <w:sz w:val="21"/>
          <w:szCs w:val="21"/>
          <w:color w:val="auto"/>
        </w:rPr>
        <w:t xml:space="preserve"> hereof;</w:t>
      </w:r>
    </w:p>
    <w:p>
      <w:pPr>
        <w:spacing w:after="0" w:line="134" w:lineRule="exact"/>
        <w:rPr>
          <w:rFonts w:ascii="Times New Roman" w:cs="Times New Roman" w:eastAsia="Times New Roman" w:hAnsi="Times New Roman"/>
          <w:sz w:val="21"/>
          <w:szCs w:val="21"/>
          <w:color w:val="auto"/>
        </w:rPr>
      </w:pPr>
    </w:p>
    <w:p>
      <w:pPr>
        <w:ind w:left="760" w:right="20" w:firstLine="1015"/>
        <w:spacing w:after="0" w:line="258" w:lineRule="auto"/>
        <w:tabs>
          <w:tab w:leader="none" w:pos="221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institute Proceedings from time to time for the complete or partial foreclosure of this Indenture and/or the Credit Agreements with respect to the Assets;</w:t>
      </w:r>
    </w:p>
    <w:p>
      <w:pPr>
        <w:spacing w:after="0" w:line="158"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any remedies of a secured party under the UCC and take any other appropriate action to protect and enforce the rights and remedies of the Collateral Trustee and the Holders of Secured Debt hereunder (including exercising all rights of the Collateral Trustee under the Securities Account Control Agreement); and</w:t>
      </w:r>
    </w:p>
    <w:p>
      <w:pPr>
        <w:spacing w:after="0" w:line="173"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any other rights and remedies that may be available at law or in equity;</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Collateral Trustee may not sell or liquidate the Assets or institute Proceedings in furtherance thereof pursuant to this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except according to the provisions of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The Collateral Trustee may, but need not, obtain and rely upon an opinion of an Independent investment banking firm of national reputation (the reasonable cost of which shall be payable as an Administrative Expense) in structuring and distributing securities similar to the Notes, which may be the Placement Agent, as to the feasibility of any action proposed to be taken in accordance with this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and as to the sufficiency of the proceeds and other amounts receivable with respect to the Assets to make the required payments of principal of and interest on the Secured Debt, which opinion shall be conclusive evidence as to such feasibility or sufficiency.</w:t>
      </w:r>
    </w:p>
    <w:p>
      <w:pPr>
        <w:spacing w:after="0" w:line="181" w:lineRule="exact"/>
        <w:rPr>
          <w:sz w:val="20"/>
          <w:szCs w:val="20"/>
          <w:color w:val="auto"/>
        </w:rPr>
      </w:pPr>
    </w:p>
    <w:p>
      <w:pPr>
        <w:jc w:val="both"/>
        <w:ind w:firstLine="1505"/>
        <w:spacing w:after="0" w:line="238" w:lineRule="auto"/>
        <w:tabs>
          <w:tab w:leader="none" w:pos="192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Event of Default as described in </w:t>
      </w:r>
      <w:r>
        <w:rPr>
          <w:rFonts w:ascii="Times New Roman" w:cs="Times New Roman" w:eastAsia="Times New Roman" w:hAnsi="Times New Roman"/>
          <w:sz w:val="22"/>
          <w:szCs w:val="22"/>
          <w:u w:val="single" w:color="auto"/>
          <w:color w:val="auto"/>
        </w:rPr>
        <w:t>Section 5.1(d)</w:t>
      </w:r>
      <w:r>
        <w:rPr>
          <w:rFonts w:ascii="Times New Roman" w:cs="Times New Roman" w:eastAsia="Times New Roman" w:hAnsi="Times New Roman"/>
          <w:sz w:val="22"/>
          <w:szCs w:val="22"/>
          <w:color w:val="auto"/>
        </w:rPr>
        <w:t xml:space="preserve"> hereof shall have occurred and be continuing the Collateral Trustee may, and at the direction of the Holders of not less than 25% of the Aggregate Outstanding Amount of the Controlling Class shall, subject to the terms of this Indenture (including </w:t>
      </w:r>
      <w:r>
        <w:rPr>
          <w:rFonts w:ascii="Times New Roman" w:cs="Times New Roman" w:eastAsia="Times New Roman" w:hAnsi="Times New Roman"/>
          <w:sz w:val="22"/>
          <w:szCs w:val="22"/>
          <w:u w:val="single" w:color="auto"/>
          <w:color w:val="auto"/>
        </w:rPr>
        <w:t>Sections 6.1(c)(iv) and 6.3(e)</w:t>
      </w:r>
      <w:r>
        <w:rPr>
          <w:rFonts w:ascii="Times New Roman" w:cs="Times New Roman" w:eastAsia="Times New Roman" w:hAnsi="Times New Roman"/>
          <w:sz w:val="22"/>
          <w:szCs w:val="22"/>
          <w:color w:val="auto"/>
        </w:rPr>
        <w:t>), institute a Proceeding solely to compel performance of the covenant or agreement or to cure the representation or warranty, the breach of which gave rise to the Event of Default under such Section, and enforce any equitable decree or order arising from such Proceeding.</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sale, whether made under the power of sale hereby given or by virtue of judicial Proceedings, any Secured Party or any Affiliate of the Issuer may bid for and purchase the Assets or any part thereof and, upon compliance with the terms of sale, may hold, retain, possess or dispose of such property in its or their own absolute right without accountability.</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Upon any sale, whether made under the power of sale hereby given or by virtue of judicial Proceedings, the receipt of the Collateral Trustee, or of the Officer making a sale under judicial Proceedings, shall be a sufficient discharge to the purchaser or purchasers at any sale for its or their purchase Money, and such purchaser or purchasers shall not be obliged to see to the application thereof.</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Any such sale, whether under any power of sale hereby given or by virtue of judicial Proceedings, shall bind the Issuer, the Collateral Trustee, the Loan Agent and the Holders of the</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121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Notes, shall operate to divest all right, title and interest whatsoever, either at law or in equity, of each of them in and to the property sold, and shall be a perpetual bar, both at law and in equity, against each of them and their successors and assigns, and against any and all Persons claiming through or under them.</w:t>
      </w:r>
    </w:p>
    <w:p>
      <w:pPr>
        <w:spacing w:after="0" w:line="173" w:lineRule="exact"/>
        <w:rPr>
          <w:sz w:val="20"/>
          <w:szCs w:val="20"/>
          <w:color w:val="auto"/>
        </w:rPr>
      </w:pPr>
    </w:p>
    <w:p>
      <w:pPr>
        <w:jc w:val="both"/>
        <w:ind w:firstLine="1505"/>
        <w:spacing w:after="0" w:line="234" w:lineRule="auto"/>
        <w:tabs>
          <w:tab w:leader="none" w:pos="1929"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 of this Indenture, none of the Collateral Trustee, the other Secured Parties or the Holders may, prior to the date which is one year and one day (or if longer, any applicable preference period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one day) after the payment in full of all the Debt, institute against, or join any other Person in instituting against, the Issuer any bankruptcy, reorganization, arrangement, insolvency, moratorium or liquidation Proceedings, or other similar Proceedings under United States federal or state bankruptcy or similar laws. Nothing in this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shall preclude, or be deemed to stop, the Collateral Trustee (i) from taking any action prior to the expiration of the aforementioned period in (A) any case or Proceeding voluntarily filed or commenced by the Issuer or (B) any involuntary insolvency Proceeding filed or commenced by a Person other than the Collateral Trustee, or (ii) from commencing against the Issuer or any of its properties any legal action which is not a bankruptcy, reorganization, arrangement, insolvency, moratorium, liquidation or similar Proceeding.</w:t>
      </w:r>
    </w:p>
    <w:p>
      <w:pPr>
        <w:spacing w:after="0" w:line="183"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1"/>
          <w:szCs w:val="21"/>
          <w:u w:val="single" w:color="auto"/>
          <w:color w:val="auto"/>
        </w:rPr>
        <w:t>Section 5.5 Optional Preservation of Assets</w:t>
      </w:r>
      <w:r>
        <w:rPr>
          <w:rFonts w:ascii="Times New Roman" w:cs="Times New Roman" w:eastAsia="Times New Roman" w:hAnsi="Times New Roman"/>
          <w:sz w:val="21"/>
          <w:szCs w:val="21"/>
          <w:color w:val="auto"/>
        </w:rPr>
        <w:t xml:space="preserve">. (a) Notwithstanding anything to the contrary herein (but subject to the right of the Collateral Manager to direct the Collateral Trustee to sell Collateral Obligations or Equity Securities in compliance with </w:t>
      </w:r>
      <w:r>
        <w:rPr>
          <w:rFonts w:ascii="Times New Roman" w:cs="Times New Roman" w:eastAsia="Times New Roman" w:hAnsi="Times New Roman"/>
          <w:sz w:val="21"/>
          <w:szCs w:val="21"/>
          <w:u w:val="single" w:color="auto"/>
          <w:color w:val="auto"/>
        </w:rPr>
        <w:t>Section 12.1</w:t>
      </w:r>
      <w:r>
        <w:rPr>
          <w:rFonts w:ascii="Times New Roman" w:cs="Times New Roman" w:eastAsia="Times New Roman" w:hAnsi="Times New Roman"/>
          <w:sz w:val="21"/>
          <w:szCs w:val="21"/>
          <w:color w:val="auto"/>
        </w:rPr>
        <w:t xml:space="preserve">), if an Event of Default shall have occurred and be continuing, the Collateral Trustee shall retain the Assets securing the Secured Debt intact, collect and cause the collection of the proceeds thereof and make and apply all payments at the date or dates fixed by the Collateral Trustee and deposit and maintain all accounts in respect of the Assets and the Secured Debt in accordance with the Priority of Payments and the provisions of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XII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XIII</w:t>
      </w:r>
      <w:r>
        <w:rPr>
          <w:rFonts w:ascii="Times New Roman" w:cs="Times New Roman" w:eastAsia="Times New Roman" w:hAnsi="Times New Roman"/>
          <w:sz w:val="21"/>
          <w:szCs w:val="21"/>
          <w:color w:val="auto"/>
        </w:rPr>
        <w:t xml:space="preserve"> unless:</w:t>
      </w:r>
    </w:p>
    <w:p>
      <w:pPr>
        <w:spacing w:after="0" w:line="171" w:lineRule="exact"/>
        <w:rPr>
          <w:sz w:val="20"/>
          <w:szCs w:val="20"/>
          <w:color w:val="auto"/>
        </w:rPr>
      </w:pPr>
    </w:p>
    <w:p>
      <w:pPr>
        <w:jc w:val="both"/>
        <w:ind w:left="760" w:firstLine="1015"/>
        <w:spacing w:after="0" w:line="234" w:lineRule="auto"/>
        <w:tabs>
          <w:tab w:leader="none" w:pos="221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Trustee, pursuant to </w:t>
      </w:r>
      <w:r>
        <w:rPr>
          <w:rFonts w:ascii="Times New Roman" w:cs="Times New Roman" w:eastAsia="Times New Roman" w:hAnsi="Times New Roman"/>
          <w:sz w:val="22"/>
          <w:szCs w:val="22"/>
          <w:u w:val="single" w:color="auto"/>
          <w:color w:val="auto"/>
        </w:rPr>
        <w:t>Section 5.5(c) and in</w:t>
      </w:r>
      <w:r>
        <w:rPr>
          <w:rFonts w:ascii="Times New Roman" w:cs="Times New Roman" w:eastAsia="Times New Roman" w:hAnsi="Times New Roman"/>
          <w:sz w:val="22"/>
          <w:szCs w:val="22"/>
          <w:color w:val="auto"/>
        </w:rPr>
        <w:t xml:space="preserve"> consultation with the Collateral Manager, determines that the anticipated proceeds of a sale or liquidation of all or any portion of the Assets (after deducting the reasonable expenses of such sale or liquidation) would be sufficient to discharge in full the amounts then due (or, in the case of interest, accrued) and unpaid on the Secured Debt for principal and interest (including accrued and unpaid Deferred Interest), and all other amounts that, pursuant to the Priority of Payments, are required to be paid prior to such payments on such Secured Debt (including amounts due and owing (or anticipated to be due and owing) as Administrative Expenses (without regard to the Administrative Expense Cap) and due and unpaid Aggregate Collateral Management Fees (excluding any Waived Collateral Management Fee)) and a Supermajority of the Controlling Class agrees with such determination;</w:t>
      </w:r>
    </w:p>
    <w:p>
      <w:pPr>
        <w:spacing w:after="0" w:line="183"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 Event of Default specified in </w:t>
      </w:r>
      <w:r>
        <w:rPr>
          <w:rFonts w:ascii="Times New Roman" w:cs="Times New Roman" w:eastAsia="Times New Roman" w:hAnsi="Times New Roman"/>
          <w:sz w:val="22"/>
          <w:szCs w:val="22"/>
          <w:u w:val="single" w:color="auto"/>
          <w:color w:val="auto"/>
        </w:rPr>
        <w:t>Section 5.1(e)</w:t>
      </w:r>
      <w:r>
        <w:rPr>
          <w:rFonts w:ascii="Times New Roman" w:cs="Times New Roman" w:eastAsia="Times New Roman" w:hAnsi="Times New Roman"/>
          <w:sz w:val="22"/>
          <w:szCs w:val="22"/>
          <w:color w:val="auto"/>
        </w:rPr>
        <w:t>, the Holders of at least a Supermajority of the Class A-1 Debt direct the sale and liquidation of the Assets (without regard to whether another Event of Default has occurred prior, contemporaneously or subsequent to such Event of Default); or</w:t>
      </w:r>
    </w:p>
    <w:p>
      <w:pPr>
        <w:spacing w:after="0" w:line="173" w:lineRule="exact"/>
        <w:rPr>
          <w:rFonts w:ascii="Times New Roman" w:cs="Times New Roman" w:eastAsia="Times New Roman" w:hAnsi="Times New Roman"/>
          <w:sz w:val="22"/>
          <w:szCs w:val="22"/>
          <w:color w:val="auto"/>
        </w:rPr>
      </w:pPr>
    </w:p>
    <w:p>
      <w:pPr>
        <w:ind w:left="760" w:right="20" w:firstLine="1015"/>
        <w:spacing w:after="0" w:line="258" w:lineRule="auto"/>
        <w:tabs>
          <w:tab w:leader="none" w:pos="221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Event of Default, the Holders of at least a Supermajority of each Class of Secured Debt (voting separately by Class) or, if no Class of Secured Debt</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122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remains outstanding, a Majority of the Subordinated Notes, direct the sale and liquidation of the Assets.</w:t>
      </w:r>
    </w:p>
    <w:p>
      <w:pPr>
        <w:spacing w:after="0" w:line="206"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So long as such Event of Default is continuing, any such retention pursuant to this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 xml:space="preserve"> may be rescinded at any time when the conditions specified in clause (i), (ii) or (iii) exist.</w:t>
      </w:r>
    </w:p>
    <w:p>
      <w:pPr>
        <w:spacing w:after="0" w:line="158" w:lineRule="exact"/>
        <w:rPr>
          <w:sz w:val="20"/>
          <w:szCs w:val="20"/>
          <w:color w:val="auto"/>
        </w:rPr>
      </w:pPr>
    </w:p>
    <w:p>
      <w:pPr>
        <w:jc w:val="both"/>
        <w:ind w:firstLine="1505"/>
        <w:spacing w:after="0" w:line="238" w:lineRule="auto"/>
        <w:tabs>
          <w:tab w:leader="none" w:pos="192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contained in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 xml:space="preserve"> shall be construed to require the Collateral Trustee to sell the Assets securing the Secured Debt if the conditions set forth in clause (i), (ii) or (iii) of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 xml:space="preserve"> are not satisfied. Nothing contained in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 xml:space="preserve"> shall be construed to require the Collateral Trustee to preserve the Assets securing the Secured Debt if prohibited by applicable law. The Collateral Trustee shall provide written notice to S&amp;P if it commences the sale of the Assets pursuant to this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determining whether the condition specified in </w:t>
      </w:r>
      <w:r>
        <w:rPr>
          <w:rFonts w:ascii="Times New Roman" w:cs="Times New Roman" w:eastAsia="Times New Roman" w:hAnsi="Times New Roman"/>
          <w:sz w:val="22"/>
          <w:szCs w:val="22"/>
          <w:u w:val="single" w:color="auto"/>
          <w:color w:val="auto"/>
        </w:rPr>
        <w:t>Section 5.5(a)(i)</w:t>
      </w:r>
      <w:r>
        <w:rPr>
          <w:rFonts w:ascii="Times New Roman" w:cs="Times New Roman" w:eastAsia="Times New Roman" w:hAnsi="Times New Roman"/>
          <w:sz w:val="22"/>
          <w:szCs w:val="22"/>
          <w:color w:val="auto"/>
        </w:rPr>
        <w:t xml:space="preserve"> exists, the Collateral Trustee shall use reasonable efforts to obtain, with the cooperation of the Collateral Manager, bid prices with respect to each Asset from two nationally recognized dealers (as specified by the Collateral Manager to the Collateral Trustee in writing) at the time making a market in such Assets and shall compute the anticipated proceeds of sale or liquidation on the basis of the lower of such bid prices for each such Asset. In the event that the Collateral Trustee, with the cooperation of the Collateral Manager, is only able to obtain bid prices with respect to each Asset from one nationally recognized dealer at the time making a market in such Assets, the Collateral Trustee shall compute the anticipated proceeds of the sale or liquidation on the basis of such one bid price for each such Asset. If the Collateral Trustee is unable to obtain any bids, the condition in </w:t>
      </w:r>
      <w:r>
        <w:rPr>
          <w:rFonts w:ascii="Times New Roman" w:cs="Times New Roman" w:eastAsia="Times New Roman" w:hAnsi="Times New Roman"/>
          <w:sz w:val="22"/>
          <w:szCs w:val="22"/>
          <w:u w:val="single" w:color="auto"/>
          <w:color w:val="auto"/>
        </w:rPr>
        <w:t>Section 5.5(a)(i)</w:t>
      </w:r>
      <w:r>
        <w:rPr>
          <w:rFonts w:ascii="Times New Roman" w:cs="Times New Roman" w:eastAsia="Times New Roman" w:hAnsi="Times New Roman"/>
          <w:sz w:val="22"/>
          <w:szCs w:val="22"/>
          <w:color w:val="auto"/>
        </w:rPr>
        <w:t xml:space="preserve"> shall be deemed to not exist. In addition, for the purposes of determining issues relating to the execution of a sale or liquidation of the Assets and the execution of a sale or other liquidation thereof in connection with a determination whether the condition specified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5.5(a)(i)</w:t>
      </w:r>
      <w:r>
        <w:rPr>
          <w:rFonts w:ascii="Times New Roman" w:cs="Times New Roman" w:eastAsia="Times New Roman" w:hAnsi="Times New Roman"/>
          <w:sz w:val="22"/>
          <w:szCs w:val="22"/>
          <w:color w:val="auto"/>
        </w:rPr>
        <w:t xml:space="preserve"> exists, the Collateral Trustee may retain and rely on an opinion of an Independent investment banking firm of national reputation (the cost of which shall be payable as an Administrative Expense).</w:t>
      </w:r>
    </w:p>
    <w:p>
      <w:pPr>
        <w:spacing w:after="0" w:line="185"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The Collateral Trustee shall deliver to the Noteholders, the Class A-1 Lenders and the Collateral Manager a report stating the results of any determination required pursuant to </w:t>
      </w:r>
      <w:r>
        <w:rPr>
          <w:rFonts w:ascii="Times New Roman" w:cs="Times New Roman" w:eastAsia="Times New Roman" w:hAnsi="Times New Roman"/>
          <w:sz w:val="22"/>
          <w:szCs w:val="22"/>
          <w:u w:val="single" w:color="auto"/>
          <w:color w:val="auto"/>
        </w:rPr>
        <w:t>Section 5.5(a)(i)</w:t>
      </w:r>
      <w:r>
        <w:rPr>
          <w:rFonts w:ascii="Times New Roman" w:cs="Times New Roman" w:eastAsia="Times New Roman" w:hAnsi="Times New Roman"/>
          <w:sz w:val="22"/>
          <w:szCs w:val="22"/>
          <w:color w:val="auto"/>
        </w:rPr>
        <w:t xml:space="preserve"> no later than 10 days after such determination is made. The Collateral Trustee shall make the determinations required by </w:t>
      </w:r>
      <w:r>
        <w:rPr>
          <w:rFonts w:ascii="Times New Roman" w:cs="Times New Roman" w:eastAsia="Times New Roman" w:hAnsi="Times New Roman"/>
          <w:sz w:val="22"/>
          <w:szCs w:val="22"/>
          <w:u w:val="single" w:color="auto"/>
          <w:color w:val="auto"/>
        </w:rPr>
        <w:t>Section 5.5(a)(i)</w:t>
      </w:r>
      <w:r>
        <w:rPr>
          <w:rFonts w:ascii="Times New Roman" w:cs="Times New Roman" w:eastAsia="Times New Roman" w:hAnsi="Times New Roman"/>
          <w:sz w:val="22"/>
          <w:szCs w:val="22"/>
          <w:color w:val="auto"/>
        </w:rPr>
        <w:t xml:space="preserve"> within 30 days after an Event of Default and at the request of a Majority of the Controlling Class at any time during which the Collateral Trustee retains the Assets pursuant to </w:t>
      </w:r>
      <w:r>
        <w:rPr>
          <w:rFonts w:ascii="Times New Roman" w:cs="Times New Roman" w:eastAsia="Times New Roman" w:hAnsi="Times New Roman"/>
          <w:sz w:val="22"/>
          <w:szCs w:val="22"/>
          <w:u w:val="single" w:color="auto"/>
          <w:color w:val="auto"/>
        </w:rPr>
        <w:t>Section 5.5(a)(i)</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5.6 Collateral Trustee May Enforce Claims Without Possession of Debt</w:t>
      </w:r>
      <w:r>
        <w:rPr>
          <w:rFonts w:ascii="Times New Roman" w:cs="Times New Roman" w:eastAsia="Times New Roman" w:hAnsi="Times New Roman"/>
          <w:sz w:val="22"/>
          <w:szCs w:val="22"/>
          <w:color w:val="auto"/>
        </w:rPr>
        <w:t xml:space="preserve"> . All rights of action and claims under this Indenture or under any of the Secured Debt may be prosecuted and enforced by the Collateral Trustee without the possession of any of the Notes or the production thereof in any trial or other Proceeding relating thereto, and any such action or Proceeding instituted by the Collateral Trustee shall be brought in its own name and as Collateral Trustee on behalf of the Secured Parties, and any recovery of judgment shall be applied as set forth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hereof.</w:t>
      </w:r>
    </w:p>
    <w:p>
      <w:pPr>
        <w:spacing w:after="0" w:line="15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123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84"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5.7 Application of Money Collected</w:t>
      </w:r>
      <w:r>
        <w:rPr>
          <w:rFonts w:ascii="Times New Roman" w:cs="Times New Roman" w:eastAsia="Times New Roman" w:hAnsi="Times New Roman"/>
          <w:sz w:val="22"/>
          <w:szCs w:val="22"/>
          <w:color w:val="auto"/>
        </w:rPr>
        <w:t xml:space="preserve">. Any Money collected by the Collateral Trustee with respect to the Debt pursuant to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and any Money that may then be held or thereafter received by the Collateral Trustee with respect to the Debt hereunder shall be applied, subject to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and in accordance with the provisions of </w:t>
      </w:r>
      <w:r>
        <w:rPr>
          <w:rFonts w:ascii="Times New Roman" w:cs="Times New Roman" w:eastAsia="Times New Roman" w:hAnsi="Times New Roman"/>
          <w:sz w:val="22"/>
          <w:szCs w:val="22"/>
          <w:u w:val="single" w:color="auto"/>
          <w:color w:val="auto"/>
        </w:rPr>
        <w:t>Section 11.1(a)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at the date or dates fixed by the Collateral Trustee. Upon the final distribution of all proceeds of any liquidation effected hereunder, the provisions of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4.1(b)</w:t>
      </w:r>
      <w:r>
        <w:rPr>
          <w:rFonts w:ascii="Times New Roman" w:cs="Times New Roman" w:eastAsia="Times New Roman" w:hAnsi="Times New Roman"/>
          <w:sz w:val="22"/>
          <w:szCs w:val="22"/>
          <w:color w:val="auto"/>
        </w:rPr>
        <w:t xml:space="preserve"> shall be deemed satisfied for the purposes of discharging this Indenture pursuant to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5.8 Limitation on Suits</w:t>
      </w:r>
      <w:r>
        <w:rPr>
          <w:rFonts w:ascii="Times New Roman" w:cs="Times New Roman" w:eastAsia="Times New Roman" w:hAnsi="Times New Roman"/>
          <w:sz w:val="22"/>
          <w:szCs w:val="22"/>
          <w:color w:val="auto"/>
        </w:rPr>
        <w:t xml:space="preserve"> . No Holder of any Debt shall have any right to institute any Proceedings, judicial or otherwise, with respect to this Indenture or the Credit Agreements, or for the appointment of a receiver or trustee, or for any other remedy hereunder, unless:</w:t>
      </w:r>
    </w:p>
    <w:p>
      <w:pPr>
        <w:spacing w:after="0" w:line="173" w:lineRule="exact"/>
        <w:rPr>
          <w:sz w:val="20"/>
          <w:szCs w:val="20"/>
          <w:color w:val="auto"/>
        </w:rPr>
      </w:pPr>
    </w:p>
    <w:p>
      <w:pPr>
        <w:ind w:left="1940" w:hanging="435"/>
        <w:spacing w:after="0"/>
        <w:tabs>
          <w:tab w:leader="none" w:pos="194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has previously given to the Collateral Trustee written notice of an Event of Default;</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not less than 25% of the then Aggregate Outstanding Amount of the Debt of the Controlling Class shall have made written request to the Collateral Trustee to institute Proceedings in respect of such Event of Default in its own name as the Collateral Trustee hereunder and such Holder or Holders have provided the Collateral Trustee indemnity reasonably satisfactory to the Collateral Trustee against the costs, expenses (including reasonable attorneys' fees and expenses) and liabilities which might reasonably be incurred by it in compliance with such request;</w:t>
      </w:r>
    </w:p>
    <w:p>
      <w:pPr>
        <w:spacing w:after="0" w:line="17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for 30 days after its receipt of such notice, request and provision of such indemnity, has failed to institute any such Proceeding; and</w:t>
      </w:r>
    </w:p>
    <w:p>
      <w:pPr>
        <w:spacing w:after="0" w:line="158" w:lineRule="exact"/>
        <w:rPr>
          <w:rFonts w:ascii="Times New Roman" w:cs="Times New Roman" w:eastAsia="Times New Roman" w:hAnsi="Times New Roman"/>
          <w:sz w:val="22"/>
          <w:szCs w:val="22"/>
          <w:color w:val="auto"/>
        </w:rPr>
      </w:pPr>
    </w:p>
    <w:p>
      <w:pPr>
        <w:jc w:val="both"/>
        <w:ind w:firstLine="1505"/>
        <w:spacing w:after="0" w:line="250" w:lineRule="exact"/>
        <w:tabs>
          <w:tab w:leader="none" w:pos="192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direction inconsistent with such written request has been given to the Collateral Trustee during such 30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day period by a Majority of the Controlling Class; it being understood and intended that no one or more Holders of Secured Debt shall have any right in any manner whatever by virtue of, or by availing itself of, any provision of this Indenture or the Credit Agreements to affect, disturb or prejudice the rights of any other Holders of Debt of the same Class or to obtain or to seek to obtain priority or preference over any other Holders of the Debt of the same Class or to enforce any right under this Indenture or the Credit Agreements, except in the manner herein provided and for the equal and ratable benefit of all the Holders of Debt of the same Class subject to and in accordance with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and the Priority of Payments.</w:t>
      </w:r>
    </w:p>
    <w:p>
      <w:pPr>
        <w:spacing w:after="0" w:line="182"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In the event the Collateral Trustee shall receive conflicting or inconsistent requests and indemnity pursuant to this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from two or more groups of Holders of the Controlling Class, each representing less than a Majority of the Controlling Class, the Collateral Trustee shall act in accordance with the request specified by the group of Holders with the greatest percentage of the Aggregate Outstanding Amount of the Controlling Class, notwithstanding any other provisions of this Indenture or the Credit Agreements. If all such groups represent the same percentage, the Collateral Trustee, in its sole discretion, may determine what action, if any, shall be taken.</w:t>
      </w:r>
    </w:p>
    <w:p>
      <w:pPr>
        <w:spacing w:after="0" w:line="160"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124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84"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 xml:space="preserve">The Issuer shall, so long as any Secured Debt remains Outstanding and for a year and a day thereafter, and subject to the proviso below, timely file an answer and any other appropriate pleading objecting to (i) the institution of any proceeding to have the Issuer adjudicated as bankrupt or insolvent, or (ii) the filing of any petition seeking relief, reorganization, arrangement, adjustment, liquidation, winding up or composition of or in respect of the Issuer under any bankruptcy law or any other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obligations set forth in clauses (i) and (ii) above shall be subject to the availability of funds therefor under the Priority of Payments. The reasonable fees, costs, charges and expenses incurred by the Issuer (including reasonable attorneys' fees and expenses) in connection with taking any such action shall be paid as Administrative Expenses.</w:t>
      </w:r>
    </w:p>
    <w:p>
      <w:pPr>
        <w:spacing w:after="0" w:line="17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5.9 Unconditional Rights of Holders of Secured Debt to Receive Principal and Interest</w:t>
      </w:r>
      <w:r>
        <w:rPr>
          <w:rFonts w:ascii="Times New Roman" w:cs="Times New Roman" w:eastAsia="Times New Roman" w:hAnsi="Times New Roman"/>
          <w:sz w:val="22"/>
          <w:szCs w:val="22"/>
          <w:color w:val="auto"/>
        </w:rPr>
        <w:t xml:space="preserve"> . Subject to </w:t>
      </w:r>
      <w:r>
        <w:rPr>
          <w:rFonts w:ascii="Times New Roman" w:cs="Times New Roman" w:eastAsia="Times New Roman" w:hAnsi="Times New Roman"/>
          <w:sz w:val="22"/>
          <w:szCs w:val="22"/>
          <w:u w:val="single" w:color="auto"/>
          <w:color w:val="auto"/>
        </w:rPr>
        <w:t>Section 2.7(i)</w:t>
      </w:r>
      <w:r>
        <w:rPr>
          <w:rFonts w:ascii="Times New Roman" w:cs="Times New Roman" w:eastAsia="Times New Roman" w:hAnsi="Times New Roman"/>
          <w:sz w:val="22"/>
          <w:szCs w:val="22"/>
          <w:color w:val="auto"/>
        </w:rPr>
        <w:t xml:space="preserve">, but notwithstanding any other provision of this Indenture or the Credit Agreements, any Holder of Secured Debt shall have the right, which is absolute and unconditional, to receive payment of the principal of and interest on such Secured Debt, as such principal, interest and other amounts become due and payable in accordance with the Priority of Payments and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as the case may be, and, subject to the provisions of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to institute proceedings for the enforcement of any such payment, and such right shall not be impaired without the consent of such Holder. Holders of Secured Debt ranking junior to Secured Debt still Outstanding shall have no right to institute Proceedings or to request the Collateral Trustee to institute proceedings for the enforcement of any such payment until such time as no Secured Debt ranking senior to such Secured Debt remains Outstanding, which right shall be subject to the provisions of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and shall not be impaired without the consent of any such Holder.</w:t>
      </w:r>
    </w:p>
    <w:p>
      <w:pPr>
        <w:spacing w:after="0" w:line="179"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5.10 Restoration of Rights and Remedies</w:t>
      </w:r>
      <w:r>
        <w:rPr>
          <w:rFonts w:ascii="Times New Roman" w:cs="Times New Roman" w:eastAsia="Times New Roman" w:hAnsi="Times New Roman"/>
          <w:sz w:val="22"/>
          <w:szCs w:val="22"/>
          <w:color w:val="auto"/>
        </w:rPr>
        <w:t xml:space="preserve"> . If the Collateral Trustee or any Holder has instituted any Proceeding to enforce any right or remedy under this Indenture and such Proceeding has been discontinued or abandoned for any reason, or has been determined adversely to the Collateral Trustee or to such Holder, then and in every such case the Issuer, the Collateral Trustee and the Holder shall, subject to any determination in such Proceeding, be restored severally and respectively to their former positions hereunder, and thereafter all rights and remedies of the Issuer, the Collateral Trustee and the Holder shall continue as though no such Proceeding had been instituted.</w:t>
      </w:r>
    </w:p>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5.11 Rights and Remedies Cumulative</w:t>
      </w:r>
      <w:r>
        <w:rPr>
          <w:rFonts w:ascii="Times New Roman" w:cs="Times New Roman" w:eastAsia="Times New Roman" w:hAnsi="Times New Roman"/>
          <w:sz w:val="22"/>
          <w:szCs w:val="22"/>
          <w:color w:val="auto"/>
        </w:rPr>
        <w:t xml:space="preserve"> . No right or remedy herein conferred upon or reserved to the Collateral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5.12 Delay or Omission Not Waiver</w:t>
      </w:r>
      <w:r>
        <w:rPr>
          <w:rFonts w:ascii="Times New Roman" w:cs="Times New Roman" w:eastAsia="Times New Roman" w:hAnsi="Times New Roman"/>
          <w:sz w:val="22"/>
          <w:szCs w:val="22"/>
          <w:color w:val="auto"/>
        </w:rPr>
        <w:t xml:space="preserve"> . No delay or omission of the Collateral Trustee or any Holder of Secured Debt to exercise any right or remedy accruing upon any Event of Default shall impair any such right or remedy or constitute a waiver of any such Event of Default or an acquiescence therein or of a subsequent Event of Default. Every right and remedy given by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or by law to the Collateral Trustee or to the Holders of Secured</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125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Debt may be exercised from time to time, and as often as may be deemed expedient, by the Collateral Trustee or by the Holders of Secured Debt.</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5.13 Control by Majority of Controlling Class</w:t>
      </w:r>
      <w:r>
        <w:rPr>
          <w:rFonts w:ascii="Times New Roman" w:cs="Times New Roman" w:eastAsia="Times New Roman" w:hAnsi="Times New Roman"/>
          <w:sz w:val="22"/>
          <w:szCs w:val="22"/>
          <w:color w:val="auto"/>
        </w:rPr>
        <w:t xml:space="preserve"> . A Supermajority of the Controlling Class shall have the right following the occurrence, and during the continuance of, an Event of Default to cause the institution of and direct the time, method and place of conducting any Proceeding for any remedy available to the Collateral Trustee or exercising any trust or power conferred upon the Collateral Trustee under this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0" w:lineRule="exact"/>
        <w:rPr>
          <w:sz w:val="20"/>
          <w:szCs w:val="20"/>
          <w:color w:val="auto"/>
        </w:rPr>
      </w:pPr>
    </w:p>
    <w:p>
      <w:pPr>
        <w:ind w:left="1940" w:hanging="435"/>
        <w:spacing w:after="0"/>
        <w:tabs>
          <w:tab w:leader="none" w:pos="194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direction shall not conflict with any rule of law or with any express provision of this Indenture;</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Trustee may take any other action deemed proper by the Collateral Trustee that is not inconsistent with such direction;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the Collateral Trustee need not take any action that it determines might involve it in liability or expense (unless the Collateral Trustee has received the indemnity as set forth in (c) below);</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have been provided with an indemnity reasonably satisfactory to it against all costs, expenses (including reasonable and documented attorney's fees and expenses) and liabilities anticipated to be incurred by it in connection with such request; and</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any direction to the Collateral Trustee to undertake a Sale of the Assets shall be by the Holders of Debt representing the requisite percentage of the Aggregate Outstanding Amount of Debt specified in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5.14 Waiver of Past Defaults</w:t>
      </w:r>
      <w:r>
        <w:rPr>
          <w:rFonts w:ascii="Times New Roman" w:cs="Times New Roman" w:eastAsia="Times New Roman" w:hAnsi="Times New Roman"/>
          <w:sz w:val="22"/>
          <w:szCs w:val="22"/>
          <w:color w:val="auto"/>
        </w:rPr>
        <w:t xml:space="preserve">. Prior to the time a judgment or decree for payment of the Money due has been obtained by the Collateral Trustee, as provided in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a Majority of the Controlling Class may on behalf of the Holders of all Debt waive any past Default or Event of Default and its consequences, except a Default:</w:t>
      </w:r>
    </w:p>
    <w:p>
      <w:pPr>
        <w:spacing w:after="0" w:line="173" w:lineRule="exact"/>
        <w:rPr>
          <w:sz w:val="20"/>
          <w:szCs w:val="20"/>
          <w:color w:val="auto"/>
        </w:rPr>
      </w:pPr>
    </w:p>
    <w:p>
      <w:pPr>
        <w:ind w:right="20" w:firstLine="1505"/>
        <w:spacing w:after="0" w:line="258" w:lineRule="auto"/>
        <w:tabs>
          <w:tab w:leader="none" w:pos="192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payment of the principal of any Secured Debt (which may be waived only with the consent of the Holder of such Secured Debt);</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payment of interest on any Secured Debt (which may be waived only with the consent of the Holder of such Secured Debt);</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respect of a covenant or provision hereof that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cannot be modified or amended without the waiver or consent of each Holder of Outstanding Debt materially and adversely affected thereby (which may be waived only with the consent of each such Holder); or</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respect of a representation contained in </w:t>
      </w:r>
      <w:r>
        <w:rPr>
          <w:rFonts w:ascii="Times New Roman" w:cs="Times New Roman" w:eastAsia="Times New Roman" w:hAnsi="Times New Roman"/>
          <w:sz w:val="22"/>
          <w:szCs w:val="22"/>
          <w:u w:val="single" w:color="auto"/>
          <w:color w:val="auto"/>
        </w:rPr>
        <w:t>Section 7.19</w:t>
      </w:r>
      <w:r>
        <w:rPr>
          <w:rFonts w:ascii="Times New Roman" w:cs="Times New Roman" w:eastAsia="Times New Roman" w:hAnsi="Times New Roman"/>
          <w:sz w:val="22"/>
          <w:szCs w:val="22"/>
          <w:color w:val="auto"/>
        </w:rPr>
        <w:t xml:space="preserve"> (which may be waived only by a Majority of the Controlling Class if the S&amp;P Rating Condition is satisfied).</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In the case of any such waiver, the Issuer, the Collateral Trustee and the Holders of Debt shall be restored to their former positions and rights hereunder, respectively, but no such waiver shall extend to any subsequent or other Default or impair any right consequent thereto. The</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126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Collateral Trustee shall promptly give written notice of any such waiver to each Rating Agency, the Collateral Manager and each Holder. Upon any such waiver, such Default shall cease to exist, and any Event of Default arising therefrom shall be deemed to have been cured, for every purpose of this Indenture.</w:t>
      </w:r>
    </w:p>
    <w:p>
      <w:pPr>
        <w:spacing w:after="0" w:line="17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5.15 Undertaking for Costs</w:t>
      </w:r>
      <w:r>
        <w:rPr>
          <w:rFonts w:ascii="Times New Roman" w:cs="Times New Roman" w:eastAsia="Times New Roman" w:hAnsi="Times New Roman"/>
          <w:sz w:val="22"/>
          <w:szCs w:val="22"/>
          <w:color w:val="auto"/>
        </w:rPr>
        <w:t xml:space="preserve"> . All parties to this Indenture agree, and each Holder by such Holder's acceptance thereof shall be deemed to have agreed, that any court may in its discretion require, in any suit for the enforcement of any right or remedy under this Indenture, or in any suit against the Collateral Trustee for any action taken, or omitted by it as Collateral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5.15</w:t>
      </w:r>
      <w:r>
        <w:rPr>
          <w:rFonts w:ascii="Times New Roman" w:cs="Times New Roman" w:eastAsia="Times New Roman" w:hAnsi="Times New Roman"/>
          <w:sz w:val="22"/>
          <w:szCs w:val="22"/>
          <w:color w:val="auto"/>
        </w:rPr>
        <w:t xml:space="preserve"> shall not apply to any suit instituted by the Collateral Trustee, to any suit instituted by any Holder, or group of Holders, holding in the aggregate more than 10% of the Aggregate Outstanding Amount of the Controlling Class, or to any suit instituted by any Noteholder or Class A-1 Lender for the enforcement of the payment of the principal of or interest on any Debt on or after the applicable Stated Maturity (or, in the case of redemption which has resulted in an Event of Default, on or after the applicable Redemption Date).</w:t>
      </w:r>
    </w:p>
    <w:p>
      <w:pPr>
        <w:spacing w:after="0" w:line="187"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u w:val="single" w:color="auto"/>
          <w:color w:val="auto"/>
        </w:rPr>
        <w:t>Section 5.16 Waiver of Stay or Extension Laws</w:t>
      </w:r>
      <w:r>
        <w:rPr>
          <w:rFonts w:ascii="Times New Roman" w:cs="Times New Roman" w:eastAsia="Times New Roman" w:hAnsi="Times New Roman"/>
          <w:sz w:val="21"/>
          <w:szCs w:val="21"/>
          <w:color w:val="auto"/>
        </w:rPr>
        <w:t xml:space="preserve"> . The Issuer covenants (to the extent that it may lawfully do so) that it will not at any time insist upon, or plead, or in any manner whatsoever claim or take the benefit or advantage of, any stay or extension law or any valuation, appraisement, redemption or marshalling law or rights, in each case wherever enacted, now or at any time hereafter in force, which may affect the covenants set forth in, the performance of, or any remedies under this Indenture; and the Issuer (to the extent that it may lawfully do so) hereby expressly waives all benefit or advantage of any such law or rights, and covenants that it will not hinder, delay or impede the execution of any power herein granted to the Collateral Trustee, but will suffer and permit the execution of every such power as though no such law had been enacted or rights created.</w:t>
      </w:r>
    </w:p>
    <w:p>
      <w:pPr>
        <w:spacing w:after="0" w:line="17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5.17 Sale of Assets</w:t>
      </w:r>
      <w:r>
        <w:rPr>
          <w:rFonts w:ascii="Times New Roman" w:cs="Times New Roman" w:eastAsia="Times New Roman" w:hAnsi="Times New Roman"/>
          <w:sz w:val="22"/>
          <w:szCs w:val="22"/>
          <w:color w:val="auto"/>
        </w:rPr>
        <w:t xml:space="preserve"> . (a) The power to effect any sale (a "</w:t>
      </w:r>
      <w:r>
        <w:rPr>
          <w:rFonts w:ascii="Times New Roman" w:cs="Times New Roman" w:eastAsia="Times New Roman" w:hAnsi="Times New Roman"/>
          <w:sz w:val="22"/>
          <w:szCs w:val="22"/>
          <w:u w:val="single" w:color="auto"/>
          <w:color w:val="auto"/>
        </w:rPr>
        <w:t>Sale</w:t>
      </w:r>
      <w:r>
        <w:rPr>
          <w:rFonts w:ascii="Times New Roman" w:cs="Times New Roman" w:eastAsia="Times New Roman" w:hAnsi="Times New Roman"/>
          <w:sz w:val="22"/>
          <w:szCs w:val="22"/>
          <w:color w:val="auto"/>
        </w:rPr>
        <w:t xml:space="preserve">") of any portion of the Assets pursuant to </w:t>
      </w:r>
      <w:r>
        <w:rPr>
          <w:rFonts w:ascii="Times New Roman" w:cs="Times New Roman" w:eastAsia="Times New Roman" w:hAnsi="Times New Roman"/>
          <w:sz w:val="22"/>
          <w:szCs w:val="22"/>
          <w:u w:val="single" w:color="auto"/>
          <w:color w:val="auto"/>
        </w:rPr>
        <w:t>Sections 5.4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5.5</w:t>
      </w:r>
      <w:r>
        <w:rPr>
          <w:rFonts w:ascii="Times New Roman" w:cs="Times New Roman" w:eastAsia="Times New Roman" w:hAnsi="Times New Roman"/>
          <w:sz w:val="22"/>
          <w:szCs w:val="22"/>
          <w:color w:val="auto"/>
        </w:rPr>
        <w:t xml:space="preserve"> shall not be exhausted by any one or more Sales as to any portion of such Assets remaining unsold, but shall continue unimpaired until the entire Assets shall have been sold or all amounts secured by the Assets shall have been paid. The Collateral Trustee may upon notice to the Holders, and shall, upon direction of a Majority of the Controlling Class, from time to time postpone any Sale by public announcement made at the time and place of such Sale. The Collateral Trustee hereby expressly waives its rights to any amount fixed by law as compensation for any Sale;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Collateral Trustee shall be authorized to deduct the reasonable costs, charges and expenses (including, but not limited to, reasonable costs and expenses of counsel) incurred by it in connection with such Sale from the proceeds thereof notwithstanding the provisions of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or other applicable terms hereof.</w:t>
      </w:r>
    </w:p>
    <w:p>
      <w:pPr>
        <w:spacing w:after="0" w:line="183" w:lineRule="exact"/>
        <w:rPr>
          <w:sz w:val="20"/>
          <w:szCs w:val="20"/>
          <w:color w:val="auto"/>
        </w:rPr>
      </w:pPr>
    </w:p>
    <w:p>
      <w:pPr>
        <w:jc w:val="both"/>
        <w:ind w:firstLine="1505"/>
        <w:spacing w:after="0" w:line="239" w:lineRule="auto"/>
        <w:tabs>
          <w:tab w:leader="none" w:pos="192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may bid for and acquire any portion of the Assets in connection with a public Sale thereof, and may pay all or part of the purchase price by crediting against amounts owing on the Secured Debt in the case of the Assets or other amounts secured by the Assets, all or part of the net proceeds of such Sale after deducting the reasonable costs, charges</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127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8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and expenses (including, but not limited to, reasonable costs and expenses of counsel) incurred by the Collateral Trustee in connection with such Sale notwithstanding the provisions of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hereof or other applicable terms hereof. The Notes need not be produced in order to complete any such Sale, or in order for the net proceeds of such Sale to be credited against amounts owing on the Secured Debt. The Collateral Trustee may hold, lease, operate, manage or otherwise deal with any property so acquired in any manner permitted by law in accordance with this Indenture.</w:t>
      </w:r>
    </w:p>
    <w:p>
      <w:pPr>
        <w:spacing w:after="0" w:line="177" w:lineRule="exact"/>
        <w:rPr>
          <w:sz w:val="20"/>
          <w:szCs w:val="20"/>
          <w:color w:val="auto"/>
        </w:rPr>
      </w:pPr>
    </w:p>
    <w:p>
      <w:pPr>
        <w:jc w:val="both"/>
        <w:ind w:firstLine="1505"/>
        <w:spacing w:after="0" w:line="238" w:lineRule="auto"/>
        <w:tabs>
          <w:tab w:leader="none" w:pos="1929"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portion of the Assets consists of securities issued without registration under the Securities Act ("</w:t>
      </w:r>
      <w:r>
        <w:rPr>
          <w:rFonts w:ascii="Times New Roman" w:cs="Times New Roman" w:eastAsia="Times New Roman" w:hAnsi="Times New Roman"/>
          <w:sz w:val="22"/>
          <w:szCs w:val="22"/>
          <w:u w:val="single" w:color="auto"/>
          <w:color w:val="auto"/>
        </w:rPr>
        <w:t>Unregistered Securities</w:t>
      </w:r>
      <w:r>
        <w:rPr>
          <w:rFonts w:ascii="Times New Roman" w:cs="Times New Roman" w:eastAsia="Times New Roman" w:hAnsi="Times New Roman"/>
          <w:sz w:val="22"/>
          <w:szCs w:val="22"/>
          <w:color w:val="auto"/>
        </w:rPr>
        <w:t>"), the Collateral Trustee may seek an Opinion of Counsel, or, if no such Opinion of Counsel can be obtained and with the consent of a Majority of the Controlling Class, seek a no action position from the Securities and Exchange Commission or any other relevant federal or State regulatory authorities, regarding the legality of a public or private Sale of such Unregistered Securities.</w:t>
      </w:r>
    </w:p>
    <w:p>
      <w:pPr>
        <w:spacing w:after="0" w:line="176"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execute and deliver an appropriate instrument of conveyance transferring its interest in any portion of the Assets in connection with a Sale thereof, without recourse, representation or warranty express or implied. In addition, the Collateral Trustee is hereby irrevocably appointed the agent and attorney in fact of the Issuer to transfer and convey its interest in any portion of the Assets in connection with a Sale thereof, and to take all action necessary to effect such Sale. No purchaser or transferee at such a sale shall be bound to ascertain the Collateral Trustee's authority, to inquire into the satisfaction of any conditions precedent or see to the application of any Monies.</w:t>
      </w:r>
    </w:p>
    <w:p>
      <w:pPr>
        <w:spacing w:after="0" w:line="18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5.18 Action on the Notes</w:t>
      </w:r>
      <w:r>
        <w:rPr>
          <w:rFonts w:ascii="Times New Roman" w:cs="Times New Roman" w:eastAsia="Times New Roman" w:hAnsi="Times New Roman"/>
          <w:sz w:val="22"/>
          <w:szCs w:val="22"/>
          <w:color w:val="auto"/>
        </w:rPr>
        <w:t>. The Collateral Trustee's right to seek and recover judgment on the Debt or under this Indenture or the Credit Agreements shall not be affected by the seeking or obtaining of or application for any other relief under or with respect to this Indenture or the Credit Agreements. Neither the lien of this Indenture nor any rights or remedies of the Collateral Trustee or the Holders shall be impaired by the recovery of any judgment by the Collateral Trustee against the Issuer or by the levy of any execution under such judgment upon any portion of the Assets or upon any of the assets of the Issuer.</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THE COLLATERAL TRUSTEE</w:t>
      </w:r>
    </w:p>
    <w:p>
      <w:pPr>
        <w:spacing w:after="0" w:line="21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6.1 Certain Duties and Responsibilities</w:t>
      </w:r>
      <w:r>
        <w:rPr>
          <w:rFonts w:ascii="Times New Roman" w:cs="Times New Roman" w:eastAsia="Times New Roman" w:hAnsi="Times New Roman"/>
          <w:sz w:val="22"/>
          <w:szCs w:val="22"/>
          <w:color w:val="auto"/>
        </w:rPr>
        <w:t xml:space="preserve"> . (a) Except during the continuance of an Event of Default actually known to the Collateral Trustee:</w:t>
      </w:r>
    </w:p>
    <w:p>
      <w:pPr>
        <w:spacing w:after="0" w:line="158" w:lineRule="exact"/>
        <w:rPr>
          <w:sz w:val="20"/>
          <w:szCs w:val="20"/>
          <w:color w:val="auto"/>
        </w:rPr>
      </w:pPr>
    </w:p>
    <w:p>
      <w:pPr>
        <w:jc w:val="both"/>
        <w:ind w:left="760" w:right="40" w:firstLine="1015"/>
        <w:spacing w:after="0" w:line="282" w:lineRule="auto"/>
        <w:tabs>
          <w:tab w:leader="none" w:pos="221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Trustee undertakes to perform such duties and only such duties as are specifically set forth herein, and no implied covenants or obligations shall be read into this Indenture against the Collateral Trustee; and</w:t>
      </w:r>
    </w:p>
    <w:p>
      <w:pPr>
        <w:spacing w:after="0" w:line="134" w:lineRule="exact"/>
        <w:rPr>
          <w:rFonts w:ascii="Times New Roman" w:cs="Times New Roman" w:eastAsia="Times New Roman" w:hAnsi="Times New Roman"/>
          <w:sz w:val="21"/>
          <w:szCs w:val="21"/>
          <w:color w:val="auto"/>
        </w:rPr>
      </w:pPr>
    </w:p>
    <w:p>
      <w:pPr>
        <w:jc w:val="both"/>
        <w:ind w:left="760" w:firstLine="1015"/>
        <w:spacing w:after="0" w:line="239" w:lineRule="auto"/>
        <w:tabs>
          <w:tab w:leader="none" w:pos="221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absence of bad faith on its part, the Collateral Trustee may conclusively rely, as to the truth of the statements and the correctness of the opinions expressed therein, upon certificates or opinions furnished to the Collateral Trustee and conforming to the requirements of this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such certificates or opinions which by any provision hereof are specifically required to be</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128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84" w:lineRule="exact"/>
        <w:rPr>
          <w:sz w:val="20"/>
          <w:szCs w:val="20"/>
          <w:color w:val="auto"/>
        </w:rPr>
      </w:pPr>
    </w:p>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furnished to the Collateral Trustee, the Collateral Trustee shall be under a duty to examine the same to determine whether or not they substantially conform on their face to the requirements of this Indenture and shall promptly, but in any event within three Business Days in the case of an Officer's certificate furnished by the Collateral Manager, notify the party delivering the same if such certificate or opinion does not conform. If a corrected form shall not have been delivered to the Collateral Trustee within 15 days after such notice from the Collateral Trustee, the Collateral Trustee shall so notify the Noteholders and the Loan Agent.</w:t>
      </w:r>
    </w:p>
    <w:p>
      <w:pPr>
        <w:spacing w:after="0" w:line="181" w:lineRule="exact"/>
        <w:rPr>
          <w:sz w:val="20"/>
          <w:szCs w:val="20"/>
          <w:color w:val="auto"/>
        </w:rPr>
      </w:pPr>
    </w:p>
    <w:p>
      <w:pPr>
        <w:jc w:val="both"/>
        <w:ind w:right="20" w:firstLine="1505"/>
        <w:spacing w:after="0" w:line="238" w:lineRule="auto"/>
        <w:tabs>
          <w:tab w:leader="none" w:pos="192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an Event of Default actually known to the Collateral Trustee has occurred and is continuing, the Collateral Trustee shall, prior to the receipt of direction, if any, of a Majority of the Controlling Class, or such lesser percentage or other Class as permitted by this Indenture, exercise such of the rights and powers vested in it by this Indenture as so directed, but subject to the provisions of this Indenture, and use the same degree of care and skill in its exercise, as a prudent person would exercise or use under the circumstances in the conduct of such person’s own affairs.</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Indenture or any other Transaction Documents shall be construed to relieve the Collateral Trustee from liability for its own negligent action, its own negligent failure to act, or its own willful misconduct, except that:</w:t>
      </w:r>
    </w:p>
    <w:p>
      <w:pPr>
        <w:spacing w:after="0" w:line="173"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subsection shall not be construed to limit the effect of subsection (a) of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760" w:firstLine="1015"/>
        <w:spacing w:after="0" w:line="258" w:lineRule="auto"/>
        <w:tabs>
          <w:tab w:leader="none" w:pos="221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not be liable for any action taken or error of judgment made in good faith by a Trust Officer, unless it shall be proven that the Collateral Trustee was negligent in ascertaining the pertinent facts;</w:t>
      </w:r>
    </w:p>
    <w:p>
      <w:pPr>
        <w:spacing w:after="0" w:line="158" w:lineRule="exact"/>
        <w:rPr>
          <w:rFonts w:ascii="Times New Roman" w:cs="Times New Roman" w:eastAsia="Times New Roman" w:hAnsi="Times New Roman"/>
          <w:sz w:val="22"/>
          <w:szCs w:val="22"/>
          <w:color w:val="auto"/>
        </w:rPr>
      </w:pPr>
    </w:p>
    <w:p>
      <w:pPr>
        <w:jc w:val="both"/>
        <w:ind w:left="760" w:firstLine="1015"/>
        <w:spacing w:after="0" w:line="236" w:lineRule="auto"/>
        <w:tabs>
          <w:tab w:leader="none" w:pos="221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not be liable with respect to any action taken or omitted to be taken by it in good faith in accordance with the direction of the Issuer or the Collateral Manager in accordance with this Indenture and/or a Majority (or such other percentage as may be required by the terms hereof) of the Controlling Class (or other Class if required or permitted by the terms hereof), relating to the time, method and place of conducting any Proceeding for any remedy available to the Collateral Trustee, or exercising any trust or power conferred upon the Collateral Trustee, under this Indenture;</w:t>
      </w:r>
    </w:p>
    <w:p>
      <w:pPr>
        <w:spacing w:after="0" w:line="181" w:lineRule="exact"/>
        <w:rPr>
          <w:rFonts w:ascii="Times New Roman" w:cs="Times New Roman" w:eastAsia="Times New Roman" w:hAnsi="Times New Roman"/>
          <w:sz w:val="22"/>
          <w:szCs w:val="22"/>
          <w:color w:val="auto"/>
        </w:rPr>
      </w:pPr>
    </w:p>
    <w:p>
      <w:pPr>
        <w:jc w:val="both"/>
        <w:ind w:left="760" w:firstLine="1015"/>
        <w:spacing w:after="0" w:line="236" w:lineRule="auto"/>
        <w:tabs>
          <w:tab w:leader="none" w:pos="221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Indenture shall require the Collateral Trustee to expend or risk its own funds or otherwise incur any financial or other liability in the performance of any of its duties hereunder, or in the exercise of any of its rights or powers contemplated hereunder, if it shall have reasonable grounds for believing that repayment of such funds or adequate indemnity satisfactory to it against such risk or liability is not reasonably assured to it unless such risk or liability relates to the performance of its ordinary services, including providing of notices under this Indenture, if applicable; and</w:t>
      </w:r>
    </w:p>
    <w:p>
      <w:pPr>
        <w:spacing w:after="0" w:line="181" w:lineRule="exact"/>
        <w:rPr>
          <w:rFonts w:ascii="Times New Roman" w:cs="Times New Roman" w:eastAsia="Times New Roman" w:hAnsi="Times New Roman"/>
          <w:sz w:val="22"/>
          <w:szCs w:val="22"/>
          <w:color w:val="auto"/>
        </w:rPr>
      </w:pPr>
    </w:p>
    <w:p>
      <w:pPr>
        <w:ind w:left="760" w:right="80" w:firstLine="1015"/>
        <w:spacing w:after="0" w:line="258" w:lineRule="auto"/>
        <w:tabs>
          <w:tab w:leader="none" w:pos="221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Collateral Trustee be liable for special, indirect, punitive, incidental or consequential loss or damage (including but not limited to</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129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84"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diminution in value or lost profits) even if the Collateral Trustee has been advised of the likelihood of such losses or damages and regardless of such action.</w:t>
      </w:r>
    </w:p>
    <w:p>
      <w:pPr>
        <w:spacing w:after="0" w:line="158" w:lineRule="exact"/>
        <w:rPr>
          <w:sz w:val="20"/>
          <w:szCs w:val="20"/>
          <w:color w:val="auto"/>
        </w:rPr>
      </w:pPr>
    </w:p>
    <w:p>
      <w:pPr>
        <w:jc w:val="both"/>
        <w:ind w:firstLine="1505"/>
        <w:spacing w:after="0" w:line="235" w:lineRule="auto"/>
        <w:tabs>
          <w:tab w:leader="none" w:pos="192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all purposes under this Indenture, the Collateral Trustee shall not be deemed to have notice or knowledge of any Default or Event of Default described in </w:t>
      </w:r>
      <w:r>
        <w:rPr>
          <w:rFonts w:ascii="Times New Roman" w:cs="Times New Roman" w:eastAsia="Times New Roman" w:hAnsi="Times New Roman"/>
          <w:sz w:val="22"/>
          <w:szCs w:val="22"/>
          <w:u w:val="single" w:color="auto"/>
          <w:color w:val="auto"/>
        </w:rPr>
        <w:t>Sections 5.1(c)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unless a Trust Officer assigned to and working in the Corporate Trust Office has actual knowledge thereof or unless written notice of any event which is in fact such an Event of Default or Default is received by the Collateral Trustee at the Corporate Trust Office, and such notice references the Notes generally, the Issuer or this Indenture. For purposes of determining the Collateral Trustee's responsibility and liability hereunder, whenever reference is made herein to such an Event of Default or a Default, such reference shall be construed to refer only to such an Event of Default or Default of which a Trust Officer of the Collateral Trustee is deemed to have notice as described in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Collateral Trustee receiving written notice from the Collateral Manager that an event constituting "Cause" as defined in the Collateral Management Agreement has occurred, the Collateral Trustee shall, not later than three Business Days thereafter, forward such notice to the Holders (as their names appear on the Note Register or the Loan Register, as applicable).</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Whether or not therein expressly so provided, every provision of this Indenture relating to the conduct or affecting the liability of or affording protection to the Collateral Trustee shall be subject to the provisions of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505"/>
        <w:spacing w:after="0" w:line="249" w:lineRule="auto"/>
        <w:tabs>
          <w:tab w:leader="none" w:pos="1929"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its other obligations set forth herein, the Collateral Trustee shall provide any information actually in its possession and readily available to it by reason of acting as Collateral Trustee hereunder to the Collateral Manager related to the Assets or the Debt, promptly after the Collateral Manager's reasonable request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Collateral Trustee shall not be obligated to provide any information that it may be restricted from doing so by legal, regulatory or contractual reasons, or attorney-client privilege, or that may only be available to the Collateral Trustee at undue burden or expense. The Collateral Trustee shall have no liability for such disclosure or, subject to its duties herein, the accuracy thereof.</w:t>
      </w:r>
    </w:p>
    <w:p>
      <w:pPr>
        <w:spacing w:after="0" w:line="170" w:lineRule="exact"/>
        <w:rPr>
          <w:rFonts w:ascii="Times New Roman" w:cs="Times New Roman" w:eastAsia="Times New Roman" w:hAnsi="Times New Roman"/>
          <w:sz w:val="21"/>
          <w:szCs w:val="21"/>
          <w:color w:val="auto"/>
        </w:rPr>
      </w:pPr>
    </w:p>
    <w:p>
      <w:pPr>
        <w:jc w:val="both"/>
        <w:ind w:firstLine="1505"/>
        <w:spacing w:after="0" w:line="238" w:lineRule="auto"/>
        <w:tabs>
          <w:tab w:leader="none" w:pos="192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comply with the USA PATRIOT Act, including Section 326 thereof, the Collateral Trustee is required to obtain, verify, record and update certain information relating to individuals and entities which maintain a business relationship with the Collateral Trustee. Accordingly, the Issuer and each of the parties to the other Transaction Documents agree to provide to the Collateral Trustee upon its request from time to time such identifying information and documentation as may be available for such party in order to enable the Collateral Trustee to comply with the USA PATRIOT Act.</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Trustee shall permit any representative of a Holder, during the Collateral Trustee's normal business hours, to examine all books of account, records, reports and other papers of the Collateral Trustee (other than items protected by attorney-client privilege or information contained in documents received from Independent accountants subject to restrictions on disclosure pursuant to an engagement letter entered into in accordance with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relating to the Debt, to make copies and extracts therefrom (the reasonable out-of-pocket</w:t>
      </w:r>
    </w:p>
    <w:p>
      <w:pPr>
        <w:spacing w:after="0" w:line="15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130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expenses incurred in making any such copies or extracts to be reimbursed to the Collateral Trustee by such Holder) and to discuss the Collateral Trustee's actions, as such actions relate to the Collateral Trustee's duties with respect to the Secured Debt, with the Collateral Trustee's Officers and employees responsible for carrying out the Collateral Trustee's duties with respect to the Debt. The Collateral Trustee shall have no liability for such disclosure or, subject to its duties herein, the accuracy thereof.</w:t>
      </w:r>
    </w:p>
    <w:p>
      <w:pPr>
        <w:spacing w:after="0" w:line="162" w:lineRule="exact"/>
        <w:rPr>
          <w:sz w:val="20"/>
          <w:szCs w:val="20"/>
          <w:color w:val="auto"/>
        </w:rPr>
      </w:pPr>
    </w:p>
    <w:p>
      <w:pPr>
        <w:jc w:val="both"/>
        <w:ind w:firstLine="1505"/>
        <w:spacing w:after="0" w:line="239" w:lineRule="auto"/>
        <w:tabs>
          <w:tab w:leader="none" w:pos="192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Trustee shall, upon reasonable request, provide the Issuer (and any applicable intermediary or agent thereof) with the identity of any Holder listed in the Note Register or the Loan Register;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Collateral Trustee shall not be obligated to provide any information that it may be restricted from doing so by legal, regulatory or contractual reasons, or attorney-client privilege.</w:t>
      </w:r>
    </w:p>
    <w:p>
      <w:pPr>
        <w:spacing w:after="0" w:line="180" w:lineRule="exact"/>
        <w:rPr>
          <w:rFonts w:ascii="Times New Roman" w:cs="Times New Roman" w:eastAsia="Times New Roman" w:hAnsi="Times New Roman"/>
          <w:sz w:val="22"/>
          <w:szCs w:val="22"/>
          <w:color w:val="auto"/>
        </w:rPr>
      </w:pPr>
    </w:p>
    <w:p>
      <w:pPr>
        <w:ind w:firstLine="1505"/>
        <w:spacing w:after="0" w:line="282" w:lineRule="auto"/>
        <w:tabs>
          <w:tab w:leader="none" w:pos="1929"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Trustee is hereby authorized and directed to execute and deliver the Credit Agreements and in connection therewith shall enjoy all the rights, benefits, protections, immunities and indemnities provided to it hereunder.</w:t>
      </w:r>
    </w:p>
    <w:p>
      <w:pPr>
        <w:spacing w:after="0" w:line="134" w:lineRule="exact"/>
        <w:rPr>
          <w:rFonts w:ascii="Times New Roman" w:cs="Times New Roman" w:eastAsia="Times New Roman" w:hAnsi="Times New Roman"/>
          <w:sz w:val="21"/>
          <w:szCs w:val="21"/>
          <w:color w:val="auto"/>
        </w:rPr>
      </w:pPr>
    </w:p>
    <w:p>
      <w:pPr>
        <w:ind w:firstLine="1505"/>
        <w:spacing w:after="0" w:line="258" w:lineRule="auto"/>
        <w:tabs>
          <w:tab w:leader="none" w:pos="192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is authorized, at the request of the Issuer (or the Collateral Manager on its behalf) to accept directions or otherwise enter into agreements regarding the remittance of fees owing to the Collateral Manager.</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6.2 Notice of Event of Default by the Collateral Trustee.</w:t>
      </w:r>
      <w:r>
        <w:rPr>
          <w:rFonts w:ascii="Times New Roman" w:cs="Times New Roman" w:eastAsia="Times New Roman" w:hAnsi="Times New Roman"/>
          <w:sz w:val="22"/>
          <w:szCs w:val="22"/>
          <w:color w:val="auto"/>
        </w:rPr>
        <w:t xml:space="preserve"> Promptly (and in no event later than three Business Days) after the occurrence of any Event of Default actually known to a Trust Officer of the Collateral Trustee or after any declaration of acceleration has been made or delivered to the Collateral Trustee pursuant to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the Collateral Trustee shall give notice to the Issuer, the Holders (as their names appear on the Note Register or the Loan Register, as applicable), the Collateral Manager, each Rating Agency and each Paying Agent of all Events of Defaults hereunder actually known to the Trust Officer of the Collateral Trustee, unless such Event of Default shall have been cured or waived.</w:t>
      </w:r>
    </w:p>
    <w:p>
      <w:pPr>
        <w:spacing w:after="0" w:line="181"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6.3</w:t>
      </w:r>
      <w:r>
        <w:rPr>
          <w:sz w:val="20"/>
          <w:szCs w:val="20"/>
          <w:color w:val="auto"/>
        </w:rPr>
        <w:tab/>
      </w:r>
      <w:r>
        <w:rPr>
          <w:rFonts w:ascii="Times New Roman" w:cs="Times New Roman" w:eastAsia="Times New Roman" w:hAnsi="Times New Roman"/>
          <w:sz w:val="21"/>
          <w:szCs w:val="21"/>
          <w:u w:val="single" w:color="auto"/>
          <w:color w:val="auto"/>
        </w:rPr>
        <w:t>Certain Rights of Collateral Trustee</w:t>
      </w:r>
      <w:r>
        <w:rPr>
          <w:rFonts w:ascii="Times New Roman" w:cs="Times New Roman" w:eastAsia="Times New Roman" w:hAnsi="Times New Roman"/>
          <w:sz w:val="21"/>
          <w:szCs w:val="21"/>
          <w:color w:val="auto"/>
        </w:rPr>
        <w:t>. Except as otherwise provided in</w:t>
      </w:r>
      <w:r>
        <w:rPr>
          <w:rFonts w:ascii="Times New Roman" w:cs="Times New Roman" w:eastAsia="Times New Roman" w:hAnsi="Times New Roman"/>
          <w:sz w:val="21"/>
          <w:szCs w:val="21"/>
          <w:u w:val="single" w:color="auto"/>
          <w:color w:val="auto"/>
        </w:rPr>
        <w:t xml:space="preserve"> Section 6.1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4" w:lineRule="auto"/>
        <w:tabs>
          <w:tab w:leader="none" w:pos="192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may conclusively rely and shall be fully protected in acting or refraining from acting upon any resolution, certificate, statement, instrument, opinion, report, notice, request, direction, consent, order, bond, debenture, note or other evidence of indebtedness, judgement, electronic communication or other paper or document believed by it to be genuine and to have been signed or presented by the proper party or parties not only as to due execution, validity and effectiveness, but also as to the truth and accuracy of any information contained therein. Any electronically signed document delivered via email from a person purporting to be a Responsible Officer of any Person shall be considered signed or executed by such Responsible Officer on behalf of the applicable Person. The Collateral Trustee shall have no duty to inquire into or investigate the authenticity or authorization of any such electronic signature and shall be entitled to conclusively rely on any such electronic signature without any liability with respect thereto;</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131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84" w:lineRule="exact"/>
        <w:rPr>
          <w:sz w:val="20"/>
          <w:szCs w:val="20"/>
          <w:color w:val="auto"/>
        </w:rPr>
      </w:pPr>
    </w:p>
    <w:p>
      <w:pPr>
        <w:ind w:firstLine="1505"/>
        <w:spacing w:after="0" w:line="258" w:lineRule="auto"/>
        <w:tabs>
          <w:tab w:leader="none" w:pos="192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request or direction of the Issuer mentioned herein shall be sufficiently evidenced by an Issuer Request or Issuer Order, as the case may be;</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in the administration of this Indenture the Collateral Trustee shall (i) deem it desirable that a matter be proved or established prior to taking, suffering or omitting any action hereunder, the Collateral Trustee (unless other evidence be herein specifically prescribed) may, in the absence of bad faith on its part, request and rely upon an Officer's certificate or Issuer Order or Opinion of Counsel or (ii) be required to determine the value of any Assets or funds hereunder or the cash flows projected to be received therefrom, the Collateral Trustee may, in the absence of bad faith on its part, rely on reports of nationally recognized accountants, investment bankers or other Persons qualified to provide the information required to make such determination, including nationally recognized dealers in assets of the type being valued, securities quotation services, loan pricing services and loan valuation agents;</w:t>
      </w:r>
    </w:p>
    <w:p>
      <w:pPr>
        <w:spacing w:after="0" w:line="17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condition to the taking or omitting of any action by it hereunder, the Collateral Trustee may consult with counsel and the advice of such counsel or any Opinion of Counsel shall be full and complete authorization and protection in respect of any action taken or omitted by it hereunder in good faith and in reliance thereon;</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be under no obligation to exercise or to honor any of the rights or powers vested in it by this Indenture at the request or direction of any of the Holders pursuant to this Indenture, unless such Holders shall have provided to the Collateral Trustee security or indemnity reasonably satisfactory to it against the costs, expenses (including reasonable fees and expenses of agents, experts and attorneys) and liabilities which might reasonably be incurred by it in compliance with such request or direction;</w:t>
      </w:r>
    </w:p>
    <w:p>
      <w:pPr>
        <w:spacing w:after="0" w:line="176"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Trustee shall not be bound to make any investigation into the facts or matters stated in any resolution, certificate, statement, instrument, opinion, report (including any Accountants' Certificate), notice, request, direction, consent, order, note, electronic communication or other paper or document, but the Collateral Trustee, in its discretion, may, and upon the written direction of a Majority of the Controlling Class or of a Rating Agency shall (subject to the right hereunder to be reasonably satisfactorily indemnified for associated expense (including the reasonable fees and expenses of agents, experts and counsel) and liability), make such further inquiry or investigation into such facts or matters as it may see fit or as it shall be directed, and the Collateral Trustee shall be entitled, on reasonable prior notice to the Issuer and the Collateral Manager, to examine the books and records relating to the Notes and the Assets, personally or by agent or attorney, during the Issuer's or the Collateral Manager's normal business hours;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Collateral Trustee shall, and shall cause its agents to, hold in confidence all such information, except (i) to the extent disclosure may be required by law by any regulatory, administrative or Governmental Authority, (ii) as otherwise required pursuant to this Indenture and (iii) to the extent that the Collateral Trustee, in its sole discretion, may determine that such disclosure is consistent with its obligations hereunder;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Collateral Trustee may disclose on a confidential basis any such information to its agents, attorneys and auditors in connection with the performance of its responsibilities hereunder;</w:t>
      </w:r>
    </w:p>
    <w:p>
      <w:pPr>
        <w:spacing w:after="0" w:line="179"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Trustee may execute any of the trusts or powers hereunder or perform any duties hereunder either directly or by or through agents or attorneys;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132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Collateral Trustee shall not be responsible for any acts or omission on the part of any agent or attorney appointed, with due care by it hereunder;</w:t>
      </w:r>
    </w:p>
    <w:p>
      <w:pPr>
        <w:spacing w:after="0" w:line="158" w:lineRule="exact"/>
        <w:rPr>
          <w:sz w:val="20"/>
          <w:szCs w:val="20"/>
          <w:color w:val="auto"/>
        </w:rPr>
      </w:pPr>
    </w:p>
    <w:p>
      <w:pPr>
        <w:jc w:val="both"/>
        <w:ind w:firstLine="1505"/>
        <w:spacing w:after="0" w:line="244" w:lineRule="auto"/>
        <w:tabs>
          <w:tab w:leader="none" w:pos="192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not be liable for any action it takes or omits to take in good faith that it reasonably believes to be authorized or within its rights or powers hereunder, including actions or omissions to act at the direction of the Collateral Manager;</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be construed to impose an obligation on the part of the Collateral Trustee to monitor, recalculate, evaluate or verify or independently determine the accuracy of any report, certificate or information received from the Issuer, the Collateral Manager, the Transferor or any other Person (unless and except to the extent otherwise expressly set forth herein);</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defined term hereunder, or any calculation required to be made or determined by the Collateral Trustee hereunder, is dependent upon or defined by reference to generally accepted accounting principles (as in effect in the United States) ("</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the Collateral Trustee shall be entitled to request and receive (and conclusively rely upon) instruction from the Issuer or the accountants identified in the Accountants' Certificate (and in the absence of its receipt of timely instruction therefrom, shall be entitled to obtain from an Independent accountant at the expense of the Issuer) as to the application of GAAP in such connection, in any instance;</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Trustee shall not be liable for the actions or omissions of, or any inaccuracies in the records of, the Collateral Manager, the Transferor, the Issuer, any Paying Agent (other than the Collateral Trustee), DTC, Euroclear, Clearstream, or any other clearing agency or depository and without limiting the foregoing, the Collateral Trustee shall not be under any obligation to monitor, evaluate or verify compliance by the Issuer or the Collateral Manager with the terms hereof, of the Collateral Management Agreement or any other Transaction Document to which any of them are a party, or by the Transferor with the terms hereof or the Master Loan Sale Agreement, or to verify or independently determine the accuracy of information received by the Collateral Trustee from the Collateral Manager (or from any selling institution, agent bank, Collateral Trustee or similar source), the Transferor or any other Person with respect to the Assets ,‎and shall be entitled to rely conclusively upon any</w:t>
      </w:r>
    </w:p>
    <w:p>
      <w:pPr>
        <w:spacing w:after="0" w:line="3" w:lineRule="exact"/>
        <w:rPr>
          <w:rFonts w:ascii="Times New Roman" w:cs="Times New Roman" w:eastAsia="Times New Roman" w:hAnsi="Times New Roman"/>
          <w:sz w:val="21"/>
          <w:szCs w:val="21"/>
          <w:color w:val="auto"/>
        </w:rPr>
      </w:pPr>
    </w:p>
    <w:p>
      <w:pPr>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determination made and any instruction, notice,‎ officer certificate or other instrument or information provided by the Collateral</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Manager without‎ independent verification, investigation or inquiry of any kind by the Collateral Trustee‎;</w:t>
      </w:r>
    </w:p>
    <w:p>
      <w:pPr>
        <w:spacing w:after="0" w:line="182" w:lineRule="exact"/>
        <w:rPr>
          <w:rFonts w:ascii="Times New Roman" w:cs="Times New Roman" w:eastAsia="Times New Roman" w:hAnsi="Times New Roman"/>
          <w:sz w:val="21"/>
          <w:szCs w:val="21"/>
          <w:color w:val="auto"/>
        </w:rPr>
      </w:pPr>
    </w:p>
    <w:p>
      <w:pPr>
        <w:jc w:val="both"/>
        <w:ind w:firstLine="1505"/>
        <w:spacing w:after="0" w:line="235" w:lineRule="auto"/>
        <w:tabs>
          <w:tab w:leader="none" w:pos="192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term hereof (or any term of the UCC that might otherwise be construed to be applicable to a "securities intermediary" as defined in the UCC) to the contrary, none of the Collateral Trustee, the Custodian or the Securities Intermediary shall be under a duty or obligation in connection with the acquisition or Grant by the Issuer to the Collateral Trustee of any item constituting the Assets, or to evaluate the sufficiency of the documents or instruments delivered to it by or on behalf of the Issuer in connection with its Grant or otherwise, or in that regard to examine any Underlying Document, in each case, in order to determine compliance with applicable requirements of and restrictions on transfer in respect of such Assets;</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133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84" w:lineRule="exact"/>
        <w:rPr>
          <w:sz w:val="20"/>
          <w:szCs w:val="20"/>
          <w:color w:val="auto"/>
        </w:rPr>
      </w:pPr>
    </w:p>
    <w:p>
      <w:pPr>
        <w:jc w:val="both"/>
        <w:ind w:firstLine="1505"/>
        <w:spacing w:after="0" w:line="234" w:lineRule="auto"/>
        <w:tabs>
          <w:tab w:leader="none" w:pos="192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the Bank is acting in the capacity of Paying Agent, Note Registrar, Transfer Agent, Authenticating Agent, Custodian, Calculation Agent, Loan Agent, Collateral Administrator or Securities Intermediary, the rights, protections, benefits, immunities and indemnities afforded to the Collateral Trustee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also be afforded to the Bank acting in such capacities;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rights, protections, benefits, immunities and indemnities shall be in addition to any rights, immunities and indemnities provided in the Securities Account Control Agreement, the Collateral Administration Agreement or any other documents to which the Bank in such capacity is a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foregoing shall not be construed to impose upon the Paying Agent, Note Registrar, Transfer Agent, Authenticating Agent, Custodian, Calculation Agent, Loan Agent, Collateral Administrator or Securities Intermediary any of the duties or standards of care (including, without limitation, any duties of a prudent person, if any) of the Collateral Trustee;</w:t>
      </w:r>
    </w:p>
    <w:p>
      <w:pPr>
        <w:spacing w:after="0" w:line="183"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permissive right of the Collateral Trustee to take or refrain from taking actions enumerated herein shall not be construed as a duty;</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prohibited by applicable law, the Collateral Trustee shall not be required to give any bond or surety in respect of the execution of this Indenture or otherwise;</w:t>
      </w:r>
    </w:p>
    <w:p>
      <w:pPr>
        <w:spacing w:after="0" w:line="158"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not be deemed to have notice or knowledge of any matter unless a Trust Officer has actual knowledge thereof or unless written notice thereof is received by the Collateral Trustee at the Corporate Trust Office and such notice references the Notes generally, the Issuer or this Indenture. Whenever reference is made herein to a Default or an Event of Default such reference shall, insofar as determining any liability on the part of the Collateral Trustee is concerned, be construed to refer only to a Default or an Event of Default of which the Collateral Trustee is deemed to have knowledge in accordance with this paragraph;</w:t>
      </w:r>
    </w:p>
    <w:p>
      <w:pPr>
        <w:spacing w:after="0" w:line="181"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not be responsible for delays or failures in performance resulting acts or from circumstances beyond its control (such circumstances include but are not limited to acts of God, strikes, lockouts, riots, acts of war, interruptions, loss or malfunctions of utilities, computer (hardware or software), any act or provision of any present or future law or regulation or governmental authority; earthquakes; fires; floods; terrorism; civil or military disturbances; sabotage; epidemics; accidents; labor disputes; acts of civil or military authority or governmental actions; or the unavailability of the Federal Reserve Bank wire or telex or other wire or communication facility);</w:t>
      </w:r>
    </w:p>
    <w:p>
      <w:pPr>
        <w:spacing w:after="0" w:line="181"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help fight the funding of terrorism and money laundering activities, the Collateral Trustee shall request, verify and record information that identifies individuals or entities that establish a relationship or open an account with the Collateral Trustee. The Collateral Trustee shall ask for the name, address, tax identification number and other information that will allow the Collateral Trustee to identify the individual or entity who is establishing the relationship or opening the account. The Collateral Trustee may also ask for formation documents such as organizational documents, an offering memorandum, or other identifying documents to be provided by the Issuer;</w:t>
      </w:r>
    </w:p>
    <w:p>
      <w:pPr>
        <w:spacing w:after="0" w:line="181" w:lineRule="exact"/>
        <w:rPr>
          <w:rFonts w:ascii="Times New Roman" w:cs="Times New Roman" w:eastAsia="Times New Roman" w:hAnsi="Times New Roman"/>
          <w:sz w:val="22"/>
          <w:szCs w:val="22"/>
          <w:color w:val="auto"/>
        </w:rPr>
      </w:pPr>
    </w:p>
    <w:p>
      <w:pPr>
        <w:ind w:right="60" w:firstLine="1505"/>
        <w:spacing w:after="0" w:line="258" w:lineRule="auto"/>
        <w:tabs>
          <w:tab w:leader="none" w:pos="192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Collateral Trustee nor the Collateral Administrator shall have any obligation or duty to determine or otherwise monitor the Issuer's, the Collateral Manager's, the</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134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Transferor’s or the EU/UK Retention Holder's compliance with the U.S. Risk Retention Rules, the EU/UK Risk Retention Requirements, the EU/UK Transparency Requirements or the Securitization Regulations;</w:t>
      </w:r>
    </w:p>
    <w:p>
      <w:pPr>
        <w:spacing w:after="0" w:line="158" w:lineRule="exact"/>
        <w:rPr>
          <w:sz w:val="20"/>
          <w:szCs w:val="20"/>
          <w:color w:val="auto"/>
        </w:rPr>
      </w:pPr>
    </w:p>
    <w:p>
      <w:pPr>
        <w:jc w:val="both"/>
        <w:ind w:firstLine="1505"/>
        <w:spacing w:after="0" w:line="253" w:lineRule="exact"/>
        <w:tabs>
          <w:tab w:leader="none" w:pos="192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making or disposing of any investment permitted by this Indenture, the Collateral Trustee is authorized to deal with itself (in its individual capacity) or with any one or more of its Affiliates, in each case on an arm's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length basis, whether it or such Affiliate is acting as a subagent of the Collateral Trustee or for any third party or dealing as principal for its own account. If otherwise qualified, obligations of the Bank or any of its Affiliates shall qualify as Eligible Investments hereunder;</w:t>
      </w:r>
    </w:p>
    <w:p>
      <w:pPr>
        <w:spacing w:after="0" w:line="179" w:lineRule="exact"/>
        <w:rPr>
          <w:rFonts w:ascii="Times New Roman" w:cs="Times New Roman" w:eastAsia="Times New Roman" w:hAnsi="Times New Roman"/>
          <w:sz w:val="22"/>
          <w:szCs w:val="22"/>
          <w:color w:val="auto"/>
        </w:rPr>
      </w:pPr>
    </w:p>
    <w:p>
      <w:pPr>
        <w:jc w:val="both"/>
        <w:ind w:firstLine="1505"/>
        <w:spacing w:after="0" w:line="253" w:lineRule="exact"/>
        <w:tabs>
          <w:tab w:leader="none" w:pos="192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or its Affiliates are permitted to receive additional compensation that could be deemed to be in the Collateral Trustee's economic self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interest for (i) serving as investment adviser, administrator, shareholder, servicing agent, custodian or subcustodian with respect to certain of the Eligible Investments, (ii) using Affiliates to effect transactions in certain Eligible Investments and (iii) effecting transactions in certain Eligible Investments. Such compensation is not payable or reimbursable under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of this Indenture;</w:t>
      </w:r>
    </w:p>
    <w:p>
      <w:pPr>
        <w:spacing w:after="0" w:line="179"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have no duty (i) to cause any recording, filing including any filing relating to the perfection of any security interest in the Assets, or depositing of this Indenture or any supplemental indenture or any financing statement or continuation statement evidencing a security interest, or to cause the maintenance of any such recording, filing or depositing or to any rerecording, refiling or redepositing of any thereof or (ii) to maintain any insurance;</w:t>
      </w:r>
    </w:p>
    <w:p>
      <w:pPr>
        <w:spacing w:after="0" w:line="180" w:lineRule="exact"/>
        <w:rPr>
          <w:rFonts w:ascii="Times New Roman" w:cs="Times New Roman" w:eastAsia="Times New Roman" w:hAnsi="Times New Roman"/>
          <w:sz w:val="22"/>
          <w:szCs w:val="22"/>
          <w:color w:val="auto"/>
        </w:rPr>
      </w:pPr>
    </w:p>
    <w:p>
      <w:pPr>
        <w:jc w:val="both"/>
        <w:ind w:firstLine="1505"/>
        <w:spacing w:after="0" w:line="248" w:lineRule="auto"/>
        <w:tabs>
          <w:tab w:leader="none" w:pos="1929"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Collateral Trustee nor the Collateral Administrator shall have any obligation to determine (i) if a Collateral Obligation or Eligible Investment meets the criteria or eligibility restrictions imposed by this Indenture and shall be entitled to conclusively rely on the Collateral Manager's classification, characterization, designation or categorization of each Collateral Obligation; (ii) whether the conditions specified in the definition of "Deliver" have been complied with or (iii) the sufficiency of the documents or instruments delivered to it by or on behalf of the Issuer in connection with the Grant by the Issuer to the Collateral Trustee of any items constituting Assets or otherwise, or in that regard to examine any Underlying Documents, in order to determine compliance with applicable requirements of and restrictions on transfer of a Collateral Obligation;</w:t>
      </w:r>
    </w:p>
    <w:p>
      <w:pPr>
        <w:spacing w:after="0" w:line="170" w:lineRule="exact"/>
        <w:rPr>
          <w:rFonts w:ascii="Times New Roman" w:cs="Times New Roman" w:eastAsia="Times New Roman" w:hAnsi="Times New Roman"/>
          <w:sz w:val="21"/>
          <w:szCs w:val="21"/>
          <w:color w:val="auto"/>
        </w:rPr>
      </w:pPr>
    </w:p>
    <w:p>
      <w:pPr>
        <w:jc w:val="both"/>
        <w:ind w:firstLine="1505"/>
        <w:spacing w:after="0" w:line="236" w:lineRule="auto"/>
        <w:tabs>
          <w:tab w:leader="none" w:pos="192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Trustee shall not be responsible for delays or failures in performance resulting from acts beyond its control and shall not be responsible or liable for any inaccuracies in the records of the Collateral Manager, any Clearing Agency, Euroclear, Clearstream or any other intermediary (other than the Bank in its individual or other capacities hereunder), or for the actions or omissions of any such Person hereunder (including compliance with the procedures relating to compliance with Rule 17g-5 in accordance with and to the extent set forth in </w:t>
      </w:r>
      <w:r>
        <w:rPr>
          <w:rFonts w:ascii="Times New Roman" w:cs="Times New Roman" w:eastAsia="Times New Roman" w:hAnsi="Times New Roman"/>
          <w:sz w:val="22"/>
          <w:szCs w:val="22"/>
          <w:u w:val="single" w:color="auto"/>
          <w:color w:val="auto"/>
        </w:rPr>
        <w:t>Section 14.17</w:t>
      </w:r>
      <w:r>
        <w:rPr>
          <w:rFonts w:ascii="Times New Roman" w:cs="Times New Roman" w:eastAsia="Times New Roman" w:hAnsi="Times New Roman"/>
          <w:sz w:val="22"/>
          <w:szCs w:val="22"/>
          <w:color w:val="auto"/>
        </w:rPr>
        <w:t>) or under any document executed in connection herewith;</w:t>
      </w:r>
    </w:p>
    <w:p>
      <w:pPr>
        <w:spacing w:after="0" w:line="181"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be entitled to conclusively rely on the Collateral Manager with respect to whether or not a Collateral Obligation meets the criteria specified in the</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135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definition thereof and for the characterization, classification, designation or categorization of each Collateral Obligation;</w:t>
      </w:r>
    </w:p>
    <w:p>
      <w:pPr>
        <w:spacing w:after="0" w:line="206" w:lineRule="exact"/>
        <w:rPr>
          <w:sz w:val="20"/>
          <w:szCs w:val="20"/>
          <w:color w:val="auto"/>
        </w:rPr>
      </w:pPr>
    </w:p>
    <w:p>
      <w:pPr>
        <w:jc w:val="both"/>
        <w:ind w:firstLine="1505"/>
        <w:spacing w:after="0" w:line="249" w:lineRule="auto"/>
        <w:tabs>
          <w:tab w:leader="none" w:pos="1929"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(i) until so notified or until a Trust Officer of the Collateral Trustee obtains actual knowledge that a Collateral Obligation has become a Defaulted Obligation, the Collateral Trustee shall not be deemed to have any notice or knowledge that a Collateral Obligation has become a Defaulted Obligation and</w:t>
      </w:r>
    </w:p>
    <w:p>
      <w:pPr>
        <w:spacing w:after="0" w:line="1" w:lineRule="exact"/>
        <w:rPr>
          <w:rFonts w:ascii="Times New Roman" w:cs="Times New Roman" w:eastAsia="Times New Roman" w:hAnsi="Times New Roman"/>
          <w:sz w:val="21"/>
          <w:szCs w:val="21"/>
          <w:color w:val="auto"/>
        </w:rPr>
      </w:pPr>
    </w:p>
    <w:p>
      <w:pPr>
        <w:ind w:firstLine="8"/>
        <w:spacing w:after="0" w:line="237" w:lineRule="auto"/>
        <w:tabs>
          <w:tab w:leader="none" w:pos="34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not be responsible for determining or overseeing compliance with the definition of "Collateral Obligation" or "Eligible Investments";</w:t>
      </w:r>
    </w:p>
    <w:p>
      <w:pPr>
        <w:spacing w:after="0" w:line="178"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any and all email communications (both text and attachments) by or from the Collateral Trustee that the Collateral Trustee deems to contain confidential, proprietary, and/or sensitive information may be encrypted. The recipient of the encrypted email communication will be required to complete a registration process. Instructions on how to register and/or retrieve an encrypted message will be included in the first secure email sent by the Collateral Trustee to such recipient;</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within 80 calendar days of delivery of financial information or disbursements (which delivery may be via posting to the Collateral Trustee's website) the Bank receives written notice of an error or omission related thereto and within ten calendar days of the Bank's receipt of such notice the Collateral Manager and Issuer confirm such error or omission, the Bank agrees to use reasonable efforts to correct such error or omission and such use of reasonable efforts shall be the only obligation of the Bank in connection therewith. The Bank shall not be required to take any action beyond such period and shall have no responsibility for the same. In no event shall the Bank be obligated to take any action at any time at the request or direction of any Person unless such Person shall have offered to the Bank indemnity satisfactory to it; and</w:t>
      </w:r>
    </w:p>
    <w:p>
      <w:pPr>
        <w:spacing w:after="0" w:line="18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Assets shall be attached, garnished or levied upon by any court order, or the delivery thereof shall be stayed or enjoined by an order of a court, or any order, judgment or decree shall be made or entered by any court order affecting the Assets, the Collateral Trustee is hereby expressly authorized, in its sole discretion, to respond as it deems appropriate or to comply with all writs, orders or decrees so entered or issued, or which it is advised by legal counsel of its own choosing is binding upon it, whether with or without jurisdiction. In the event that the Collateral Trustee obeys or complies with any such writ, order or decree it shall not be liable to any of the parties or to any other person, firm or corporation, should, by reason of such compliance notwithstanding, such writ, order or decree be subsequently reversed, modified, annulled, set aside or vacated.</w:t>
      </w:r>
    </w:p>
    <w:p>
      <w:pPr>
        <w:spacing w:after="0" w:line="17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6.4 Not Responsible for Recitals or Issuance of Debt</w:t>
      </w:r>
      <w:r>
        <w:rPr>
          <w:rFonts w:ascii="Times New Roman" w:cs="Times New Roman" w:eastAsia="Times New Roman" w:hAnsi="Times New Roman"/>
          <w:sz w:val="22"/>
          <w:szCs w:val="22"/>
          <w:color w:val="auto"/>
        </w:rPr>
        <w:t>. The recitals contained herein and in the Notes, other than the Certificate of Authentication thereon, shall be taken as the statements of the Issuer; and the Collateral Trustee assumes, and shall have, no responsibility for their correctness. The Collateral Trustee makes no representation as to the validity or sufficiency of this Indenture (except as may be made with respect to the validity of the Collateral Trustee's obligations hereunder), the Assets or the Debt. The Collateral Trustee shall not be accountable for the use or application by the Issuer of the Debt or the proceeds thereof or any Money paid to the Issuer pursuant to the provisions hereof.</w:t>
      </w:r>
    </w:p>
    <w:p>
      <w:pPr>
        <w:spacing w:after="0" w:line="160"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136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84"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6.5 May Hold Notes</w:t>
      </w:r>
      <w:r>
        <w:rPr>
          <w:rFonts w:ascii="Times New Roman" w:cs="Times New Roman" w:eastAsia="Times New Roman" w:hAnsi="Times New Roman"/>
          <w:sz w:val="22"/>
          <w:szCs w:val="22"/>
          <w:color w:val="auto"/>
        </w:rPr>
        <w:t xml:space="preserve">. The Collateral Trustee, any Paying Agent, Note Registrar or any other agent of the Issuer, in its individual or any other capacity, may become the owner or pledgee of Notes and/or additional Notes issued pursuant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3.2</w:t>
      </w:r>
      <w:r>
        <w:rPr>
          <w:rFonts w:ascii="Times New Roman" w:cs="Times New Roman" w:eastAsia="Times New Roman" w:hAnsi="Times New Roman"/>
          <w:sz w:val="22"/>
          <w:szCs w:val="22"/>
          <w:color w:val="auto"/>
        </w:rPr>
        <w:t>, if any, and may otherwise deal with the Issuer or any of its Affiliates with the same rights it would have if it were not Collateral Trustee, Paying Agent, Note Registrar or such other agent.</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6.6 Money Held in Trust</w:t>
      </w:r>
      <w:r>
        <w:rPr>
          <w:rFonts w:ascii="Times New Roman" w:cs="Times New Roman" w:eastAsia="Times New Roman" w:hAnsi="Times New Roman"/>
          <w:sz w:val="22"/>
          <w:szCs w:val="22"/>
          <w:color w:val="auto"/>
        </w:rPr>
        <w:t xml:space="preserve"> . Money held by the Collateral Trustee hereunder shall be held in trust to the extent required herein. The Collateral Trustee shall be under no liability for interest on any Money received by it hereunder except to the extent of income or other gain on investments which are deposits in or certificates of deposit of the Bank in its commercial capacity and income or other gain actually received by the Collateral Trustee on Eligible Investments.</w:t>
      </w:r>
    </w:p>
    <w:p>
      <w:pPr>
        <w:spacing w:after="0" w:line="180"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6.7</w:t>
      </w:r>
      <w:r>
        <w:rPr>
          <w:sz w:val="20"/>
          <w:szCs w:val="20"/>
          <w:color w:val="auto"/>
        </w:rPr>
        <w:tab/>
      </w:r>
      <w:r>
        <w:rPr>
          <w:rFonts w:ascii="Times New Roman" w:cs="Times New Roman" w:eastAsia="Times New Roman" w:hAnsi="Times New Roman"/>
          <w:sz w:val="21"/>
          <w:szCs w:val="21"/>
          <w:u w:val="single" w:color="auto"/>
          <w:color w:val="auto"/>
        </w:rPr>
        <w:t>Compensation and Reimbursement</w:t>
      </w:r>
      <w:r>
        <w:rPr>
          <w:rFonts w:ascii="Times New Roman" w:cs="Times New Roman" w:eastAsia="Times New Roman" w:hAnsi="Times New Roman"/>
          <w:sz w:val="21"/>
          <w:szCs w:val="21"/>
          <w:color w:val="auto"/>
        </w:rPr>
        <w:t>. (a) The Issuer agrees:</w:t>
      </w:r>
    </w:p>
    <w:p>
      <w:pPr>
        <w:spacing w:after="0" w:line="206" w:lineRule="exact"/>
        <w:rPr>
          <w:sz w:val="20"/>
          <w:szCs w:val="20"/>
          <w:color w:val="auto"/>
        </w:rPr>
      </w:pPr>
    </w:p>
    <w:p>
      <w:pPr>
        <w:jc w:val="both"/>
        <w:ind w:left="760" w:firstLine="1015"/>
        <w:spacing w:after="0" w:line="239" w:lineRule="auto"/>
        <w:tabs>
          <w:tab w:leader="none" w:pos="221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the Bank in each of its capacities under the Transaction Documents on each Payment Date reasonable compensation, as set forth in a separate fee schedule, for all services rendered by the Bank in each of its capacities hereunder and under the other Transaction Documents (which compensation shall not be limited by any provision of law in regard to the compensation of a trustee of an express trust);</w:t>
      </w:r>
    </w:p>
    <w:p>
      <w:pPr>
        <w:spacing w:after="0" w:line="180" w:lineRule="exact"/>
        <w:rPr>
          <w:rFonts w:ascii="Times New Roman" w:cs="Times New Roman" w:eastAsia="Times New Roman" w:hAnsi="Times New Roman"/>
          <w:sz w:val="22"/>
          <w:szCs w:val="22"/>
          <w:color w:val="auto"/>
        </w:rPr>
      </w:pPr>
    </w:p>
    <w:p>
      <w:pPr>
        <w:jc w:val="both"/>
        <w:ind w:left="760" w:firstLine="1015"/>
        <w:spacing w:after="0" w:line="234" w:lineRule="auto"/>
        <w:tabs>
          <w:tab w:leader="none" w:pos="221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expressly provided herein, to reimburse the Bank in each of its capacities under the Transaction Documents in a timely manner upon its request for all reasonable expenses, disbursements and advances incurred or made by the Bank in each of its capacities under the Transaction Documents in accordance with any provision of this Indenture or other Transaction Document (including, without limitation, securities transaction charges and the reasonable compensation and expenses and disbursements of its agents, experts and legal counsel and of any accounting firm or investment banking firm employed by the Collateral Trustee pursuant to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6.3(c)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10.7</w:t>
      </w:r>
      <w:r>
        <w:rPr>
          <w:rFonts w:ascii="Times New Roman" w:cs="Times New Roman" w:eastAsia="Times New Roman" w:hAnsi="Times New Roman"/>
          <w:sz w:val="22"/>
          <w:szCs w:val="22"/>
          <w:color w:val="auto"/>
        </w:rPr>
        <w:t>, except any such expense, disbursement or advance as may be attributable to its negligence, or willful misconduct) but with respect to securities transaction charges, only to the extent any such charges have not been waived during a Collection Period due to the Collateral Trustee's receipt of a payment from a financial institution with respect to certain Eligible Investments, as specified by the Collateral Manager;</w:t>
      </w:r>
    </w:p>
    <w:p>
      <w:pPr>
        <w:spacing w:after="0" w:line="179" w:lineRule="exact"/>
        <w:rPr>
          <w:rFonts w:ascii="Times New Roman" w:cs="Times New Roman" w:eastAsia="Times New Roman" w:hAnsi="Times New Roman"/>
          <w:sz w:val="22"/>
          <w:szCs w:val="22"/>
          <w:color w:val="auto"/>
        </w:rPr>
      </w:pPr>
    </w:p>
    <w:p>
      <w:pPr>
        <w:jc w:val="both"/>
        <w:ind w:left="760" w:firstLine="1015"/>
        <w:spacing w:after="0" w:line="246" w:lineRule="auto"/>
        <w:tabs>
          <w:tab w:leader="none" w:pos="221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indemnify the Bank in each of its capacities under the Transaction Documents and their respective officers, directors, employees and agents for, and to hold them harmless against, any loss, liability action, suit, tax or proceedings at law or in equity or expense, fee or charge (including reasonable fees and expenses of their agent, experts and counsel and including any tax, late payment, interest, penalty or other cost or expense that may be assessed against the Collateral Trustee on or with respect to the Assets and the investment thereof) incurred without negligence, or willful misconduct on their part, arising out of or in connection with acting or serving in each such capacity under the Transaction Documents, including the costs and expenses of defending themselves (including reasonable fees and expenses of agents, experts and attorneys) against any claim (whether such claim involves the Issuer or is brought by any third party) or liability in connection with the administration, exercise or performance of any of their powers or</w:t>
      </w:r>
    </w:p>
    <w:p>
      <w:pPr>
        <w:spacing w:after="0" w:line="154"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137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4"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duties hereunder and under any other agreement or instrument related hereto and of enforcing any provision under the Transaction Documents and any indemnification rights hereunder; and</w:t>
      </w:r>
    </w:p>
    <w:p>
      <w:pPr>
        <w:spacing w:after="0" w:line="158" w:lineRule="exact"/>
        <w:rPr>
          <w:sz w:val="20"/>
          <w:szCs w:val="20"/>
          <w:color w:val="auto"/>
        </w:rPr>
      </w:pPr>
    </w:p>
    <w:p>
      <w:pPr>
        <w:jc w:val="both"/>
        <w:ind w:left="760" w:firstLine="1015"/>
        <w:spacing w:after="0" w:line="244" w:lineRule="auto"/>
        <w:tabs>
          <w:tab w:leader="none" w:pos="221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pay the Collateral Trustee reasonable additional compensation together with its expenses (including reasonable counsel fees) for any collection or enforcement action taken pursuant to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respectively.</w:t>
      </w:r>
    </w:p>
    <w:p>
      <w:pPr>
        <w:spacing w:after="0" w:line="173"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Trustee shall receive amounts pursuant to this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and any other amounts payable to it under this Indenture or in any of the Transaction Documents to which the Collateral Trustee is a party only as provided in </w:t>
      </w:r>
      <w:r>
        <w:rPr>
          <w:rFonts w:ascii="Times New Roman" w:cs="Times New Roman" w:eastAsia="Times New Roman" w:hAnsi="Times New Roman"/>
          <w:sz w:val="22"/>
          <w:szCs w:val="22"/>
          <w:u w:val="single" w:color="auto"/>
          <w:color w:val="auto"/>
        </w:rPr>
        <w:t>Sections 11.1(a)(i)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(or such other manner in which Administrative Expenses are permitted to be paid under this Indenture) but only to the extent that funds are available for the payment thereof. Subject to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the Collateral Trustee shall continue to serve as Collateral Trustee under this Indenture notwithstanding the fact that the Collateral Trustee shall not have received amounts due it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herein shall impair or affect the Collateral Trustee's rights under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No direction by the Noteholders shall affect the right of the Collateral Trustee to collect amounts owed to it under this Indenture. If, on any date when a fee or an expense shall be payable to the Collateral Trustee pursuant to this Indenture, insufficient funds are available for the payment thereof, any portion of a fee or an expense not so paid shall be deferred and payable on such later date on which a fee or an expense shall be payable and sufficient funds are available therefor.</w:t>
      </w:r>
    </w:p>
    <w:p>
      <w:pPr>
        <w:spacing w:after="0" w:line="179" w:lineRule="exact"/>
        <w:rPr>
          <w:rFonts w:ascii="Times New Roman" w:cs="Times New Roman" w:eastAsia="Times New Roman" w:hAnsi="Times New Roman"/>
          <w:sz w:val="22"/>
          <w:szCs w:val="22"/>
          <w:color w:val="auto"/>
        </w:rPr>
      </w:pPr>
    </w:p>
    <w:p>
      <w:pPr>
        <w:jc w:val="both"/>
        <w:ind w:firstLine="1505"/>
        <w:spacing w:after="0" w:line="257" w:lineRule="exact"/>
        <w:tabs>
          <w:tab w:leader="none" w:pos="1929"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hereby agrees not to cause the filing of a petition in bankruptcy against the Issuer for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payment to the Collateral Trustee of any amounts provided by this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until at least one year and one day, or, if longer, the applicable preference period then in effect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one day, after the payment in full of all Debt issued under this Indenture and incurred pursuant to the Credit Agreements.</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Issuer's obligations to the Bank under this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shall be secured by the lien of this Indenture payable in accordance with the Priority of Payments, and shall survive the discharge of this Indenture and the resignation or removal of the Bank from any of its capacities. When the Collateral Trustee incurs expenses after the occurrence of a Default or Event of Default under </w:t>
      </w:r>
      <w:r>
        <w:rPr>
          <w:rFonts w:ascii="Times New Roman" w:cs="Times New Roman" w:eastAsia="Times New Roman" w:hAnsi="Times New Roman"/>
          <w:sz w:val="22"/>
          <w:szCs w:val="22"/>
          <w:u w:val="single" w:color="auto"/>
          <w:color w:val="auto"/>
        </w:rPr>
        <w:t>Section 5.1(e)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5.1(f)</w:t>
      </w:r>
      <w:r>
        <w:rPr>
          <w:rFonts w:ascii="Times New Roman" w:cs="Times New Roman" w:eastAsia="Times New Roman" w:hAnsi="Times New Roman"/>
          <w:sz w:val="22"/>
          <w:szCs w:val="22"/>
          <w:color w:val="auto"/>
        </w:rPr>
        <w:t>, the expenses are intended to constitute expenses of administration under the Bankruptcy Code or any other applicable federal or state bankruptcy, insolvency or similar law.</w:t>
      </w:r>
    </w:p>
    <w:p>
      <w:pPr>
        <w:spacing w:after="0" w:line="17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6.8 Corporate Collateral Trustee Required; Eligibility . There shall at all times be a Collateral Trustee hereunder which shall (a) be an Independent organization or entity organized and doing business under the laws of the United States of America or of any state thereof, authorized under such laws to exercise corporate trust powers, having a combined capital and surplus of at least U.S.$200,000,000, subject to supervision or examination by federal or state authority, and having an office within the United States, and who makes the representations contained in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xml:space="preserve"> and (b) have a rating of at least "BBB-" by S&amp;P;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Collateral Trustee shall be deemed to satisfy such rating requirement so long as the Collateral Trustee (or an Affiliate thereof) participates in the Deposit Placement Program. If such organization or entity publishes reports of condition at least annually, pursuant to law 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-1111885</wp:posOffset>
            </wp:positionV>
            <wp:extent cx="37293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729355" cy="8890"/>
                    </a:xfrm>
                    <a:prstGeom prst="rect">
                      <a:avLst/>
                    </a:prstGeom>
                    <a:noFill/>
                  </pic:spPr>
                </pic:pic>
              </a:graphicData>
            </a:graphic>
          </wp:anchor>
        </w:drawing>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138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requirements of the aforesaid supervising or examining authority, then for the purposes of this </w:t>
      </w:r>
      <w:r>
        <w:rPr>
          <w:rFonts w:ascii="Times New Roman" w:cs="Times New Roman" w:eastAsia="Times New Roman" w:hAnsi="Times New Roman"/>
          <w:sz w:val="21"/>
          <w:szCs w:val="21"/>
          <w:u w:val="single" w:color="auto"/>
          <w:color w:val="auto"/>
        </w:rPr>
        <w:t>Section 6.8</w:t>
      </w:r>
      <w:r>
        <w:rPr>
          <w:rFonts w:ascii="Times New Roman" w:cs="Times New Roman" w:eastAsia="Times New Roman" w:hAnsi="Times New Roman"/>
          <w:sz w:val="21"/>
          <w:szCs w:val="21"/>
          <w:color w:val="auto"/>
        </w:rPr>
        <w:t xml:space="preserve">, the combined capital and surplus of such organization or entity shall be deemed to be its combined capital and surplus as set forth in its most recent published report of condition. If at any time the Collateral Trustee shall cease to be eligible in accordance with the provisions of this </w:t>
      </w:r>
      <w:r>
        <w:rPr>
          <w:rFonts w:ascii="Times New Roman" w:cs="Times New Roman" w:eastAsia="Times New Roman" w:hAnsi="Times New Roman"/>
          <w:sz w:val="21"/>
          <w:szCs w:val="21"/>
          <w:u w:val="single" w:color="auto"/>
          <w:color w:val="auto"/>
        </w:rPr>
        <w:t>Section 6.8</w:t>
      </w:r>
      <w:r>
        <w:rPr>
          <w:rFonts w:ascii="Times New Roman" w:cs="Times New Roman" w:eastAsia="Times New Roman" w:hAnsi="Times New Roman"/>
          <w:sz w:val="21"/>
          <w:szCs w:val="21"/>
          <w:color w:val="auto"/>
        </w:rPr>
        <w:t xml:space="preserve">, it shall resign immediately in the manner and with the effect hereinafter specified in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6.9 Resignation and Removal; Appointment of Successor</w:t>
      </w:r>
      <w:r>
        <w:rPr>
          <w:rFonts w:ascii="Times New Roman" w:cs="Times New Roman" w:eastAsia="Times New Roman" w:hAnsi="Times New Roman"/>
          <w:sz w:val="22"/>
          <w:szCs w:val="22"/>
          <w:color w:val="auto"/>
        </w:rPr>
        <w:t xml:space="preserve"> . (a) No resignation or removal of the Collateral Trustee and no appointment of a successor collateral trustee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become effective until the acceptance of appointment by the successor collateral trustee under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505"/>
        <w:spacing w:after="0" w:line="233" w:lineRule="auto"/>
        <w:tabs>
          <w:tab w:leader="none" w:pos="1929"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6.9(a)</w:t>
      </w:r>
      <w:r>
        <w:rPr>
          <w:rFonts w:ascii="Times New Roman" w:cs="Times New Roman" w:eastAsia="Times New Roman" w:hAnsi="Times New Roman"/>
          <w:sz w:val="22"/>
          <w:szCs w:val="22"/>
          <w:color w:val="auto"/>
        </w:rPr>
        <w:t xml:space="preserve">, the Collateral Trustee may resign at any time by giving not less than 30 days' written notice thereof to the Issuer, the Collateral Manager, the Holders of Debt and each Rating Agency. Upon receiving such notice of resignation, the Issuer shall promptly appoint a successor collateral trustee or trustees satisfying the requirements of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by written instrument, in duplicate, executed by a Responsible Officer of the Issuer, one copy of which shall be delivered to the Collateral Trustee so resigning and one copy to the successor collateral trustee or trustees, together with a copy to each Holder and the Collateral Manager;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successor collateral trustee shall be appointed only upon the Act of a Majority of each Class of Secured Debt or, at any time when an Event of Default shall have occurred and be continuing, by an Act of a Majority of the Controlling Class, in each case, upon 30 days' notice. If no successor collateral trustee shall have been appointed and an instrument of acceptance by a successor collateral trustee shall not have been delivered to the Collateral Trustee within 60 days after the giving of such notice of resignation, the resigning Collateral Trustee or any Holder, on behalf of itself and all others similarly situated, may petition any court of competent jurisdiction (at the sole expense of the Issuer) for the appointment of a successor collateral trustee satisfying the requirements of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Trustee may be removed at any time upon 30 days' prior written notice by Act of a Majority of each Class of Debt or, at any time upon 30 days' prior written notice when an Event of Default shall have occurred and be continuing by an Act of a Majority of the Controlling Class, delivered to the Collateral Trustee and to the Issuer. The Collateral Trustee may also be removed at any time by the Issuer (at the direction of the Collateral Manager) if the Collateral Trustee, the Securities Intermediary or an Affiliate thereof no longer participates in the Deposit Placement Program and does not meet the rating requirements described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(without giving effect to the proviso therein).</w:t>
      </w:r>
    </w:p>
    <w:p>
      <w:pPr>
        <w:spacing w:after="0" w:line="18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w:t>
      </w:r>
    </w:p>
    <w:p>
      <w:pPr>
        <w:spacing w:after="0" w:line="206" w:lineRule="exact"/>
        <w:rPr>
          <w:rFonts w:ascii="Times New Roman" w:cs="Times New Roman" w:eastAsia="Times New Roman" w:hAnsi="Times New Roman"/>
          <w:sz w:val="22"/>
          <w:szCs w:val="22"/>
          <w:color w:val="auto"/>
        </w:rPr>
      </w:pPr>
    </w:p>
    <w:p>
      <w:pPr>
        <w:ind w:left="760" w:right="20" w:firstLine="1015"/>
        <w:spacing w:after="0" w:line="258" w:lineRule="auto"/>
        <w:tabs>
          <w:tab w:leader="none" w:pos="221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Trustee shall cease to be eligible under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and shall fail to resign after written request therefor by the Issuer or by any Holder; or</w:t>
      </w:r>
    </w:p>
    <w:p>
      <w:pPr>
        <w:spacing w:after="0" w:line="158"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become incapable of acting or shall be adjudged as bankrupt or insolvent or a receiver or liquidator of the Collateral Trustee or of its property shall be appointed or any public officer shall take charge or control of the</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139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Collateral Trustee or of its property or affairs for the purpose of rehabilitation, conservation or liquidation;</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then, in any such case (subject to </w:t>
      </w:r>
      <w:r>
        <w:rPr>
          <w:rFonts w:ascii="Times New Roman" w:cs="Times New Roman" w:eastAsia="Times New Roman" w:hAnsi="Times New Roman"/>
          <w:sz w:val="22"/>
          <w:szCs w:val="22"/>
          <w:u w:val="single" w:color="auto"/>
          <w:color w:val="auto"/>
        </w:rPr>
        <w:t>Section 6.9(a)</w:t>
      </w:r>
      <w:r>
        <w:rPr>
          <w:rFonts w:ascii="Times New Roman" w:cs="Times New Roman" w:eastAsia="Times New Roman" w:hAnsi="Times New Roman"/>
          <w:sz w:val="22"/>
          <w:szCs w:val="22"/>
          <w:color w:val="auto"/>
        </w:rPr>
        <w:t xml:space="preserve">), (A) the Issuer, by Issuer Order, may remove the Collateral Trustee, or (B) subject to </w:t>
      </w:r>
      <w:r>
        <w:rPr>
          <w:rFonts w:ascii="Times New Roman" w:cs="Times New Roman" w:eastAsia="Times New Roman" w:hAnsi="Times New Roman"/>
          <w:sz w:val="22"/>
          <w:szCs w:val="22"/>
          <w:u w:val="single" w:color="auto"/>
          <w:color w:val="auto"/>
        </w:rPr>
        <w:t>Section 5.15</w:t>
      </w:r>
      <w:r>
        <w:rPr>
          <w:rFonts w:ascii="Times New Roman" w:cs="Times New Roman" w:eastAsia="Times New Roman" w:hAnsi="Times New Roman"/>
          <w:sz w:val="22"/>
          <w:szCs w:val="22"/>
          <w:color w:val="auto"/>
        </w:rPr>
        <w:t>, any Holder may, on behalf of itself and all others similarly situated, petition any court of competent jurisdiction for the removal of the Collateral Trustee and the appointment of a successor collateral trustee.</w:t>
      </w:r>
    </w:p>
    <w:p>
      <w:pPr>
        <w:spacing w:after="0" w:line="173" w:lineRule="exact"/>
        <w:rPr>
          <w:sz w:val="20"/>
          <w:szCs w:val="20"/>
          <w:color w:val="auto"/>
        </w:rPr>
      </w:pPr>
    </w:p>
    <w:p>
      <w:pPr>
        <w:jc w:val="both"/>
        <w:ind w:firstLine="1505"/>
        <w:spacing w:after="0" w:line="234" w:lineRule="auto"/>
        <w:tabs>
          <w:tab w:leader="none" w:pos="1929"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Collateral Trustee shall be removed or become incapable of acting, or if a vacancy shall occur in the office of the Collateral Trustee for any reason (other than resignation), the Issuer, by Issuer Order, shall promptly appoint a successor collateral trustee. If the Issuer shall fail to appoint a successor collateral trustee within 60 days after such removal or incapability or the occurrence of such vacancy, a successor collateral trustee may be appointed by a Majority of the Controlling Class by written instrument delivered to the Issuer and the retiring Collateral Trustee. The successor collateral trustee so appointed shall, forthwith upon its acceptance of such appointment, become the successor collateral trustee and supersede any successor collateral trustee proposed by the Issuer. If no successor collateral trustee shall have been so appointed by the Issuer or a Majority of the Controlling Class and shall have accepted appointment in the manner hereinafter provided,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5.15</w:t>
      </w:r>
      <w:r>
        <w:rPr>
          <w:rFonts w:ascii="Times New Roman" w:cs="Times New Roman" w:eastAsia="Times New Roman" w:hAnsi="Times New Roman"/>
          <w:sz w:val="22"/>
          <w:szCs w:val="22"/>
          <w:color w:val="auto"/>
        </w:rPr>
        <w:t>, the Collateral Trustee or any Holder may, on behalf of itself and all others similarly situated, petition any court of competent jurisdiction for the appointment of a successor collateral trustee.</w:t>
      </w:r>
    </w:p>
    <w:p>
      <w:pPr>
        <w:spacing w:after="0" w:line="179"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give prompt notice of each removal of the Collateral Trustee and each appointment of a successor collateral trustee by mailing written notice of such event by first class mail, postage prepaid, to the Collateral Manager, each Rating Agency, each Noteholder (as their names and addresses appear on the Note Register) and the Loan Agent (for delivery to the Class A-1 Lenders). Each notice shall include the name of the successor collateral trustee and the address of its Corporate Trust Office. If the Issuer fails to mail such notice within ten days after acceptance of appointment by the successor collateral trustee, the successor collateral trustee shall cause such notice to be given at the expense of the Issuer.</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Bank shall resign or be removed as Collateral Trustee, the Bank shall also resign or be removed as Custodian under the Securities Account Control Agreement, Paying Agent, Loan Agent, Calculation Agent, Note Registrar and any other capacity in which the Bank is then acting pursuant to this Indenture or any other Transaction Document.</w:t>
      </w:r>
    </w:p>
    <w:p>
      <w:pPr>
        <w:spacing w:after="0" w:line="17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Section 6.10 Acceptance of Appointment by Successor . Every successor collateral trustee appointed hereunder shall meet the requirements of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shall make the representations and warranties contained in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and shall execute, acknowledge and deliver to the Issuer, the Loan Agent and the retiring Collateral Trustee an instrument accepting such appointment. In addition, so long as the retiring Collateral Trustee is the same institution as the Collateral Administrator, unless otherwise agreed to in writing by the Issuer, the successor and the retiring institutions, upon the appointment of the successor collateral trustee, the Collateral Administrator shall immediately resign and such successor collateral trustee shall automatically become the Collateral Administrator pursuant to Section 7(b) of the Collateral Administration Agreement and shall be required to agree to assume the duties of the Collateral Administrator under the terms and conditions of the Collateral Administration Agreement in its acceptance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-1263015</wp:posOffset>
            </wp:positionV>
            <wp:extent cx="33889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88995" cy="8255"/>
                    </a:xfrm>
                    <a:prstGeom prst="rect">
                      <a:avLst/>
                    </a:prstGeom>
                    <a:noFill/>
                  </pic:spPr>
                </pic:pic>
              </a:graphicData>
            </a:graphic>
          </wp:anchor>
        </w:drawing>
      </w:r>
    </w:p>
    <w:p>
      <w:pPr>
        <w:spacing w:after="0" w:line="14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140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8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appointment as successor collateral trustee until such time, if any, as it is replaced as Collateral Administrator by the Issuer pursuant to the Collateral Administration Agreement. Upon delivery of the required instruments, the resignation or removal of the retiring Collateral Trustee shall become effective and such successor collateral trustee, without any further act, deed or conveyance, shall become vested with all the rights, powers, trusts, duties and obligations of the retiring Collateral Trustee; but, on request of the Issuer or a Majority of any Class of Secured Debt or the successor collateral trustee or successor Collateral Administrator, as applicable, such retiring collateral trustee shall, upon payment of its charges then unpaid, execute and deliver an instrument transferring to such successor collateral trustee all the rights, powers and trusts of the retiring Collateral Trustee, and shall duly assign, transfer and deliver to such successor collateral trustee all property and Money held by such retiring Collateral Trustee hereunder. Upon request of any such successor collateral trustee, the Issuer shall execute any and all instruments for more fully and certainly vesting in and confirming to such successor collateral trustee all such rights, powers and trusts.</w:t>
      </w:r>
    </w:p>
    <w:p>
      <w:pPr>
        <w:spacing w:after="0" w:line="18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 xml:space="preserve">Section 6.11 Merger, Conversion, Consolidation or Succession to Business of Collateral Trustee . Any organization or entity into which the Collateral Trustee may be merged or converted or with which it may be consolidated, or any organization or entity resulting from any merger, conversion or consolidation to which the Collateral Trustee shall be a party, or any organization or entity succeeding to all or substantially all of the corporate trust business of the Collateral Trustee, shall be the successor of the Collateral Trustee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organization or entity shall be otherwise qualified and eligible under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without the execution or filing of any paper or any further act on the part of any of the parties hereto. In case any of the Notes have been authenticated, but not delivered, by the Collateral Trustee then in office, any successor by merger, conversion or consolidation to such authenticating Collateral Trustee may adopt such authentication and deliver the Notes so authenticated with the same effect as if such successor collateral trustee had itself authenticated such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-1268095</wp:posOffset>
            </wp:positionV>
            <wp:extent cx="57677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67705" cy="8255"/>
                    </a:xfrm>
                    <a:prstGeom prst="rect">
                      <a:avLst/>
                    </a:prstGeom>
                    <a:noFill/>
                  </pic:spPr>
                </pic:pic>
              </a:graphicData>
            </a:graphic>
          </wp:anchor>
        </w:drawing>
      </w:r>
    </w:p>
    <w:p>
      <w:pPr>
        <w:spacing w:after="0" w:line="121" w:lineRule="exact"/>
        <w:rPr>
          <w:sz w:val="20"/>
          <w:szCs w:val="20"/>
          <w:color w:val="auto"/>
        </w:rPr>
      </w:pPr>
    </w:p>
    <w:p>
      <w:pPr>
        <w:jc w:val="both"/>
        <w:ind w:firstLine="1497"/>
        <w:spacing w:after="0" w:line="263" w:lineRule="exact"/>
        <w:rPr>
          <w:sz w:val="20"/>
          <w:szCs w:val="20"/>
          <w:color w:val="auto"/>
        </w:rPr>
      </w:pPr>
      <w:r>
        <w:rPr>
          <w:rFonts w:ascii="Times New Roman" w:cs="Times New Roman" w:eastAsia="Times New Roman" w:hAnsi="Times New Roman"/>
          <w:sz w:val="22"/>
          <w:szCs w:val="22"/>
          <w:u w:val="single" w:color="auto"/>
          <w:color w:val="auto"/>
        </w:rPr>
        <w:t>Section 6.12 Co</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Collateral Trustees</w:t>
      </w:r>
      <w:r>
        <w:rPr>
          <w:rFonts w:ascii="Times New Roman" w:cs="Times New Roman" w:eastAsia="Times New Roman" w:hAnsi="Times New Roman"/>
          <w:sz w:val="22"/>
          <w:szCs w:val="22"/>
          <w:color w:val="auto"/>
        </w:rPr>
        <w:t xml:space="preserve"> . At any time or times, the Issuer and the Collateral Trustee shall have power to appoint one or more Persons to act as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collateral trustee, jointly with the Collateral Trustee, of all or any part of the Assets, with the power to file such proofs of claim and take such other actions pursuant to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herein and to make such claims and enforce such rights of action on behalf of the Holders, as such Holders themselves may have the right to do, subject to the other provisions of this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497"/>
        <w:spacing w:after="0" w:line="261" w:lineRule="exact"/>
        <w:rPr>
          <w:sz w:val="20"/>
          <w:szCs w:val="20"/>
          <w:color w:val="auto"/>
        </w:rPr>
      </w:pPr>
      <w:r>
        <w:rPr>
          <w:rFonts w:ascii="Times New Roman" w:cs="Times New Roman" w:eastAsia="Times New Roman" w:hAnsi="Times New Roman"/>
          <w:sz w:val="22"/>
          <w:szCs w:val="22"/>
          <w:color w:val="auto"/>
        </w:rPr>
        <w:t>The Issuer shall join with the Collateral Trustee in the execution, delivery and performance of all instruments and agreements necessary or proper to appoint a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collateral trustee. If the Issuer does not join in such appointment within 15 days after the receipt by it of a request to do so, the Collateral Trustee shall have the power to make such appointment.</w:t>
      </w:r>
    </w:p>
    <w:p>
      <w:pPr>
        <w:spacing w:after="0" w:line="143" w:lineRule="exact"/>
        <w:rPr>
          <w:sz w:val="20"/>
          <w:szCs w:val="20"/>
          <w:color w:val="auto"/>
        </w:rPr>
      </w:pPr>
    </w:p>
    <w:p>
      <w:pPr>
        <w:jc w:val="both"/>
        <w:ind w:firstLine="1497"/>
        <w:spacing w:after="0" w:line="265" w:lineRule="exact"/>
        <w:rPr>
          <w:sz w:val="20"/>
          <w:szCs w:val="20"/>
          <w:color w:val="auto"/>
        </w:rPr>
      </w:pPr>
      <w:r>
        <w:rPr>
          <w:rFonts w:ascii="Times New Roman" w:cs="Times New Roman" w:eastAsia="Times New Roman" w:hAnsi="Times New Roman"/>
          <w:sz w:val="22"/>
          <w:szCs w:val="22"/>
          <w:color w:val="auto"/>
        </w:rPr>
        <w:t>Should any written instrument from the Issuer be required by any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collateral trustee so appointed, more fully confirming to such co collateral trustee such property, title, right or power, any and all such instruments shall, on request, be executed, acknowledged and delivered by the Issuer. The Issuer agrees to pay, to the extent funds are available therefor under </w:t>
      </w:r>
      <w:r>
        <w:rPr>
          <w:rFonts w:ascii="Times New Roman" w:cs="Times New Roman" w:eastAsia="Times New Roman" w:hAnsi="Times New Roman"/>
          <w:sz w:val="22"/>
          <w:szCs w:val="22"/>
          <w:u w:val="single" w:color="auto"/>
          <w:color w:val="auto"/>
        </w:rPr>
        <w:t>Section 11.1(a)(i)(A)</w:t>
      </w:r>
      <w:r>
        <w:rPr>
          <w:rFonts w:ascii="Times New Roman" w:cs="Times New Roman" w:eastAsia="Times New Roman" w:hAnsi="Times New Roman"/>
          <w:sz w:val="22"/>
          <w:szCs w:val="22"/>
          <w:color w:val="auto"/>
        </w:rPr>
        <w:t>, for any reasonable fees and expenses in connection with such appointment.</w:t>
      </w:r>
    </w:p>
    <w:p>
      <w:pPr>
        <w:spacing w:after="0" w:line="15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141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50" w:lineRule="exact"/>
        <w:rPr>
          <w:sz w:val="20"/>
          <w:szCs w:val="20"/>
          <w:color w:val="auto"/>
        </w:rPr>
      </w:pPr>
    </w:p>
    <w:p>
      <w:pPr>
        <w:ind w:firstLine="1497"/>
        <w:spacing w:after="0" w:line="287" w:lineRule="exact"/>
        <w:rPr>
          <w:sz w:val="20"/>
          <w:szCs w:val="20"/>
          <w:color w:val="auto"/>
        </w:rPr>
      </w:pPr>
      <w:r>
        <w:rPr>
          <w:rFonts w:ascii="Times New Roman" w:cs="Times New Roman" w:eastAsia="Times New Roman" w:hAnsi="Times New Roman"/>
          <w:sz w:val="22"/>
          <w:szCs w:val="22"/>
          <w:color w:val="auto"/>
        </w:rPr>
        <w:t>Every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collateral trustee shall, to the extent permitted by law, but to such extent only, be appointed subject to the following terms:</w:t>
      </w:r>
    </w:p>
    <w:p>
      <w:pPr>
        <w:spacing w:after="0" w:line="177" w:lineRule="exact"/>
        <w:rPr>
          <w:sz w:val="20"/>
          <w:szCs w:val="20"/>
          <w:color w:val="auto"/>
        </w:rPr>
      </w:pPr>
    </w:p>
    <w:p>
      <w:pPr>
        <w:jc w:val="both"/>
        <w:ind w:right="20" w:firstLine="1505"/>
        <w:spacing w:after="0" w:line="244" w:lineRule="auto"/>
        <w:tabs>
          <w:tab w:leader="none" w:pos="192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shall be authenticated and delivered and all rights, powers, duties and obligations hereunder in respect of the custody of securities, Cash and other personal property held by, or required to be deposited or pledged with, the Collateral Trustee hereunder, shall be exercised solely by the Collateral Trustee;</w:t>
      </w:r>
    </w:p>
    <w:p>
      <w:pPr>
        <w:spacing w:after="0" w:line="173" w:lineRule="exact"/>
        <w:rPr>
          <w:rFonts w:ascii="Times New Roman" w:cs="Times New Roman" w:eastAsia="Times New Roman" w:hAnsi="Times New Roman"/>
          <w:sz w:val="22"/>
          <w:szCs w:val="22"/>
          <w:color w:val="auto"/>
        </w:rPr>
      </w:pPr>
    </w:p>
    <w:p>
      <w:pPr>
        <w:jc w:val="both"/>
        <w:ind w:firstLine="1505"/>
        <w:spacing w:after="0" w:line="271" w:lineRule="exact"/>
        <w:tabs>
          <w:tab w:leader="none" w:pos="192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powers, duties and obligations hereby conferred or imposed upon the Collateral Trustee in respect of any property covered by the appointment of a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collateral trustee shall be conferred or imposed upon and exercised or performed by the Collateral Trustee or by the Collateral Trustee and such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collateral trustee jointly as shall be provided in the instrument appointing such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collateral trustee;</w:t>
      </w:r>
    </w:p>
    <w:p>
      <w:pPr>
        <w:spacing w:after="0" w:line="144" w:lineRule="exact"/>
        <w:rPr>
          <w:rFonts w:ascii="Times New Roman" w:cs="Times New Roman" w:eastAsia="Times New Roman" w:hAnsi="Times New Roman"/>
          <w:sz w:val="22"/>
          <w:szCs w:val="22"/>
          <w:color w:val="auto"/>
        </w:rPr>
      </w:pPr>
    </w:p>
    <w:p>
      <w:pPr>
        <w:jc w:val="both"/>
        <w:ind w:firstLine="1505"/>
        <w:spacing w:after="0" w:line="265" w:lineRule="exact"/>
        <w:tabs>
          <w:tab w:leader="none" w:pos="192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at any time, by an instrument in writing executed by it, with the concurrence of the Issuer evidenced by an Issuer Order, may accept the resignation of or remove any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collateral trustee appointed under this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and in case an Event of Default has occurred and is continuing, the Collateral Trustee shall have the power to accept the resignation of, or remove, any such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collateral trustee without the concurrence of the Issuer. A successor to any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collateral trustee so resigned or removed may be appointed in the manner provided in this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114" w:lineRule="exact"/>
        <w:rPr>
          <w:rFonts w:ascii="Times New Roman" w:cs="Times New Roman" w:eastAsia="Times New Roman" w:hAnsi="Times New Roman"/>
          <w:sz w:val="22"/>
          <w:szCs w:val="22"/>
          <w:color w:val="auto"/>
        </w:rPr>
      </w:pPr>
    </w:p>
    <w:p>
      <w:pPr>
        <w:ind w:right="60" w:firstLine="1505"/>
        <w:spacing w:after="0" w:line="287" w:lineRule="exact"/>
        <w:tabs>
          <w:tab w:leader="none" w:pos="192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collateral trustee hereunder shall be personally liable by reason of any act or omission of the Collateral Trustee hereunder;</w:t>
      </w:r>
    </w:p>
    <w:p>
      <w:pPr>
        <w:spacing w:after="0" w:line="142" w:lineRule="exact"/>
        <w:rPr>
          <w:rFonts w:ascii="Times New Roman" w:cs="Times New Roman" w:eastAsia="Times New Roman" w:hAnsi="Times New Roman"/>
          <w:sz w:val="22"/>
          <w:szCs w:val="22"/>
          <w:color w:val="auto"/>
        </w:rPr>
      </w:pPr>
    </w:p>
    <w:p>
      <w:pPr>
        <w:ind w:left="1940" w:hanging="435"/>
        <w:spacing w:after="0" w:line="253" w:lineRule="exact"/>
        <w:tabs>
          <w:tab w:leader="none" w:pos="194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not be liable by reason of any act or omission of a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collateral trustee; and</w:t>
      </w:r>
    </w:p>
    <w:p>
      <w:pPr>
        <w:spacing w:after="0" w:line="254"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of the Holders delivered to the Collateral Trustee shall be deemed to have been delivered to each</w:t>
      </w:r>
    </w:p>
    <w:p>
      <w:pPr>
        <w:spacing w:after="0" w:line="27"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collateral trustee.</w:t>
      </w:r>
    </w:p>
    <w:p>
      <w:pPr>
        <w:spacing w:after="0" w:line="148" w:lineRule="exact"/>
        <w:rPr>
          <w:sz w:val="20"/>
          <w:szCs w:val="20"/>
          <w:color w:val="auto"/>
        </w:rPr>
      </w:pPr>
    </w:p>
    <w:p>
      <w:pPr>
        <w:ind w:left="1500"/>
        <w:spacing w:after="0" w:line="253" w:lineRule="exact"/>
        <w:rPr>
          <w:sz w:val="20"/>
          <w:szCs w:val="20"/>
          <w:color w:val="auto"/>
        </w:rPr>
      </w:pPr>
      <w:r>
        <w:rPr>
          <w:rFonts w:ascii="Times New Roman" w:cs="Times New Roman" w:eastAsia="Times New Roman" w:hAnsi="Times New Roman"/>
          <w:sz w:val="22"/>
          <w:szCs w:val="22"/>
          <w:color w:val="auto"/>
        </w:rPr>
        <w:t>The Issuer shall notify each Rating Agency of the appointment of a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collateral trustee hereunder.</w:t>
      </w:r>
    </w:p>
    <w:p>
      <w:pPr>
        <w:spacing w:after="0" w:line="254"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6.13</w:t>
      </w:r>
      <w:r>
        <w:rPr>
          <w:sz w:val="20"/>
          <w:szCs w:val="20"/>
          <w:color w:val="auto"/>
        </w:rPr>
        <w:tab/>
      </w:r>
      <w:r>
        <w:rPr>
          <w:rFonts w:ascii="Times New Roman" w:cs="Times New Roman" w:eastAsia="Times New Roman" w:hAnsi="Times New Roman"/>
          <w:sz w:val="21"/>
          <w:szCs w:val="21"/>
          <w:u w:val="single" w:color="auto"/>
          <w:color w:val="auto"/>
        </w:rPr>
        <w:t>Provision of Documents to Issuer and Collateral Manager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Reasonably promptly after receipt thereof, the Collateral Trustee will notify and provide to the Collateral Manager on behalf of the Issuer a copy of any documents, financial reports, legal opinions or any other information reasonably available to it without undue cost or burden, including, without limitation, any notices, reports, requests for waiver, consent requests or any other requests or communications relating to the Assets or any Obligor or to actions affecting the Assets or any Obligor. Upon reasonable request by the Collateral Administrator or the Collateral Manager, the Collateral Trustee further agrees to provide to the requesting Person from time to time, on a timely basis, any information in its possession and reasonably available to it relating to the Collateral Obligations, the Equity Securities and the Eligible Investments as requested so as to enable the requesting Person to perform its duties hereunder, under the Collateral Administration Agreement or under the Collateral Management Agreement, as applicable.</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142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85"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6.14 Authenticating Agents</w:t>
      </w:r>
      <w:r>
        <w:rPr>
          <w:rFonts w:ascii="Times New Roman" w:cs="Times New Roman" w:eastAsia="Times New Roman" w:hAnsi="Times New Roman"/>
          <w:sz w:val="22"/>
          <w:szCs w:val="22"/>
          <w:color w:val="auto"/>
        </w:rPr>
        <w:t xml:space="preserve"> . Upon the request of the Issuer, the Collateral Trustee shall, and if the Collateral Trustee so chooses the Collateral Trustee may, appoint one or more Authenticating Agents, which shall initially be the Bank, with power to act on its behalf and subject to its direction in the authentication of Notes in connection with issuance, transfers and exchanges under </w:t>
      </w:r>
      <w:r>
        <w:rPr>
          <w:rFonts w:ascii="Times New Roman" w:cs="Times New Roman" w:eastAsia="Times New Roman" w:hAnsi="Times New Roman"/>
          <w:sz w:val="22"/>
          <w:szCs w:val="22"/>
          <w:u w:val="single" w:color="auto"/>
          <w:color w:val="auto"/>
        </w:rPr>
        <w:t>Sections 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8.5</w:t>
      </w:r>
      <w:r>
        <w:rPr>
          <w:rFonts w:ascii="Times New Roman" w:cs="Times New Roman" w:eastAsia="Times New Roman" w:hAnsi="Times New Roman"/>
          <w:sz w:val="22"/>
          <w:szCs w:val="22"/>
          <w:color w:val="auto"/>
        </w:rPr>
        <w:t xml:space="preserve">, as fully to all intents and purposes as though each such Authenticating Agent had been expressly authorized by such Sections to authenticate such Notes. For all purposes of this Indenture, the authentication of Notes by an Authenticating Agent pursuant to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shall be deemed to be the authentication of Notes by the Collateral Trustee.</w:t>
      </w:r>
    </w:p>
    <w:p>
      <w:pPr>
        <w:spacing w:after="0" w:line="18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Any Person into which any Authenticating Agent may be merged or converted or with which it may be consolidated, or any Person resulting from any merger, consolidation or conversion to which any Authenticating Agent shall be a party, or any Person succeeding to the corporate trust business of any Authenticating Agent, shall be the successor of such Authenticating Agent hereunder, without the execution or filing of any further act on the part of the parties hereto or such Authenticating Agent or such successor Person.</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Any Authenticating Agent may at any time resign by giving written notice of resignation to the Collateral Trustee and the Issuer. The Collateral Trustee may at any time terminate the agency of any Authenticating Agent by giving written notice of termination to such Authenticating Agent and the Issuer. Upon receiving such notice of resignation or upon such a termination, the Collateral Trustee shall, upon the written request of the Issuer, promptly appoint a successor Authenticating Agent and shall give written notice of such appointment to the Issuer.</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Unless the Authenticating Agent is also the same entity as the Collateral Trustee, the Issuer agrees to pay to each Authenticating Agent from time to time reasonable compensation for its services, and reimbursement for its reasonable expenses relating thereto as an Administrative Expense. The provisions of </w:t>
      </w:r>
      <w:r>
        <w:rPr>
          <w:rFonts w:ascii="Times New Roman" w:cs="Times New Roman" w:eastAsia="Times New Roman" w:hAnsi="Times New Roman"/>
          <w:sz w:val="22"/>
          <w:szCs w:val="22"/>
          <w:u w:val="single" w:color="auto"/>
          <w:color w:val="auto"/>
        </w:rPr>
        <w:t>Sections 2.8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6.5</w:t>
      </w:r>
      <w:r>
        <w:rPr>
          <w:rFonts w:ascii="Times New Roman" w:cs="Times New Roman" w:eastAsia="Times New Roman" w:hAnsi="Times New Roman"/>
          <w:sz w:val="22"/>
          <w:szCs w:val="22"/>
          <w:color w:val="auto"/>
        </w:rPr>
        <w:t xml:space="preserve"> shall be applicable to any Authenticating Agent.</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u w:val="single" w:color="auto"/>
          <w:color w:val="auto"/>
        </w:rPr>
        <w:t>Section 6.15 Withholding</w:t>
      </w:r>
      <w:r>
        <w:rPr>
          <w:rFonts w:ascii="Times New Roman" w:cs="Times New Roman" w:eastAsia="Times New Roman" w:hAnsi="Times New Roman"/>
          <w:sz w:val="21"/>
          <w:szCs w:val="21"/>
          <w:color w:val="auto"/>
        </w:rPr>
        <w:t xml:space="preserve"> . If any withholding or deduction of Tax is imposed on the Issuer's payment (or allocations of income) under the Notes, such Tax withholding or deduction shall reduce the amount otherwise distributable to the relevant Holder. The Collateral Trustee is hereby authorized and directed to retain from amounts otherwise distributable to any Holder sufficient funds for the payment of any Tax that is legally owed or required to be deducted or withheld by the Issuer (but such authorization shall not prevent the Collateral Trustee from contesting any such Tax in appropriate proceedings and withholding payment of such Tax, if permitted by law, pending the outcome of such proceedings) or may be withheld because of a failure by a Holder to provide any information required under FATCA or Sections 1441, 1445 and 1446 of the Code or any other provisions of any applicable law and to timely remit such amounts to the appropriate taxing authority. The amount of any withholding Tax imposed with respect to any Note shall be treated as Cash distributed to the relevant Holder at the time it is withheld by the Collateral Trustee. If there is a possibility that withholding Tax is payable with respect to a distribution, the Collateral Trustee or the Paying Agent may, in its sole discretion, withhold such amounts in accordance with this </w:t>
      </w:r>
      <w:r>
        <w:rPr>
          <w:rFonts w:ascii="Times New Roman" w:cs="Times New Roman" w:eastAsia="Times New Roman" w:hAnsi="Times New Roman"/>
          <w:sz w:val="21"/>
          <w:szCs w:val="21"/>
          <w:u w:val="single" w:color="auto"/>
          <w:color w:val="auto"/>
        </w:rPr>
        <w:t>Section 6.15</w:t>
      </w:r>
      <w:r>
        <w:rPr>
          <w:rFonts w:ascii="Times New Roman" w:cs="Times New Roman" w:eastAsia="Times New Roman" w:hAnsi="Times New Roman"/>
          <w:sz w:val="21"/>
          <w:szCs w:val="21"/>
          <w:color w:val="auto"/>
        </w:rPr>
        <w:t>. If any Holder or beneficial owner wishes to apply for a refund of any such withholding tax, the Collateral Trustee shall reasonably cooperate with such Person in providing readily available information so long as such Person agrees to reimburse</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143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50" w:lineRule="exact"/>
        <w:rPr>
          <w:sz w:val="20"/>
          <w:szCs w:val="20"/>
          <w:color w:val="auto"/>
        </w:rPr>
      </w:pPr>
    </w:p>
    <w:p>
      <w:pPr>
        <w:jc w:val="both"/>
        <w:spacing w:after="0" w:line="272" w:lineRule="exact"/>
        <w:rPr>
          <w:sz w:val="20"/>
          <w:szCs w:val="20"/>
          <w:color w:val="auto"/>
        </w:rPr>
      </w:pPr>
      <w:r>
        <w:rPr>
          <w:rFonts w:ascii="Times New Roman" w:cs="Times New Roman" w:eastAsia="Times New Roman" w:hAnsi="Times New Roman"/>
          <w:sz w:val="22"/>
          <w:szCs w:val="22"/>
          <w:color w:val="auto"/>
        </w:rPr>
        <w:t>the Collateral Trustee for any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expenses incurred. Nothing herein shall impose an obligation on the part of the Collateral Trustee to determine the amount of any tax or withholding obligation on the part of the Issuer or in respect of the Notes.</w:t>
      </w:r>
    </w:p>
    <w:p>
      <w:pPr>
        <w:spacing w:after="0" w:line="17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Section 6.16 Representative for Secured Noteholders Only; Agent for each other Secured Party and the Holders of the Subordinated Notes. With respect to the security interest created hereunder, the Delivery of any Asset to the Collateral Trustee is to the Collateral Trustee as representative of the Secured Noteholders and agent for each other Secured Party and the Holders of the Subordinated Notes. In furtherance of the foregoing, the possession by the Collateral Trustee of any Asset, the endorsement to or registration in the name of the Collateral Trustee of any Asset (including without limitation as entitlement holder of the Custodial Account) are all undertaken by the Collateral Trustee in its capacity as representative of the Secured Noteholders and agent for each other Secured Party and the Holders of the Subordinated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-954405</wp:posOffset>
            </wp:positionV>
            <wp:extent cx="8826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163" w:lineRule="exact"/>
        <w:rPr>
          <w:sz w:val="20"/>
          <w:szCs w:val="20"/>
          <w:color w:val="auto"/>
        </w:rPr>
      </w:pPr>
    </w:p>
    <w:p>
      <w:pPr>
        <w:jc w:val="both"/>
        <w:ind w:firstLine="1497"/>
        <w:spacing w:after="0" w:line="257" w:lineRule="exact"/>
        <w:rPr>
          <w:sz w:val="20"/>
          <w:szCs w:val="20"/>
          <w:color w:val="auto"/>
        </w:rPr>
      </w:pPr>
      <w:r>
        <w:rPr>
          <w:rFonts w:ascii="Times New Roman" w:cs="Times New Roman" w:eastAsia="Times New Roman" w:hAnsi="Times New Roman"/>
          <w:sz w:val="22"/>
          <w:szCs w:val="22"/>
          <w:color w:val="auto"/>
        </w:rPr>
        <w:t xml:space="preserve">Section 6.17 Representations and Warranties of the Bank . The Bank (and any Person that becomes a successor collateral trustee pursuant to </w:t>
      </w:r>
      <w:r>
        <w:rPr>
          <w:rFonts w:ascii="Times New Roman" w:cs="Times New Roman" w:eastAsia="Times New Roman" w:hAnsi="Times New Roman"/>
          <w:sz w:val="22"/>
          <w:szCs w:val="22"/>
          <w:u w:val="single" w:color="auto"/>
          <w:color w:val="auto"/>
        </w:rPr>
        <w:t>Sections 6.9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6.10</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6.11</w:t>
      </w:r>
      <w:r>
        <w:rPr>
          <w:rFonts w:ascii="Times New Roman" w:cs="Times New Roman" w:eastAsia="Times New Roman" w:hAnsi="Times New Roman"/>
          <w:sz w:val="22"/>
          <w:szCs w:val="22"/>
          <w:color w:val="auto"/>
        </w:rPr>
        <w:t xml:space="preserve"> or a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collateral trustee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or a successor Paying Agent, Note Registrar, Transfer Agent, Custodian, Calculation Agent or Securities Intermediary pursuant to </w:t>
      </w:r>
      <w:r>
        <w:rPr>
          <w:rFonts w:ascii="Times New Roman" w:cs="Times New Roman" w:eastAsia="Times New Roman" w:hAnsi="Times New Roman"/>
          <w:sz w:val="22"/>
          <w:szCs w:val="22"/>
          <w:u w:val="single" w:color="auto"/>
          <w:color w:val="auto"/>
        </w:rPr>
        <w:t>Sections 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7.16</w:t>
      </w:r>
      <w:r>
        <w:rPr>
          <w:rFonts w:ascii="Times New Roman" w:cs="Times New Roman" w:eastAsia="Times New Roman" w:hAnsi="Times New Roman"/>
          <w:sz w:val="22"/>
          <w:szCs w:val="22"/>
          <w:color w:val="auto"/>
        </w:rPr>
        <w:t>, as applicable) represents and warrants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-504190</wp:posOffset>
            </wp:positionV>
            <wp:extent cx="34728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72815" cy="8255"/>
                    </a:xfrm>
                    <a:prstGeom prst="rect">
                      <a:avLst/>
                    </a:prstGeom>
                    <a:noFill/>
                  </pic:spPr>
                </pic:pic>
              </a:graphicData>
            </a:graphic>
          </wp:anchor>
        </w:drawing>
      </w:r>
    </w:p>
    <w:p>
      <w:pPr>
        <w:spacing w:after="0" w:line="157" w:lineRule="exact"/>
        <w:rPr>
          <w:sz w:val="20"/>
          <w:szCs w:val="20"/>
          <w:color w:val="auto"/>
        </w:rPr>
      </w:pPr>
    </w:p>
    <w:p>
      <w:pPr>
        <w:jc w:val="both"/>
        <w:ind w:firstLine="1505"/>
        <w:spacing w:after="0" w:line="244" w:lineRule="auto"/>
        <w:tabs>
          <w:tab w:leader="none" w:pos="192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The Bank has been duly organized and is validly existing as a national banking association with trust powers under the laws of the United States and has the power to conduct its business and affairs as a trustee, paying agent, registrar, transfer agent, custodian, calculation agent, collateral administrator and securities intermediary, as applicable.</w:t>
      </w:r>
    </w:p>
    <w:p>
      <w:pPr>
        <w:spacing w:after="0" w:line="173"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Binding Obligations</w:t>
      </w:r>
      <w:r>
        <w:rPr>
          <w:rFonts w:ascii="Times New Roman" w:cs="Times New Roman" w:eastAsia="Times New Roman" w:hAnsi="Times New Roman"/>
          <w:sz w:val="22"/>
          <w:szCs w:val="22"/>
          <w:color w:val="auto"/>
        </w:rPr>
        <w:t>. The Bank has the corporate power and authority to perform the duties and obligations of Collateral Trustee, Paying Agent, Loan Agent, Note Registrar, Transfer Agent, Custodian, Calculation Agent and Securities Intermediary, as applicable, under this Indenture. The Bank has taken all necessary corporate action to authorize the execution, delivery and performance of this Indenture and the Credit Agreements, and all of the documents required to be executed by it pursuant hereto. This Indenture and the Credit Agreements have been duly authorized, executed and delivered by the Bank and the Issuer and constitutes the legal, valid and binding obligation of each such Person enforceable in accordance with its terms subject, as to enforcement, (i) to the effect of bankruptcy, insolvency, fraudulent conveyance, liquidation or similar laws affecting generally the enforcement of creditors' rights as such laws would apply in the event of any bankruptcy, receivership, insolvency or similar event applicable to such Person and (ii) to general equitable principles (whether enforcement is sought in a proceeding at law or in equity) and except that certain of such obligations may be enforceable solely against the Assets.</w:t>
      </w:r>
    </w:p>
    <w:p>
      <w:pPr>
        <w:spacing w:after="0" w:line="18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xml:space="preserve">. The Bank is eligible under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to serve as Collateral Trustee hereunder.</w:t>
      </w:r>
    </w:p>
    <w:p>
      <w:pPr>
        <w:spacing w:after="0" w:line="206" w:lineRule="exact"/>
        <w:rPr>
          <w:rFonts w:ascii="Times New Roman" w:cs="Times New Roman" w:eastAsia="Times New Roman" w:hAnsi="Times New Roman"/>
          <w:sz w:val="22"/>
          <w:szCs w:val="22"/>
          <w:color w:val="auto"/>
        </w:rPr>
      </w:pPr>
    </w:p>
    <w:p>
      <w:pPr>
        <w:jc w:val="both"/>
        <w:ind w:firstLine="1505"/>
        <w:spacing w:after="0" w:line="261" w:lineRule="auto"/>
        <w:tabs>
          <w:tab w:leader="none" w:pos="1929"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Conflict</w:t>
      </w:r>
      <w:r>
        <w:rPr>
          <w:rFonts w:ascii="Times New Roman" w:cs="Times New Roman" w:eastAsia="Times New Roman" w:hAnsi="Times New Roman"/>
          <w:sz w:val="21"/>
          <w:szCs w:val="21"/>
          <w:color w:val="auto"/>
        </w:rPr>
        <w:t>. Neither the execution, delivery and performance of this Indenture or the Credit Agreements, nor the consummation of the transactions contemplated by this Indenture and the Credit Agreements, (i) is prohibited by, or requires the Bank to obtain any consent, authorization, approval or registration under, any law, statute, rule, regulation, or, to the</w:t>
      </w:r>
    </w:p>
    <w:p>
      <w:pPr>
        <w:spacing w:after="0" w:line="13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144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best of its knowledge, judgment, order, writ, injunction or decree that is binding upon the Bank or any of its properties or assets, or (ii) to the actual knowledge of any Trust Officer, will violate any provision of, result in any default or acceleration of any obligations under, result in the creation or imposition of any lien pursuant to, or require any consent under, any material agreement to which the Bank is a party or by which it or any of its property is bound, which, in each of the foregoing cases, would have a material adverse effect on the Bank’s performance of its duties hereunder.</w:t>
      </w:r>
    </w:p>
    <w:p>
      <w:pPr>
        <w:spacing w:after="0" w:line="177"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6.18 Certain Duties of Collateral Trustee Related to Delayed Payment of Proceeds</w:t>
      </w:r>
      <w:r>
        <w:rPr>
          <w:rFonts w:ascii="Times New Roman" w:cs="Times New Roman" w:eastAsia="Times New Roman" w:hAnsi="Times New Roman"/>
          <w:sz w:val="22"/>
          <w:szCs w:val="22"/>
          <w:color w:val="auto"/>
        </w:rPr>
        <w:t xml:space="preserve"> . In the event that in any month the Collateral Trustee receives notice from the Collateral Manager or the Collateral Administrator that a payment has not been received with respect to any Asset on its Due Date, (a) the Collateral Trustee shall promptly notify the Issuer, the Collateral Trustee and the Collateral Manager in writing or electronically and (b) unless within three Business Days (or the end of the applicable grace period for such payment, if longer) after such notice such payment shall have been received by the Collateral Trustee, or the Issuer, in its absolute discretion (but only to the extent permitted by </w:t>
      </w:r>
      <w:r>
        <w:rPr>
          <w:rFonts w:ascii="Times New Roman" w:cs="Times New Roman" w:eastAsia="Times New Roman" w:hAnsi="Times New Roman"/>
          <w:sz w:val="22"/>
          <w:szCs w:val="22"/>
          <w:u w:val="single" w:color="auto"/>
          <w:color w:val="auto"/>
        </w:rPr>
        <w:t>Section 10.2(a)</w:t>
      </w:r>
      <w:r>
        <w:rPr>
          <w:rFonts w:ascii="Times New Roman" w:cs="Times New Roman" w:eastAsia="Times New Roman" w:hAnsi="Times New Roman"/>
          <w:sz w:val="22"/>
          <w:szCs w:val="22"/>
          <w:color w:val="auto"/>
        </w:rPr>
        <w:t xml:space="preserve">), shall have made provision for such payment satisfactory to the Collateral Trustee in accordance with </w:t>
      </w:r>
      <w:r>
        <w:rPr>
          <w:rFonts w:ascii="Times New Roman" w:cs="Times New Roman" w:eastAsia="Times New Roman" w:hAnsi="Times New Roman"/>
          <w:sz w:val="22"/>
          <w:szCs w:val="22"/>
          <w:u w:val="single" w:color="auto"/>
          <w:color w:val="auto"/>
        </w:rPr>
        <w:t>Section 10.2(a)</w:t>
      </w:r>
      <w:r>
        <w:rPr>
          <w:rFonts w:ascii="Times New Roman" w:cs="Times New Roman" w:eastAsia="Times New Roman" w:hAnsi="Times New Roman"/>
          <w:sz w:val="22"/>
          <w:szCs w:val="22"/>
          <w:color w:val="auto"/>
        </w:rPr>
        <w:t xml:space="preserve">, the Collateral Trustee shall request the issuer of such Asset, the Collateral Trustee or agent under the related Underlying Document or paying agent designated by either of them, as the case may be, to make such payment as soon as practicable after such request but in no event later than three Business Days after the date of such request. In the event that such payment is not made within such time period, the Collateral Trustee, subject to the provisions of clause (iv) of </w:t>
      </w:r>
      <w:r>
        <w:rPr>
          <w:rFonts w:ascii="Times New Roman" w:cs="Times New Roman" w:eastAsia="Times New Roman" w:hAnsi="Times New Roman"/>
          <w:sz w:val="22"/>
          <w:szCs w:val="22"/>
          <w:u w:val="single" w:color="auto"/>
          <w:color w:val="auto"/>
        </w:rPr>
        <w:t>Section 6.1(c</w:t>
      </w:r>
      <w:r>
        <w:rPr>
          <w:rFonts w:ascii="Times New Roman" w:cs="Times New Roman" w:eastAsia="Times New Roman" w:hAnsi="Times New Roman"/>
          <w:sz w:val="22"/>
          <w:szCs w:val="22"/>
          <w:color w:val="auto"/>
        </w:rPr>
        <w:t xml:space="preserve">), shall take such reasonable action as the Collateral Manager shall direct in writing. Any such action shall be without prejudice to any right to claim a Default or Event of Default under this Indenture. In the event that the Issuer or the Collateral Manager requests a release of an Asset and/or delivers an additional Collateral Obligation in connection with any such action under the Collateral Management Agreement or under this Indenture, such release and/or substitution shall be subject to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xml:space="preserve"> of this Indenture, as the case may be. Notwithstanding any other provision hereof, the Collateral Trustee shall deliver to the Issuer or its designee any payment with respect to any Asset or any additional Collateral Obligation received after the Due Date thereof to the extent the Issuer previously made provisions for such payment satisfactory to the Collateral Trustee in accordance with this </w:t>
      </w:r>
      <w:r>
        <w:rPr>
          <w:rFonts w:ascii="Times New Roman" w:cs="Times New Roman" w:eastAsia="Times New Roman" w:hAnsi="Times New Roman"/>
          <w:sz w:val="22"/>
          <w:szCs w:val="22"/>
          <w:u w:val="single" w:color="auto"/>
          <w:color w:val="auto"/>
        </w:rPr>
        <w:t>Section 6.18</w:t>
      </w:r>
      <w:r>
        <w:rPr>
          <w:rFonts w:ascii="Times New Roman" w:cs="Times New Roman" w:eastAsia="Times New Roman" w:hAnsi="Times New Roman"/>
          <w:sz w:val="22"/>
          <w:szCs w:val="22"/>
          <w:color w:val="auto"/>
        </w:rPr>
        <w:t xml:space="preserve"> and such payment shall not be deemed part of the Assets.</w:t>
      </w:r>
    </w:p>
    <w:p>
      <w:pPr>
        <w:spacing w:after="0" w:line="18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6.19 Communication with the Rating Agency</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14.18</w:t>
      </w:r>
      <w:r>
        <w:rPr>
          <w:rFonts w:ascii="Times New Roman" w:cs="Times New Roman" w:eastAsia="Times New Roman" w:hAnsi="Times New Roman"/>
          <w:sz w:val="22"/>
          <w:szCs w:val="22"/>
          <w:color w:val="auto"/>
        </w:rPr>
        <w:t>, any written communication, including any confirmation, from a Rating Agency provided for or required to be obtained by the Collateral Trustee hereunder shall be sufficient in each case when such communication or confirmation is received by the Collateral Trustee, as applicable, including by electronic message, facsimile, press release, posting to such Rating Agency's website, or other written communication.</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7.1 Payment of Principal and Interest</w:t>
      </w:r>
      <w:r>
        <w:rPr>
          <w:rFonts w:ascii="Times New Roman" w:cs="Times New Roman" w:eastAsia="Times New Roman" w:hAnsi="Times New Roman"/>
          <w:sz w:val="22"/>
          <w:szCs w:val="22"/>
          <w:color w:val="auto"/>
        </w:rPr>
        <w:t xml:space="preserve"> . The Issuer will duly and punctually pay the principal of and interest on the Secured Debt, in accordance with the terms of such Class of Secured Debt and this Indenture and the Credit Agreements pursuant to the Priority</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145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of Payments. The Issuer will, to the extent funds are available pursuant to the Priority of Payments, duly and punctually pay all required distributions on the Subordinated Notes in accordance with this Indenture.</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Amounts properly withheld under the Code or other applicable law by any Person from a payment under a Note shall be considered as having been paid by the Issuer to the relevant Holder for all purposes of this Indenture.</w:t>
      </w:r>
    </w:p>
    <w:p>
      <w:pPr>
        <w:spacing w:after="0" w:line="158"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1"/>
          <w:szCs w:val="21"/>
          <w:u w:val="single" w:color="auto"/>
          <w:color w:val="auto"/>
        </w:rPr>
        <w:t>Section 7.2 Maintenance of Office or Agency</w:t>
      </w:r>
      <w:r>
        <w:rPr>
          <w:rFonts w:ascii="Times New Roman" w:cs="Times New Roman" w:eastAsia="Times New Roman" w:hAnsi="Times New Roman"/>
          <w:sz w:val="21"/>
          <w:szCs w:val="21"/>
          <w:color w:val="auto"/>
        </w:rPr>
        <w:t>. The Issuer hereby appoints the Collateral Trustee as a Paying Agent for payments on the Notes, and appoints the Collateral Trustee as Transfer Agent at its applicable Corporate Trust Office or its agent designated for purposes of surrender, transfer or exchange as the Issuer's agent where Notes may be surrendered for registration of transfer or exchange. The Issuer hereby appoints Corporation Services Company, as its agent upon whom process or demands may be served in any action arising out of or based on this Indenture or the transactions contemplated hereby.</w:t>
      </w:r>
    </w:p>
    <w:p>
      <w:pPr>
        <w:spacing w:after="0" w:line="16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The Issuer may at any time and from time to time vary or terminate the appointment of any such agent or appoint any additional agents for any or all of such purposes and no paying agent shall be appointed in a jurisdiction which subjects payments on the Notes to withholding tax solely as a result of such Paying Agent's activities. The Issuer shall at all times maintain a duplicate copy of the Note Register and the Loan Register at the Corporate Trust Office of the Collateral Trustee and the Loan Agent, as applicable. The Issuer shall give prompt written notice to the Collateral Trustee, the Loan Agent, each Rating Agency then rating a Class of Secured Debt and the Holders of the appointment or termination of any such agent and of the location and any change in the location of any such office or agency.</w:t>
      </w:r>
    </w:p>
    <w:p>
      <w:pPr>
        <w:spacing w:after="0" w:line="18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If at any time the Issuer shall fail to maintain any such required office or agency, or shall fail to furnish the Collateral Trustee with the address thereof, presentations and surrenders may be made (subject to the limitations described in the preceding paragraph) at, notices and demands may be served on the Issuer, and Notes may be presented and surrendered for payment to the appropriate Paying Agent at its main office, and the Issuer hereby appoints the same as its agent to receive such respective presentations, surrenders, notices and demands.</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7.3 Money for Note Payments to be Held in Trust</w:t>
      </w:r>
      <w:r>
        <w:rPr>
          <w:rFonts w:ascii="Times New Roman" w:cs="Times New Roman" w:eastAsia="Times New Roman" w:hAnsi="Times New Roman"/>
          <w:sz w:val="22"/>
          <w:szCs w:val="22"/>
          <w:color w:val="auto"/>
        </w:rPr>
        <w:t xml:space="preserve"> . All payments of amounts due and payable with respect to any Secured Debt that are to be made from amounts withdrawn from the Payment Account shall be made on behalf of the Issuer by the Collateral Trustee or a Paying Agent (and in the case of the Class A-1 Loans, the Loan Agent) with respect to payments on the Secured Debt.</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When the Issuer shall have a Paying Agent that is not also the Note Registrar, the Issuer shall furnish, or cause the Note Registrar to furnish, no later than the fifth calendar day after each Record Date a list, if necessary, in such form as such Paying Agent may reasonably request, of the names and addresses of the Holders and of the certificate numbers of individual Notes held by each such Holder.</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Whenever the Issuer shall have a Paying Agent other than the Collateral Trustee, the Issuer shall, on or before the Business Day next preceding each Payment Date and on any</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146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Redemption Date, as the case may be, direct the Collateral Trustee to deposit on such Payment Date or such Redemption Date, as the case may be, with such Paying Agent, if necessary, an aggregate sum sufficient to pay the amounts then becoming due (to the extent funds are then available for such purpose in the Payment Account), such sum to be held in trust for the benefit of the Persons entitled thereto and (unless such Paying Agent is the Collateral Trustee) the Issuer shall promptly notify the Collateral Trustee of its action or failure so to act. Any Monies deposited with a Paying Agent (other than the Collateral Trustee) in excess of an amount sufficient to pay the amounts then becoming due on the Notes with respect to which such deposit was made shall be paid over by such Paying Agent to the Collateral Trustee for application in accordance with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firstLine="1497"/>
        <w:spacing w:after="0" w:line="250" w:lineRule="exact"/>
        <w:rPr>
          <w:sz w:val="20"/>
          <w:szCs w:val="20"/>
          <w:color w:val="auto"/>
        </w:rPr>
      </w:pPr>
      <w:r>
        <w:rPr>
          <w:rFonts w:ascii="Times New Roman" w:cs="Times New Roman" w:eastAsia="Times New Roman" w:hAnsi="Times New Roman"/>
          <w:sz w:val="22"/>
          <w:szCs w:val="22"/>
          <w:color w:val="auto"/>
        </w:rPr>
        <w:t xml:space="preserve">The initial Paying Agent shall be as set forth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Any additional or successor Paying Agents shall be appointed by Issuer Order with written notice thereof to the Collateral Trustee;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the Notes of any Class are rated by a Rating Agency, with respect to any additional or successor Paying Agent, either (i) such Paying Agent has a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debt rating of "A+" or higher by S&amp;P or a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debt rating of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S&amp;P or (ii) the Global Rating Agency Condition is satisfied. If such successor Paying Agent ceases to have a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debt rating of "A+" or higher by S&amp;P or a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debt rating of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1" by S&amp;P, the Issuer shall promptly remove such Paying Agent and appoint a successor Paying Agent. The Issuer shall not appoint any Paying Agent that is not, at the time of such appointment, a depository institution or trust company subject to supervision and examination by federal and/or state and/or national banking authorities. The Issuer shall cause each Paying Agent other than the Collateral Trustee to execute and deliver to the Collateral Trustee an instrument in which such Paying Agent shall agree with the Collateral Trustee and if the Collateral Trustee acts as Paying Agent, it hereby so agrees, subject to the provisions of this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that such Paying Agent will:</w:t>
      </w:r>
    </w:p>
    <w:p>
      <w:pPr>
        <w:spacing w:after="0" w:line="182" w:lineRule="exact"/>
        <w:rPr>
          <w:sz w:val="20"/>
          <w:szCs w:val="20"/>
          <w:color w:val="auto"/>
        </w:rPr>
      </w:pPr>
    </w:p>
    <w:p>
      <w:pPr>
        <w:jc w:val="both"/>
        <w:ind w:firstLine="1505"/>
        <w:spacing w:after="0" w:line="244" w:lineRule="auto"/>
        <w:tabs>
          <w:tab w:leader="none" w:pos="192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all sums received for payment to the Holders of Notes for which it acts as Paying Agent on each Payment Date and any Redemption Date among such Persons in the proportion specified in the applicable Distribution Report to the extent permitted by applicable law;</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all sums held by it for the payment of amounts due with respect to the Notes in trust for the benefit of the Persons entitled thereto until such sums shall be paid to such Persons or otherwise disposed of as herein provided and pay such sums to such Persons as herein provided;</w:t>
      </w:r>
    </w:p>
    <w:p>
      <w:pPr>
        <w:spacing w:after="0" w:line="173"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Paying Agent is not the Collateral Trustee, immediately resign as a Paying Agent and forthwith pay to the Collateral Trustee all sums held by it in trust for the payment of Notes if at any time it ceases to meet the standards set forth above required to be met by a Paying Agent at the time of its appointment;</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Paying Agent is not the Collateral Trustee, immediately give the Collateral Trustee notice of any default by the Issuer (or any other obligor upon the Notes) in the making of any payment required to be made; and</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147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85" w:lineRule="exact"/>
        <w:rPr>
          <w:sz w:val="20"/>
          <w:szCs w:val="20"/>
          <w:color w:val="auto"/>
        </w:rPr>
      </w:pPr>
    </w:p>
    <w:p>
      <w:pPr>
        <w:ind w:right="20" w:firstLine="1505"/>
        <w:spacing w:after="0" w:line="258" w:lineRule="auto"/>
        <w:tabs>
          <w:tab w:leader="none" w:pos="192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Paying Agent is not the Collateral Trustee, during the continuance of any such default, upon the written request of the Collateral Trustee, forthwith pay to the Collateral Trustee all sums so held in trust by such Paying Agent.</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The Issuer may at any time, for the purpose of obtaining the satisfaction and discharge of this Indenture or for any other purpose, pay, or by Issuer Order direct any Paying Agent to pay, to the Collateral Trustee all sums held in trust by the Issuer or such Paying Agent, such sums to be held by the Collateral Trustee upon the same trusts as those upon which such sums were held by the Issuer or such Paying Agent; and, upon such payment by any Paying Agent to the Collateral Trustee, such Paying Agent shall be released from all further liability with respect to such Money.</w:t>
      </w:r>
    </w:p>
    <w:p>
      <w:pPr>
        <w:spacing w:after="0" w:line="17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Except as otherwise required by applicable law, any Money deposited with the Collateral Trustee or any Paying Agent in trust for any payment on any Note and remaining unclaimed for two years after such amount has become due and payable shall be paid to the Issuer on Issuer Order; and the Holder of such Note shall thereafter, as an unsecured general creditor, look only to the Issuer for payment of such amounts (but only to the extent of the amounts so paid to the Issuer) and all liability of the Collateral Trustee or such Paying Agent with respect to such trust Money shall thereupon cease. The Collateral Trustee or such Paying Agent, before being required to make any such release of payment, may, but shall not be required to, adopt and employ, at the expense of the Issuer any reasonable means of notification of such release of payment, including, but not limited to, providing notice of such release to Holders whose Notes have been called but have not been surrendered for redemption or whose right to or interest in Monies due and payable but not claimed is determinable from the records of any Paying Agent, at the last address of record of each such Holder.</w:t>
      </w:r>
    </w:p>
    <w:p>
      <w:pPr>
        <w:spacing w:after="0" w:line="179"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u w:val="single" w:color="auto"/>
          <w:color w:val="auto"/>
        </w:rPr>
        <w:t>Section 7.4 Existence of Issuer</w:t>
      </w:r>
      <w:r>
        <w:rPr>
          <w:rFonts w:ascii="Times New Roman" w:cs="Times New Roman" w:eastAsia="Times New Roman" w:hAnsi="Times New Roman"/>
          <w:sz w:val="21"/>
          <w:szCs w:val="21"/>
          <w:color w:val="auto"/>
        </w:rPr>
        <w:t xml:space="preserve"> . (a) The Issuer shall, to the maximum extent permitted by applicable law, maintain in full force and effect its existence and rights as a limited liability company formed under the laws of the State of Delaware, and shall obtain and preserve its qualification to do business as a foreign limited liability company in each jurisdiction in which such qualifications are or will be necessary to protect the validity and enforceability of this Indenture, the Credit Agreements, the Secured Debt, or any of the Assets;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Issuer is entitled to change its jurisdiction of formation from the State of Delaware to any other jurisdiction reasonably selected by the Issuer at the direction of a Majority of the Subordinated Notes so long as (i) the Issuer has received a legal opinion (upon which the Collateral Trustee may conclusively rely) to the effect that such change is not disadvantageous in any material respect to the Holders, including that such change does not affect the perfection and priority of the security interest created hereby, (ii) written notice of such change has been given by the Issuer to the Collateral Trustee (which shall provide notice to the Holders), the Loan Agent, the Collateral Manager and each Rating Agency, (iii) the S&amp;P Rating Condition is satisfied and (iv) on or prior to the 15th Business Day following receipt of such notice the Collateral Trustee has not received written notice from a Majority of the Controlling Class objecting to such change.</w:t>
      </w:r>
    </w:p>
    <w:p>
      <w:pPr>
        <w:spacing w:after="0" w:line="174" w:lineRule="exact"/>
        <w:rPr>
          <w:sz w:val="20"/>
          <w:szCs w:val="20"/>
          <w:color w:val="auto"/>
        </w:rPr>
      </w:pPr>
    </w:p>
    <w:p>
      <w:pPr>
        <w:jc w:val="both"/>
        <w:ind w:firstLine="1505"/>
        <w:spacing w:after="0" w:line="239" w:lineRule="auto"/>
        <w:tabs>
          <w:tab w:leader="none" w:pos="192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(i) shall ensure that all limited liability company or other formalities regarding its existence are followed, except where the failure to do so could not reasonably be expected to have a material adverse effect on the validity and enforceability of this Indenture, the Notes, or any of the Assets, and (ii) shall not have any employees (other than its</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148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directors, officers or managers to the extent they are employees). The Issuer shall not take any action, or conduct its affairs in a manner, that is likely to result in its separate existence being ignored or in its assets and liabilities being substantively consolidated with any other Person in a bankruptcy, reorganization or other insolvency proceeding. Without limiting the foregoing, (i) the Issuer shall not have any subsidiaries and (ii) except to the extent contemplated in the Issuer LLCA, (x) the Issuer shall not (A) except as contemplated by the Offering Circular or any Transaction Document, engage in any transaction with any member that would constitute a conflict of interest or (B) make distributions other than in accordance with the terms of this Indenture and the Issuer LLCA and (y) the Issuer shall, except when otherwise required for consolidated accounting purposes or tax purposes, (A) maintain books and records separate from any other Person, (B) maintain its accounts separate from those of any other Person, (C) not commingle its assets with those of any other Person, (D) conduct its own business in its own name, (E) maintain separate financial statements, (F) pay its own liabilities out of its own funds, (G) maintain an arm's length relationship with its Affiliates, (H) use separate stationery, invoices and checks, (I) hold itself out as a separate Person and (J) correct any known misunderstanding regarding its separate identity.</w:t>
      </w:r>
    </w:p>
    <w:p>
      <w:pPr>
        <w:spacing w:after="0" w:line="185"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7.5 Protection of Assets</w:t>
      </w:r>
      <w:r>
        <w:rPr>
          <w:rFonts w:ascii="Times New Roman" w:cs="Times New Roman" w:eastAsia="Times New Roman" w:hAnsi="Times New Roman"/>
          <w:sz w:val="22"/>
          <w:szCs w:val="22"/>
          <w:color w:val="auto"/>
        </w:rPr>
        <w:t xml:space="preserve">. (a) The Collateral Manager on behalf of the Issuer will cause the taking of such action within the Collateral Manager's control as is reasonably necessary in order to maintain the perfection and priority of the security interest of the Collateral Trustee in the Assets;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Collateral Trustee and the Collateral Manager shall be entitled to rely on any Opinion of Counsel delivered pursuant to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and any Opinion of Counsel with respect to the same subject matter delivered pursuant to </w:t>
      </w:r>
      <w:r>
        <w:rPr>
          <w:rFonts w:ascii="Times New Roman" w:cs="Times New Roman" w:eastAsia="Times New Roman" w:hAnsi="Times New Roman"/>
          <w:sz w:val="22"/>
          <w:szCs w:val="22"/>
          <w:u w:val="single" w:color="auto"/>
          <w:color w:val="auto"/>
        </w:rPr>
        <w:t>Section 3.1(c)</w:t>
      </w:r>
      <w:r>
        <w:rPr>
          <w:rFonts w:ascii="Times New Roman" w:cs="Times New Roman" w:eastAsia="Times New Roman" w:hAnsi="Times New Roman"/>
          <w:sz w:val="22"/>
          <w:szCs w:val="22"/>
          <w:color w:val="auto"/>
        </w:rPr>
        <w:t xml:space="preserve"> to determine what actions are reasonably necessary, and shall be fully protected in so relying on such an Opinion of Counsel, unless the Collateral Manager has actual knowledge that the procedures described in any such Opinion of Counsel are no longer adequate to maintain such perfection and priority. The Issuer shall from time to time prepare or cause to be prepared, execute and deliver all such supplements and amendments hereto and file or authorize the filing of all such Financing Statements, continuation statements, instruments of further assurance and other instruments, and shall take such other action as may be necessary or advisable or desirable to secure the rights and remedies of the Collateral Trustee for the benefit of the Secured Parties and to:</w:t>
      </w:r>
    </w:p>
    <w:p>
      <w:pPr>
        <w:spacing w:after="0" w:line="187" w:lineRule="exact"/>
        <w:rPr>
          <w:sz w:val="20"/>
          <w:szCs w:val="20"/>
          <w:color w:val="auto"/>
        </w:rPr>
      </w:pPr>
    </w:p>
    <w:p>
      <w:pPr>
        <w:ind w:left="2200" w:hanging="425"/>
        <w:spacing w:after="0"/>
        <w:tabs>
          <w:tab w:leader="none" w:pos="22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more effectively all or any portion of the Assets;</w:t>
      </w:r>
    </w:p>
    <w:p>
      <w:pPr>
        <w:spacing w:after="0" w:line="206" w:lineRule="exact"/>
        <w:rPr>
          <w:rFonts w:ascii="Times New Roman" w:cs="Times New Roman" w:eastAsia="Times New Roman" w:hAnsi="Times New Roman"/>
          <w:sz w:val="22"/>
          <w:szCs w:val="22"/>
          <w:color w:val="auto"/>
        </w:rPr>
      </w:pPr>
    </w:p>
    <w:p>
      <w:pPr>
        <w:ind w:left="760" w:right="40" w:firstLine="1015"/>
        <w:spacing w:after="0" w:line="258" w:lineRule="auto"/>
        <w:tabs>
          <w:tab w:leader="none" w:pos="221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preserve and perfect any Grant made or to be made by this Indenture including, without limitation, the first priority nature of the lien or carry out more effectively the purposes hereof;</w:t>
      </w:r>
    </w:p>
    <w:p>
      <w:pPr>
        <w:spacing w:after="0" w:line="158" w:lineRule="exact"/>
        <w:rPr>
          <w:rFonts w:ascii="Times New Roman" w:cs="Times New Roman" w:eastAsia="Times New Roman" w:hAnsi="Times New Roman"/>
          <w:sz w:val="22"/>
          <w:szCs w:val="22"/>
          <w:color w:val="auto"/>
        </w:rPr>
      </w:pPr>
    </w:p>
    <w:p>
      <w:pPr>
        <w:ind w:left="760" w:right="40" w:firstLine="1015"/>
        <w:spacing w:after="0" w:line="258" w:lineRule="auto"/>
        <w:tabs>
          <w:tab w:leader="none" w:pos="221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perfect, publish notice of or protect the validity of any Grant made or to be made by this Indenture (including, without limitation, any and all actions necessary or desirable as a result of changes in law or regulations);</w:t>
      </w:r>
    </w:p>
    <w:p>
      <w:pPr>
        <w:spacing w:after="0" w:line="158"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enforce any of the Assets or other instruments or property included in the Assets;</w:t>
      </w:r>
    </w:p>
    <w:p>
      <w:pPr>
        <w:spacing w:after="0" w:line="206" w:lineRule="exact"/>
        <w:rPr>
          <w:rFonts w:ascii="Times New Roman" w:cs="Times New Roman" w:eastAsia="Times New Roman" w:hAnsi="Times New Roman"/>
          <w:sz w:val="22"/>
          <w:szCs w:val="22"/>
          <w:color w:val="auto"/>
        </w:rPr>
      </w:pPr>
    </w:p>
    <w:p>
      <w:pPr>
        <w:ind w:left="760" w:right="20" w:firstLine="1015"/>
        <w:spacing w:after="0" w:line="258" w:lineRule="auto"/>
        <w:tabs>
          <w:tab w:leader="none" w:pos="221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preserve and defend title to the Assets and the rights therein of the Collateral Trustee, for the benefit of the Secured Parties, in the Assets against the claims of all Persons and parties; or</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149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8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(vi) pay or cause to be paid any and all taxes levied or assessed upon all or any part of the Assets.</w:t>
      </w:r>
    </w:p>
    <w:p>
      <w:pPr>
        <w:spacing w:after="0" w:line="206"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 xml:space="preserve">The Issuer hereby designates the Collateral Trustee as its agent and attorney in fact to prepare and file and hereby authorizes the filing of any Financing Statement, continuation statement and all other instruments, and take all other actions, required pursuant to this </w:t>
      </w:r>
      <w:r>
        <w:rPr>
          <w:rFonts w:ascii="Times New Roman" w:cs="Times New Roman" w:eastAsia="Times New Roman" w:hAnsi="Times New Roman"/>
          <w:sz w:val="21"/>
          <w:szCs w:val="21"/>
          <w:u w:val="single" w:color="auto"/>
          <w:color w:val="auto"/>
        </w:rPr>
        <w:t>Section 7.5</w:t>
      </w:r>
      <w:r>
        <w:rPr>
          <w:rFonts w:ascii="Times New Roman" w:cs="Times New Roman" w:eastAsia="Times New Roman" w:hAnsi="Times New Roman"/>
          <w:sz w:val="21"/>
          <w:szCs w:val="21"/>
          <w:color w:val="auto"/>
        </w:rPr>
        <w:t xml:space="preserve">. Such designation shall not impose upon the Collateral Trustee, or release or diminish, the Issuer's and the Collateral Manager's obligations under this </w:t>
      </w:r>
      <w:r>
        <w:rPr>
          <w:rFonts w:ascii="Times New Roman" w:cs="Times New Roman" w:eastAsia="Times New Roman" w:hAnsi="Times New Roman"/>
          <w:sz w:val="21"/>
          <w:szCs w:val="21"/>
          <w:u w:val="single" w:color="auto"/>
          <w:color w:val="auto"/>
        </w:rPr>
        <w:t>Section 7.5</w:t>
      </w:r>
      <w:r>
        <w:rPr>
          <w:rFonts w:ascii="Times New Roman" w:cs="Times New Roman" w:eastAsia="Times New Roman" w:hAnsi="Times New Roman"/>
          <w:sz w:val="21"/>
          <w:szCs w:val="21"/>
          <w:color w:val="auto"/>
        </w:rPr>
        <w:t>. The Issuer further authorizes and shall cause the Issuer's counsel to file an initial Financing Statement on the Closing Date that names the Issuer as debtor and Western Alliance Trust Company, N.A., as Collateral Trustee on behalf of the Secured Parties, as secured party and that describes "all personal property of the Debtor now owned or hereafter acquired" as the Assets in which the Collateral Trustee has a Grant.</w:t>
      </w:r>
    </w:p>
    <w:p>
      <w:pPr>
        <w:spacing w:after="0" w:line="170" w:lineRule="exact"/>
        <w:rPr>
          <w:sz w:val="20"/>
          <w:szCs w:val="20"/>
          <w:color w:val="auto"/>
        </w:rPr>
      </w:pPr>
    </w:p>
    <w:p>
      <w:pPr>
        <w:jc w:val="both"/>
        <w:ind w:firstLine="1505"/>
        <w:spacing w:after="0" w:line="234" w:lineRule="auto"/>
        <w:tabs>
          <w:tab w:leader="none" w:pos="192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Trustee shall not, except in accordance with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10.8(a)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xml:space="preserve">, as applicable, permit the removal of any portion of the Assets or transfer any such Assets from the Account to which it is credited, or cause or permit any change in the Delivery made pursuant to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with respect to any Assets, if, after giving effect thereto, the jurisdiction governing the perfection of the Collateral Trustee's security interest in such Assets is different from the jurisdiction governing the perfection at the time of delivery of the most recent Opinion of Counsel pursuant to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(or, if no Opinion of Counsel has yet been delivered pursuant to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the Opinion of Counsel delivered at the Closing Date pursuant to </w:t>
      </w:r>
      <w:r>
        <w:rPr>
          <w:rFonts w:ascii="Times New Roman" w:cs="Times New Roman" w:eastAsia="Times New Roman" w:hAnsi="Times New Roman"/>
          <w:sz w:val="22"/>
          <w:szCs w:val="22"/>
          <w:u w:val="single" w:color="auto"/>
          <w:color w:val="auto"/>
        </w:rPr>
        <w:t>Section 3.1(c)</w:t>
      </w:r>
      <w:r>
        <w:rPr>
          <w:rFonts w:ascii="Times New Roman" w:cs="Times New Roman" w:eastAsia="Times New Roman" w:hAnsi="Times New Roman"/>
          <w:sz w:val="22"/>
          <w:szCs w:val="22"/>
          <w:color w:val="auto"/>
        </w:rPr>
        <w:t>) unless the Collateral Trustee shall have received an Opinion of Counsel to the effect that the lien and security interest created by this Indenture with respect to such property and the priority thereof will continue to be maintained after giving effect to such action or actions.</w:t>
      </w:r>
    </w:p>
    <w:p>
      <w:pPr>
        <w:spacing w:after="0" w:line="149" w:lineRule="exact"/>
        <w:rPr>
          <w:sz w:val="20"/>
          <w:szCs w:val="20"/>
          <w:color w:val="auto"/>
        </w:rPr>
      </w:pPr>
    </w:p>
    <w:p>
      <w:pPr>
        <w:jc w:val="both"/>
        <w:ind w:firstLine="1497"/>
        <w:spacing w:after="0" w:line="261" w:lineRule="exact"/>
        <w:rPr>
          <w:sz w:val="20"/>
          <w:szCs w:val="20"/>
          <w:color w:val="auto"/>
        </w:rPr>
      </w:pPr>
      <w:r>
        <w:rPr>
          <w:rFonts w:ascii="Times New Roman" w:cs="Times New Roman" w:eastAsia="Times New Roman" w:hAnsi="Times New Roman"/>
          <w:sz w:val="22"/>
          <w:szCs w:val="22"/>
          <w:u w:val="single" w:color="auto"/>
          <w:color w:val="auto"/>
        </w:rPr>
        <w:t>Section 7.6 Opinions as to Assets</w:t>
      </w:r>
      <w:r>
        <w:rPr>
          <w:rFonts w:ascii="Times New Roman" w:cs="Times New Roman" w:eastAsia="Times New Roman" w:hAnsi="Times New Roman"/>
          <w:sz w:val="22"/>
          <w:szCs w:val="22"/>
          <w:color w:val="auto"/>
        </w:rPr>
        <w:t>. At least 90 days prior to each five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 anniversary of the Closing Date, the Issuer shall furnish to the Collateral Trustee and each Rating Agency an Opinion of Counsel relating to the continued perfection of the security interest granted by the Issuer to the Collateral Trustee, stating that, as of the date of such opinion, the lien and security interest created by this Indenture with respect to the Assets remain perfected and that no further action (other than as specified in such opinion) needs to be taken to ensure the continued perfection of such lien over the next five years.</w:t>
      </w:r>
    </w:p>
    <w:p>
      <w:pPr>
        <w:spacing w:after="0" w:line="17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7.7 Performance of Obligations</w:t>
      </w:r>
      <w:r>
        <w:rPr>
          <w:rFonts w:ascii="Times New Roman" w:cs="Times New Roman" w:eastAsia="Times New Roman" w:hAnsi="Times New Roman"/>
          <w:sz w:val="22"/>
          <w:szCs w:val="22"/>
          <w:color w:val="auto"/>
        </w:rPr>
        <w:t>. (a) The Issuer shall not take any action, and will use its best efforts not to permit any action to be taken by others, that would release any Person from any of such Person's covenants or obligations under any instrument included in the Assets, except in the case of enforcement action taken with respect to any Defaulted Obligation in accordance with the provisions hereof and actions by the Collateral Manager under the Collateral Management Agreement and in conformity therewith or with this Indenture, as applicable, or as otherwise required hereby or deemed necessary or advisable by the Collateral Manager in accordance with the Collateral Management Agreement.</w:t>
      </w:r>
    </w:p>
    <w:p>
      <w:pPr>
        <w:spacing w:after="0" w:line="181" w:lineRule="exact"/>
        <w:rPr>
          <w:sz w:val="20"/>
          <w:szCs w:val="20"/>
          <w:color w:val="auto"/>
        </w:rPr>
      </w:pPr>
    </w:p>
    <w:p>
      <w:pPr>
        <w:jc w:val="both"/>
        <w:ind w:right="20" w:firstLine="1505"/>
        <w:spacing w:after="0" w:line="282" w:lineRule="auto"/>
        <w:tabs>
          <w:tab w:leader="none" w:pos="1929"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shall notify S&amp;P within 10 Business Days after it has received notice from any Noteholder or the Collateral Trustee of any material breach of any Transaction Document, following any applicable cure period for such breach.</w:t>
      </w:r>
    </w:p>
    <w:p>
      <w:pPr>
        <w:spacing w:after="0" w:line="114"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150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85"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7.8</w:t>
      </w:r>
      <w:r>
        <w:rPr>
          <w:sz w:val="20"/>
          <w:szCs w:val="20"/>
          <w:color w:val="auto"/>
        </w:rPr>
        <w:tab/>
      </w:r>
      <w:r>
        <w:rPr>
          <w:rFonts w:ascii="Times New Roman" w:cs="Times New Roman" w:eastAsia="Times New Roman" w:hAnsi="Times New Roman"/>
          <w:sz w:val="21"/>
          <w:szCs w:val="21"/>
          <w:u w:val="single" w:color="auto"/>
          <w:color w:val="auto"/>
        </w:rPr>
        <w:t>Negative Covenants</w:t>
      </w:r>
      <w:r>
        <w:rPr>
          <w:rFonts w:ascii="Times New Roman" w:cs="Times New Roman" w:eastAsia="Times New Roman" w:hAnsi="Times New Roman"/>
          <w:sz w:val="21"/>
          <w:szCs w:val="21"/>
          <w:color w:val="auto"/>
        </w:rPr>
        <w:t>. (a) The Issuer will not, in each case from and after the Closing Date:</w:t>
      </w:r>
    </w:p>
    <w:p>
      <w:pPr>
        <w:spacing w:after="0" w:line="206" w:lineRule="exact"/>
        <w:rPr>
          <w:sz w:val="20"/>
          <w:szCs w:val="20"/>
          <w:color w:val="auto"/>
        </w:rPr>
      </w:pPr>
    </w:p>
    <w:p>
      <w:pPr>
        <w:jc w:val="both"/>
        <w:ind w:left="760" w:firstLine="1015"/>
        <w:spacing w:after="0" w:line="244" w:lineRule="auto"/>
        <w:tabs>
          <w:tab w:leader="none" w:pos="221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transfer, exchange or otherwise dispose of, or pledge, mortgage, hypothecate or otherwise encumber (or permit such to occur or suffer such to exist), any part of the Assets, except as expressly permitted by this Indenture and the Collateral Management Agreement;</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 any credit on, make any deduction from, or dispute the enforceability of payment of the principal or interest payable (or any other amount) in respect of the Notes (other than amounts withheld or deducted in accordance with the Code);</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incur or assume or guarantee any indebtedness, other than the Debt, this Indenture, the Credit Agreements and the transactions contemplated hereby or (B) issue any additional class of Notes except in compliance with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3.2</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35" w:lineRule="auto"/>
        <w:tabs>
          <w:tab w:leader="none" w:pos="221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permit the validity or effectiveness of this Indenture, the Credit Agreements or any Grant hereunder to be impaired, or permit the lien of this Indenture to be amended, hypothecated, subordinated, terminated or discharged, or permit any Person to be released from any covenants or obligations with respect to this Indenture, the Credit Agreements or the Debt except as may be permitted hereby or by the Collateral Management Agreement, (B) except as permitted by this Indenture, permit any lien, charge, adverse claim, security interest, mortgage or other encumbrance (other than the lien of this Indenture) to be created on or extend to or otherwise arise upon or burden any part of the Assets, any interest therein or the proceeds thereof, or (C) except as permitted by this Indenture, take any action that would permit the lien of this Indenture not to constitute a valid first priority security interest in the Assets;</w:t>
      </w:r>
    </w:p>
    <w:p>
      <w:pPr>
        <w:spacing w:after="0" w:line="178"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the Collateral Management Agreement except pursuant to the terms thereof and </w:t>
      </w:r>
      <w:r>
        <w:rPr>
          <w:rFonts w:ascii="Times New Roman" w:cs="Times New Roman" w:eastAsia="Times New Roman" w:hAnsi="Times New Roman"/>
          <w:sz w:val="22"/>
          <w:szCs w:val="22"/>
          <w:u w:val="single" w:color="auto"/>
          <w:color w:val="auto"/>
        </w:rPr>
        <w:t>Article XV</w:t>
      </w:r>
      <w:r>
        <w:rPr>
          <w:rFonts w:ascii="Times New Roman" w:cs="Times New Roman" w:eastAsia="Times New Roman" w:hAnsi="Times New Roman"/>
          <w:sz w:val="22"/>
          <w:szCs w:val="22"/>
          <w:color w:val="auto"/>
        </w:rPr>
        <w:t xml:space="preserve"> of</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Indenture;</w:t>
      </w:r>
    </w:p>
    <w:p>
      <w:pPr>
        <w:spacing w:after="0" w:line="182"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dissolve or liquidate in whole or in part, except as permitted hereunder or required by applicable law;</w:t>
      </w:r>
    </w:p>
    <w:p>
      <w:pPr>
        <w:spacing w:after="0" w:line="206"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 any Cash distributions other than in accordance with the Priority of Payments or as a Permitted RIC</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Distribution;</w:t>
      </w:r>
    </w:p>
    <w:p>
      <w:pPr>
        <w:spacing w:after="0" w:line="182" w:lineRule="exact"/>
        <w:rPr>
          <w:rFonts w:ascii="Times New Roman" w:cs="Times New Roman" w:eastAsia="Times New Roman" w:hAnsi="Times New Roman"/>
          <w:sz w:val="21"/>
          <w:szCs w:val="21"/>
          <w:color w:val="auto"/>
        </w:rPr>
      </w:pPr>
    </w:p>
    <w:p>
      <w:pPr>
        <w:ind w:left="2640" w:hanging="865"/>
        <w:spacing w:after="0"/>
        <w:tabs>
          <w:tab w:leader="none" w:pos="264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the formation of any subsidiaries;</w:t>
      </w:r>
    </w:p>
    <w:p>
      <w:pPr>
        <w:spacing w:after="0" w:line="206"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business under any name other than its own;</w:t>
      </w:r>
    </w:p>
    <w:p>
      <w:pPr>
        <w:spacing w:after="0" w:line="206"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employees (other than its directors, officers or managers to the extent they are employees);</w:t>
      </w:r>
    </w:p>
    <w:p>
      <w:pPr>
        <w:spacing w:after="0" w:line="206"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transfer, exchange or otherwise dispose of Assets, or enter into an agreement or commitment to do so or enter into or engage in any business with respect to any part of the Assets, except as expressly permitted by both this Indenture and the Collateral Management Agreement;</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151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85" w:lineRule="exact"/>
        <w:rPr>
          <w:sz w:val="20"/>
          <w:szCs w:val="20"/>
          <w:color w:val="auto"/>
        </w:rPr>
      </w:pPr>
    </w:p>
    <w:p>
      <w:pPr>
        <w:ind w:left="2200" w:hanging="425"/>
        <w:spacing w:after="0"/>
        <w:tabs>
          <w:tab w:leader="none" w:pos="220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hedging transactions or derivatives including, without limitation, any interest rate swap</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or</w:t>
      </w:r>
    </w:p>
    <w:p>
      <w:pPr>
        <w:spacing w:after="0" w:line="182" w:lineRule="exact"/>
        <w:rPr>
          <w:rFonts w:ascii="Times New Roman" w:cs="Times New Roman" w:eastAsia="Times New Roman" w:hAnsi="Times New Roman"/>
          <w:sz w:val="22"/>
          <w:szCs w:val="22"/>
          <w:color w:val="auto"/>
        </w:rPr>
      </w:pPr>
    </w:p>
    <w:p>
      <w:pPr>
        <w:ind w:left="2640" w:hanging="865"/>
        <w:spacing w:after="0"/>
        <w:tabs>
          <w:tab w:leader="none" w:pos="264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the Credit Agreements except pursuant to the terms thereof and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hereof.</w:t>
      </w:r>
    </w:p>
    <w:p>
      <w:pPr>
        <w:spacing w:after="0" w:line="171" w:lineRule="exact"/>
        <w:rPr>
          <w:rFonts w:ascii="Times New Roman" w:cs="Times New Roman" w:eastAsia="Times New Roman" w:hAnsi="Times New Roman"/>
          <w:sz w:val="22"/>
          <w:szCs w:val="22"/>
          <w:color w:val="auto"/>
        </w:rPr>
      </w:pPr>
    </w:p>
    <w:p>
      <w:pPr>
        <w:jc w:val="both"/>
        <w:ind w:firstLine="1505"/>
        <w:spacing w:after="0" w:line="253" w:lineRule="exact"/>
        <w:tabs>
          <w:tab w:leader="none" w:pos="192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not be party to any agreements without including customary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petition" and "limited recourse" provisions therein (and shall not amend or eliminate such provisions in any agreement to which it is party), except for any agreements related to the purchase and sale of any Assets which contain customary (as determined by the Collateral Manager in its sole discretion) purchase or sale terms or which are documented using customary (as determined by the Collateral Manager in its sole discretion) loan trading documentation. In addition, neither the Issuer nor the Collateral Manager shall enter into any agreement, including any side letter with any investor, that would materially and adversely affect any Class of Debt unless all of the Holders of such Class shall have consented in writing thereto (provided that, for the avoidance of doubt, this sentence shall have no bearing on any supplemental indenture undertaken in accordance with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not elected and will not elect to be treated as an association taxable as a corporation for U.S. federal income tax purposes.</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not fail to maintain an independent manager under the Issuer LLCA.</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contained herein to the contrary, the Issuer may not acquire any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7.8(e)</w:t>
      </w:r>
      <w:r>
        <w:rPr>
          <w:rFonts w:ascii="Times New Roman" w:cs="Times New Roman" w:eastAsia="Times New Roman" w:hAnsi="Times New Roman"/>
          <w:sz w:val="22"/>
          <w:szCs w:val="22"/>
          <w:color w:val="auto"/>
        </w:rPr>
        <w:t xml:space="preserve"> shall not be deemed to limit the Issuer's rights or obligations relating to any redemption or Re-Pricing pursuant to the terms of this Indenture.</w:t>
      </w:r>
    </w:p>
    <w:p>
      <w:pPr>
        <w:spacing w:after="0" w:line="17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7.9 Statement as to Compliance</w:t>
      </w:r>
      <w:r>
        <w:rPr>
          <w:rFonts w:ascii="Times New Roman" w:cs="Times New Roman" w:eastAsia="Times New Roman" w:hAnsi="Times New Roman"/>
          <w:sz w:val="22"/>
          <w:szCs w:val="22"/>
          <w:color w:val="auto"/>
        </w:rPr>
        <w:t xml:space="preserve"> . On or before December 31 in each year commencing in 2025, or promptly after a Responsible Officer of the Issuer becomes aware thereof if there has been a Default under this Indenture and prior to the issuance of any additional Notes pursuant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the Issuer shall deliver to the Collateral Trustee (to be forwarded by the Collateral Trustee to the Collateral Manager, the Loan Agent, each Noteholder making a written request therefor and each Rating Agency) an Officer's certificate of the Issuer that, having made reasonable inquiries of the Collateral Manager, and to the best of the knowledge, information and belief of the Issuer, there did not exist, as at a date not more than five days prior to the date of the certificate, nor had there existed at any time prior thereto since the date of the last certificate (if any), any Default hereunder or, if such Default did then exist or had existed, specifying the same and the nature and status thereof, including actions undertaken to remedy the same, and that the Issuer has complied with all of its obligations under this Indenture or, if such is not the case, specifying those obligations with which it has not complied.</w:t>
      </w:r>
    </w:p>
    <w:p>
      <w:pPr>
        <w:spacing w:after="0" w:line="17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7.10 The Issuer May Consolidate, etc.</w:t>
      </w:r>
      <w:r>
        <w:rPr>
          <w:rFonts w:ascii="Times New Roman" w:cs="Times New Roman" w:eastAsia="Times New Roman" w:hAnsi="Times New Roman"/>
          <w:sz w:val="22"/>
          <w:szCs w:val="22"/>
          <w:color w:val="auto"/>
        </w:rPr>
        <w:t xml:space="preserve"> The Issuer (the "</w:t>
      </w:r>
      <w:r>
        <w:rPr>
          <w:rFonts w:ascii="Times New Roman" w:cs="Times New Roman" w:eastAsia="Times New Roman" w:hAnsi="Times New Roman"/>
          <w:sz w:val="22"/>
          <w:szCs w:val="22"/>
          <w:u w:val="single" w:color="auto"/>
          <w:color w:val="auto"/>
        </w:rPr>
        <w:t>Merging Entity</w:t>
      </w:r>
      <w:r>
        <w:rPr>
          <w:rFonts w:ascii="Times New Roman" w:cs="Times New Roman" w:eastAsia="Times New Roman" w:hAnsi="Times New Roman"/>
          <w:sz w:val="22"/>
          <w:szCs w:val="22"/>
          <w:color w:val="auto"/>
        </w:rPr>
        <w:t>") shall not consolidate or merge with or into any other Person or, except as permitted under this Indenture, transfer or convey all or substantially all of its assets to any Person, unless permitted by United States and Delaware law and unless:</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152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85" w:lineRule="exact"/>
        <w:rPr>
          <w:sz w:val="20"/>
          <w:szCs w:val="20"/>
          <w:color w:val="auto"/>
        </w:rPr>
      </w:pPr>
    </w:p>
    <w:p>
      <w:pPr>
        <w:jc w:val="both"/>
        <w:ind w:firstLine="1505"/>
        <w:spacing w:after="0" w:line="246" w:lineRule="auto"/>
        <w:tabs>
          <w:tab w:leader="none" w:pos="1929"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Merging Entity shall be the surviving entity, or the Person (if other than the Merging Entity) formed by such consolidation or into which the Merging Entity is merged or to which all or substantially all of the assets of the Merging Entity are transferred (the "</w:t>
      </w:r>
      <w:r>
        <w:rPr>
          <w:rFonts w:ascii="Times New Roman" w:cs="Times New Roman" w:eastAsia="Times New Roman" w:hAnsi="Times New Roman"/>
          <w:sz w:val="21"/>
          <w:szCs w:val="21"/>
          <w:u w:val="single" w:color="auto"/>
          <w:color w:val="auto"/>
        </w:rPr>
        <w:t>Successor Entity</w:t>
      </w:r>
      <w:r>
        <w:rPr>
          <w:rFonts w:ascii="Times New Roman" w:cs="Times New Roman" w:eastAsia="Times New Roman" w:hAnsi="Times New Roman"/>
          <w:sz w:val="21"/>
          <w:szCs w:val="21"/>
          <w:color w:val="auto"/>
        </w:rPr>
        <w:t>") (A) if the Merging Entity is the Issuer, shall be a company organized and existing under the laws of the State of Delaware or such other jurisdiction approved by a Majority of the Controlling Class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approval shall be required in connection with any such transaction undertaken solely to effect a change in the jurisdiction of incorporation pursuant to </w:t>
      </w:r>
      <w:r>
        <w:rPr>
          <w:rFonts w:ascii="Times New Roman" w:cs="Times New Roman" w:eastAsia="Times New Roman" w:hAnsi="Times New Roman"/>
          <w:sz w:val="21"/>
          <w:szCs w:val="21"/>
          <w:u w:val="single" w:color="auto"/>
          <w:color w:val="auto"/>
        </w:rPr>
        <w:t>Section 7.4</w:t>
      </w:r>
      <w:r>
        <w:rPr>
          <w:rFonts w:ascii="Times New Roman" w:cs="Times New Roman" w:eastAsia="Times New Roman" w:hAnsi="Times New Roman"/>
          <w:sz w:val="21"/>
          <w:szCs w:val="21"/>
          <w:color w:val="auto"/>
        </w:rPr>
        <w:t>) and (B) shall expressly assume, by an indenture supplemental hereto and an omnibus assumption agreement, executed and delivered to the Collateral Trustee, the Loan Agent each Holder, the Collateral Manager and the Collateral Administrator, the due and punctual payment of the principal of and interest on all Secured Debt, the payments on the Subordinated Notes and the performance and observance of every covenant of this Indenture and of each other Transaction Document on its part to be performed or observed, all as provided herein or therein, as applicable;</w:t>
      </w:r>
    </w:p>
    <w:p>
      <w:pPr>
        <w:spacing w:after="0" w:line="170"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Global Rating Agency Condition shall have been satisfied;</w:t>
      </w:r>
    </w:p>
    <w:p>
      <w:pPr>
        <w:spacing w:after="0" w:line="206" w:lineRule="exact"/>
        <w:rPr>
          <w:rFonts w:ascii="Times New Roman" w:cs="Times New Roman" w:eastAsia="Times New Roman" w:hAnsi="Times New Roman"/>
          <w:sz w:val="22"/>
          <w:szCs w:val="22"/>
          <w:color w:val="auto"/>
        </w:rPr>
      </w:pPr>
    </w:p>
    <w:p>
      <w:pPr>
        <w:jc w:val="both"/>
        <w:ind w:firstLine="1505"/>
        <w:spacing w:after="0" w:line="249" w:lineRule="auto"/>
        <w:tabs>
          <w:tab w:leader="none" w:pos="1929"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Merging Entity is not the Successor Entity, the Successor Entity shall have agreed with the Collateral Trustee and the Loan Agent (i) to observe the same legal requirements for the recognition of such formed or surviving entity as a legal entity separate and apart from any of its Affiliates as are applicable to the Merging Entity with respect to its Affiliates and</w:t>
      </w:r>
    </w:p>
    <w:p>
      <w:pPr>
        <w:spacing w:after="0" w:line="1" w:lineRule="exact"/>
        <w:rPr>
          <w:rFonts w:ascii="Times New Roman" w:cs="Times New Roman" w:eastAsia="Times New Roman" w:hAnsi="Times New Roman"/>
          <w:sz w:val="21"/>
          <w:szCs w:val="21"/>
          <w:color w:val="auto"/>
        </w:rPr>
      </w:pPr>
    </w:p>
    <w:p>
      <w:pPr>
        <w:ind w:firstLine="8"/>
        <w:spacing w:after="0" w:line="237" w:lineRule="auto"/>
        <w:tabs>
          <w:tab w:leader="none" w:pos="338"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to consolidate or merge with or into any other Person or, except as permitted by this Indenture, transfer or convey the Assets or all or substantially all of its assets to any other Person except in accordance with the provisions of this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Merging Entity is not the Successor Entity, the Successor Entity shall have delivered to the Collateral Trustee, the Loan Agent and each Rating Agency an Officer's certificate and an Opinion of Counsel each stating that such Person is duly organized, validly existing and in good standing in the jurisdiction in which such Person is organized; that such Person has sufficient power and authority to assume the obligations set forth in subsection (a) of this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and to execute and deliver an indenture supplemental hereto and an omnibus assumption agreement for the purpose of assuming such obligations; that such Person has duly authorized the execution, delivery and performance of a supplemental indenture hereto and an omnibus assumption agreement for the purpose of assuming such obligations and that such supplemental indenture is a valid, legal and binding obligation of such Person, enforceable in accordance with its terms, subject only to bankruptcy, reorganization, insolvency, moratorium and other laws affecting the enforcement of creditors' rights generally and to general principles of equity (regardless of whether such enforceability is considered in a proceeding in equity or at law);</w:t>
      </w:r>
    </w:p>
    <w:p>
      <w:pPr>
        <w:spacing w:after="0" w:line="179"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Merging Entity is the Issuer, immediately following the event which causes such Successor Entity to become the successor to the Issuer, (i) such Successor Entity has title, free and clear of any lien, security interest or charge, other than the lien and security interest of this Indenture and any other Permitted Liens, to the Assets securing all of the Secured Debt and (ii) the Collateral Trustee continues to have a valid perfected first priority security interest in the Assets securing all of the Secured Debt; and in each case as to such other matters as the Collateral Trustee or any Holder of the Secured Debt may reasonably require;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clause shall imply or impose a duty on the Collateral Trustee to require such other documents;</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153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85" w:lineRule="exact"/>
        <w:rPr>
          <w:sz w:val="20"/>
          <w:szCs w:val="20"/>
          <w:color w:val="auto"/>
        </w:rPr>
      </w:pPr>
    </w:p>
    <w:p>
      <w:pPr>
        <w:ind w:left="1940" w:hanging="435"/>
        <w:spacing w:after="0"/>
        <w:tabs>
          <w:tab w:leader="none" w:pos="194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after giving effect to such transaction, no Default or Event of Default shall have occurred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 continuing;</w:t>
      </w:r>
    </w:p>
    <w:p>
      <w:pPr>
        <w:spacing w:after="0" w:line="182" w:lineRule="exact"/>
        <w:rPr>
          <w:sz w:val="20"/>
          <w:szCs w:val="20"/>
          <w:color w:val="auto"/>
        </w:rPr>
      </w:pPr>
    </w:p>
    <w:p>
      <w:pPr>
        <w:jc w:val="both"/>
        <w:ind w:firstLine="1505"/>
        <w:spacing w:after="0" w:line="235" w:lineRule="auto"/>
        <w:tabs>
          <w:tab w:leader="none" w:pos="1929"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Merging Entity shall have notified each Rating Agency of such consolidation, merger, transfer or conveyance and shall have delivered to the Collateral Trustee and each Noteholder an Officer's certificate and an Opinion of Counsel each stating that such consolidation, merger, transfer or conveyance and such supplemental indenture comply with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and that all conditions precedent in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relating to such transaction have been complied with and that such transaction will not (1) result in the Successor Entity becoming subject to U.S. federal income taxation with respect to its net income or to any withholding tax liability under Section 1446 of the Code or (2) result in the Successor Entity being treated as a publicly traded partnership taxable as a corporation for U.S. federal income tax purposes;</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Merging Entity shall have delivered to the Collateral Trustee and the Loan Agent an Opinion of Counsel stating that after giving effect to such transaction, the Issuer (or, if applicable, the Successor Entity) will not be required to register as an investment company under the 1940 Act; and</w:t>
      </w:r>
    </w:p>
    <w:p>
      <w:pPr>
        <w:spacing w:after="0" w:line="173"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fees, costs and expenses of the Collateral Trustee (including any reasonable legal fees and expenses) associated with the matters addressed in this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shall have been paid by the Merging Entity (or, if applicable, the Successor Entity) or otherwise provided for to the satisfaction of the Collateral Trustee.</w:t>
      </w:r>
    </w:p>
    <w:p>
      <w:pPr>
        <w:spacing w:after="0" w:line="17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7.11 Successor Substituted</w:t>
      </w:r>
      <w:r>
        <w:rPr>
          <w:rFonts w:ascii="Times New Roman" w:cs="Times New Roman" w:eastAsia="Times New Roman" w:hAnsi="Times New Roman"/>
          <w:sz w:val="22"/>
          <w:szCs w:val="22"/>
          <w:color w:val="auto"/>
        </w:rPr>
        <w:t xml:space="preserve"> . Upon any consolidation or merger, or transfer or conveyance of all or substantially all of the assets of the Issuer in accordance with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in which the Merging Entity is not the surviving entity, the Successor Entity shall succeed to, and be substituted for, and may exercise every right and power of, the Merging Entity under this Indenture with the same effect as if such Person had been named as the Issuer herein. In the event of any such consolidation, merger, transfer or conveyance, the Person named as the "Issuer" in the first paragraph of this Indenture or any successor which shall theretofore have become such in the manner prescribed in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may be dissolved, wound up and liquidated at any time thereafter, and such Person thereafter shall be released, without further action by any Person, from its liabilities as obligor and maker on all the Debt and from its obligations under this Indenture and the other Transaction Documents to which it is a party.</w:t>
      </w:r>
    </w:p>
    <w:p>
      <w:pPr>
        <w:spacing w:after="0" w:line="18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7.12 No Other Business</w:t>
      </w:r>
      <w:r>
        <w:rPr>
          <w:rFonts w:ascii="Times New Roman" w:cs="Times New Roman" w:eastAsia="Times New Roman" w:hAnsi="Times New Roman"/>
          <w:sz w:val="22"/>
          <w:szCs w:val="22"/>
          <w:color w:val="auto"/>
        </w:rPr>
        <w:t>. The Issuer shall not have any employees (other than its directors, officers or managers to the extent they are employees) and shall not engage in any business or activity other than issuing and selling the Notes, incurring the Class A-1 Loans pursuant to the Credit Agreements, paying, redeeming and refinancing the Debt, any additional Notes and the Class A-1 Loans, pursuant to this Indenture, acquiring, holding, selling, exchanging, redeeming and pledging, solely for its own account, the Assets and other incidental activities thereto, including entering into the Transaction Documents to which it is a party. The Issuer may amend, or permit the amendment of, its certificate of formation and the Issuer LLCA, only upon satisfaction of the Global Rating Agency Condition.</w:t>
      </w:r>
    </w:p>
    <w:p>
      <w:pPr>
        <w:spacing w:after="0" w:line="183"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7.13</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154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85" w:lineRule="exact"/>
        <w:rPr>
          <w:sz w:val="20"/>
          <w:szCs w:val="20"/>
          <w:color w:val="auto"/>
        </w:rPr>
      </w:pPr>
    </w:p>
    <w:p>
      <w:pPr>
        <w:jc w:val="both"/>
        <w:ind w:firstLine="1497"/>
        <w:spacing w:after="0" w:line="251" w:lineRule="exact"/>
        <w:rPr>
          <w:sz w:val="20"/>
          <w:szCs w:val="20"/>
          <w:color w:val="auto"/>
        </w:rPr>
      </w:pPr>
      <w:r>
        <w:rPr>
          <w:rFonts w:ascii="Times New Roman" w:cs="Times New Roman" w:eastAsia="Times New Roman" w:hAnsi="Times New Roman"/>
          <w:sz w:val="22"/>
          <w:szCs w:val="22"/>
          <w:u w:val="single" w:color="auto"/>
          <w:color w:val="auto"/>
        </w:rPr>
        <w:t>Section 7.14 Annual Rating Review</w:t>
      </w:r>
      <w:r>
        <w:rPr>
          <w:rFonts w:ascii="Times New Roman" w:cs="Times New Roman" w:eastAsia="Times New Roman" w:hAnsi="Times New Roman"/>
          <w:sz w:val="22"/>
          <w:szCs w:val="22"/>
          <w:color w:val="auto"/>
        </w:rPr>
        <w:t xml:space="preserve"> . (a) So long as any Secured Debt remains Outstanding, on or before December 31 in each year commencing in 2025, the Issuer shall request and pay for an annual review of the rating of each such Class of Secured Debt from each Rating Agency, as applicable. The Issuer shall promptly notify the Collateral Trustee and the Loan Agent and the Collateral Manager in writing (and the Collateral Trustee or the Loan Agent, as applicable, shall promptly provide the Holders with a copy of such notice) if at any time the Issuer is notified or has actual knowledge that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rating of any such Class of Secured Debt has been, or is known will be, changed or withdrawn.</w:t>
      </w:r>
    </w:p>
    <w:p>
      <w:pPr>
        <w:spacing w:after="0" w:line="182" w:lineRule="exact"/>
        <w:rPr>
          <w:sz w:val="20"/>
          <w:szCs w:val="20"/>
          <w:color w:val="auto"/>
        </w:rPr>
      </w:pPr>
    </w:p>
    <w:p>
      <w:pPr>
        <w:ind w:right="20" w:firstLine="1505"/>
        <w:spacing w:after="0" w:line="258" w:lineRule="auto"/>
        <w:tabs>
          <w:tab w:leader="none" w:pos="1929"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obtain and pay for an annual review of any Collateral Obligation that has a S&amp;P Rating derived as set forth in clause (iii)(b) of the part of the definition of the term "S&amp;P Rating".</w:t>
      </w:r>
    </w:p>
    <w:p>
      <w:pPr>
        <w:spacing w:after="0" w:line="158" w:lineRule="exact"/>
        <w:rPr>
          <w:sz w:val="20"/>
          <w:szCs w:val="20"/>
          <w:color w:val="auto"/>
        </w:rPr>
      </w:pPr>
    </w:p>
    <w:p>
      <w:pPr>
        <w:jc w:val="both"/>
        <w:ind w:firstLine="1497"/>
        <w:spacing w:after="0" w:line="249" w:lineRule="exact"/>
        <w:rPr>
          <w:sz w:val="20"/>
          <w:szCs w:val="20"/>
          <w:color w:val="auto"/>
        </w:rPr>
      </w:pPr>
      <w:r>
        <w:rPr>
          <w:rFonts w:ascii="Times New Roman" w:cs="Times New Roman" w:eastAsia="Times New Roman" w:hAnsi="Times New Roman"/>
          <w:sz w:val="22"/>
          <w:szCs w:val="22"/>
          <w:u w:val="single" w:color="auto"/>
          <w:color w:val="auto"/>
        </w:rPr>
        <w:t>Section 7.15 Reporting</w:t>
      </w:r>
      <w:r>
        <w:rPr>
          <w:rFonts w:ascii="Times New Roman" w:cs="Times New Roman" w:eastAsia="Times New Roman" w:hAnsi="Times New Roman"/>
          <w:sz w:val="22"/>
          <w:szCs w:val="22"/>
          <w:color w:val="auto"/>
        </w:rPr>
        <w:t>. At any time when the Issuer is not subject to Section 13 or 15(d) of the Exchange Act and is not exempt from reporting pursuant to Rule 12g3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2(b) under the Exchange Act, upon the request of a Holder or beneficial owner of a Note, the Issuer shall promptly furnish or cause to be furnished Rule 144A Information to such Holder or beneficial owner, to a prospective purchaser of such Note designated by such Holder or beneficial owner, or to the Collateral Trustee for delivery upon an Issuer Order to such Holder or beneficial owner or a prospective purchaser designated by such Holder or beneficial owner, as the case may be, in order to permit compliance by such Holder or beneficial owner with Rule 144A under the Securities Act in connection with the resale of such Note. "Rule 144A Information" shall be such information as is specified pursuant to Rule 144A(d)(4) under the Securities Act (or any successor provision thereto).</w:t>
      </w:r>
    </w:p>
    <w:p>
      <w:pPr>
        <w:spacing w:after="0" w:line="18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7.16 Calculation Agent</w:t>
      </w:r>
      <w:r>
        <w:rPr>
          <w:rFonts w:ascii="Times New Roman" w:cs="Times New Roman" w:eastAsia="Times New Roman" w:hAnsi="Times New Roman"/>
          <w:sz w:val="22"/>
          <w:szCs w:val="22"/>
          <w:color w:val="auto"/>
        </w:rPr>
        <w:t xml:space="preserve"> . (a) The Issuer hereby agrees that for so long as any Floating Rate Debt remains Outstanding there will at all times be an agent appointed (which does not control or is not controlled or under common control with the Issuer or its Affiliates or the Collateral Manager or its Affiliates) to calculate the Benchmark in respect of each Interest Accrual Period or portion thereof in accordance with the terms hereof (the "</w:t>
      </w:r>
      <w:r>
        <w:rPr>
          <w:rFonts w:ascii="Times New Roman" w:cs="Times New Roman" w:eastAsia="Times New Roman" w:hAnsi="Times New Roman"/>
          <w:sz w:val="22"/>
          <w:szCs w:val="22"/>
          <w:u w:val="single" w:color="auto"/>
          <w:color w:val="auto"/>
        </w:rPr>
        <w:t>Calculation Agent</w:t>
      </w:r>
      <w:r>
        <w:rPr>
          <w:rFonts w:ascii="Times New Roman" w:cs="Times New Roman" w:eastAsia="Times New Roman" w:hAnsi="Times New Roman"/>
          <w:sz w:val="22"/>
          <w:szCs w:val="22"/>
          <w:color w:val="auto"/>
        </w:rPr>
        <w:t>"). The Issuer hereby appoints the Collateral Administrator as Calculation Agent. The Calculation Agent may be removed by the Issuer or the Collateral Manager, on behalf of the Issuer, at any time. If the Calculation Agent is unable or unwilling to act as such or is removed by the Issuer or the Collateral Manager, on behalf of the Issuer, the Issuer or the Collateral Manager, on behalf of the Issuer, will promptly appoint a replacement Calculation Agent which does not control or is not controlled by or under common control with the Issuer or its Affiliates or the Collateral Manager or its Affiliates and provide notice thereof to the Collateral Trustee and the Collateral Administrator. The Calculation Agent may not resign its duties or be removed without a successor having been duly appointed.</w:t>
      </w:r>
    </w:p>
    <w:p>
      <w:pPr>
        <w:spacing w:after="0" w:line="187" w:lineRule="exact"/>
        <w:rPr>
          <w:sz w:val="20"/>
          <w:szCs w:val="20"/>
          <w:color w:val="auto"/>
        </w:rPr>
      </w:pPr>
    </w:p>
    <w:p>
      <w:pPr>
        <w:jc w:val="both"/>
        <w:ind w:firstLine="1505"/>
        <w:spacing w:after="0" w:line="236" w:lineRule="auto"/>
        <w:tabs>
          <w:tab w:leader="none" w:pos="1929"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The Calculation Agent shall be required to agree (and the Collateral Administrator as Calculation Agent does hereby agree) that, as soon as possible after 5:00 a.m. Chicago time on each Interest Determination Date, but in no event later than 5:00 p.m. New York time on the U.S. Government Securities Business Day immediately following such Interest Determination Date, the Calculation Agent will calculate the Interest Rate applicable to each Class of Floating Rate Debt during the related Interest Accrual Period and the Debt Interest Amount (in each case, </w:t>
      </w:r>
      <w:r>
        <w:rPr>
          <w:rFonts w:ascii="Times New Roman" w:cs="Times New Roman" w:eastAsia="Times New Roman" w:hAnsi="Times New Roman"/>
          <w:sz w:val="22"/>
          <w:szCs w:val="22"/>
          <w:i w:val="1"/>
          <w:iCs w:val="1"/>
          <w:color w:val="auto"/>
        </w:rPr>
        <w:t>rounded</w:t>
      </w:r>
      <w:r>
        <w:rPr>
          <w:rFonts w:ascii="Times New Roman" w:cs="Times New Roman" w:eastAsia="Times New Roman" w:hAnsi="Times New Roman"/>
          <w:sz w:val="22"/>
          <w:szCs w:val="22"/>
          <w:color w:val="auto"/>
        </w:rPr>
        <w:t xml:space="preserve"> to the nearest cent, with half a cent being </w:t>
      </w:r>
      <w:r>
        <w:rPr>
          <w:rFonts w:ascii="Times New Roman" w:cs="Times New Roman" w:eastAsia="Times New Roman" w:hAnsi="Times New Roman"/>
          <w:sz w:val="22"/>
          <w:szCs w:val="22"/>
          <w:i w:val="1"/>
          <w:iCs w:val="1"/>
          <w:color w:val="auto"/>
        </w:rPr>
        <w:t xml:space="preserve">rounded </w:t>
      </w:r>
      <w:r>
        <w:rPr>
          <w:rFonts w:ascii="Times New Roman" w:cs="Times New Roman" w:eastAsia="Times New Roman" w:hAnsi="Times New Roman"/>
          <w:sz w:val="22"/>
          <w:szCs w:val="22"/>
          <w:color w:val="auto"/>
        </w:rPr>
        <w:t>upward) payable in respect</w:t>
      </w:r>
    </w:p>
    <w:p>
      <w:pPr>
        <w:spacing w:after="0" w:line="160"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155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of each Class of Floating Rate Debt on the related Payment Date in respect of the related Interest Accrual Period or portion thereof. At such time, the Calculation Agent will communicate such rates and amounts to the Issuer, the Collateral Trustee, the Loan Agent, the Paying Agent, the Collateral Manager, the Collateral Administrator, DTC, Euroclear and Clearstream. The Calculation Agent will notify the Issuer before 5:00 p.m. (New York time) on the U.S. Government Securities Business Day immediately following each Interest Determination Date if it has not determined and is not in the process of determining any such Interest Rate or Debt Interest Amount together with its reasons therefor. The Calculation Agent's determination of the foregoing rates and amounts for any Interest Accrual Period will (in the absence of manifest error) be final and binding upon all parties.</w:t>
      </w:r>
    </w:p>
    <w:p>
      <w:pPr>
        <w:spacing w:after="0" w:line="170" w:lineRule="exact"/>
        <w:rPr>
          <w:sz w:val="20"/>
          <w:szCs w:val="20"/>
          <w:color w:val="auto"/>
        </w:rPr>
      </w:pPr>
    </w:p>
    <w:p>
      <w:pPr>
        <w:jc w:val="both"/>
        <w:ind w:left="760" w:firstLine="1015"/>
        <w:spacing w:after="0" w:line="236" w:lineRule="auto"/>
        <w:tabs>
          <w:tab w:leader="none" w:pos="2210"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Agent and the Collateral Trustee shall have no liability for any inability, failure or delay on its part to perform any of its duties set forth in this Indenture as a result of the unavailability of the Benchmark (or other applicable Interest Rate) and absence of a designated replacement Interest Rate, including as a result of any inability, delay, error or inaccuracy on the part of any other transaction party, including without limitation the Collateral Manager, in providing any direction, instruction, notice or information required or contemplated by the terms of this Indenture and reasonably required for the performance of such duties.</w:t>
      </w:r>
    </w:p>
    <w:p>
      <w:pPr>
        <w:spacing w:after="0" w:line="181" w:lineRule="exact"/>
        <w:rPr>
          <w:rFonts w:ascii="Times New Roman" w:cs="Times New Roman" w:eastAsia="Times New Roman" w:hAnsi="Times New Roman"/>
          <w:sz w:val="22"/>
          <w:szCs w:val="22"/>
          <w:color w:val="auto"/>
        </w:rPr>
      </w:pPr>
    </w:p>
    <w:p>
      <w:pPr>
        <w:jc w:val="both"/>
        <w:ind w:left="760" w:firstLine="1015"/>
        <w:spacing w:after="0" w:line="238" w:lineRule="auto"/>
        <w:tabs>
          <w:tab w:leader="none" w:pos="2210"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Agent shall not be bound to follow any amendment or supplement to this Indenture that would (A) increase the duties, obligations or liabilities of or reduce or eliminate any right or privilege of the Calculation Agent, (B) expand the Calculation Agent's discretion under this Indenture or the Transaction Documents (including with respect to, but not limited to, the Interest Rate or any Fallback Rate), or (C) adversely affect the Calculation Agent, in each case without the prior written consent of the Calculation Agent.</w:t>
      </w:r>
    </w:p>
    <w:p>
      <w:pPr>
        <w:spacing w:after="0" w:line="176" w:lineRule="exact"/>
        <w:rPr>
          <w:rFonts w:ascii="Times New Roman" w:cs="Times New Roman" w:eastAsia="Times New Roman" w:hAnsi="Times New Roman"/>
          <w:sz w:val="22"/>
          <w:szCs w:val="22"/>
          <w:color w:val="auto"/>
        </w:rPr>
      </w:pPr>
    </w:p>
    <w:p>
      <w:pPr>
        <w:jc w:val="both"/>
        <w:ind w:left="760" w:firstLine="1015"/>
        <w:spacing w:after="0" w:line="236" w:lineRule="auto"/>
        <w:tabs>
          <w:tab w:leader="none" w:pos="2210"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Agent and the Collateral Trustee shall have no liability for any interest rate published by any publication that is the source for determining the interest rates of the Secured Debt, including but not limited to CME Group Benchmark Administration Limited (or any successor source), for any rates compiled by the Loan Syndications and Trading Association or the Alternative Reference Rates Committee, or for any rates published on any publicly available source, or in any of the foregoing cases for any delay, error or inaccuracy in the publication of any such rates, or for any subsequent correction or adjustment thereto.</w:t>
      </w:r>
    </w:p>
    <w:p>
      <w:pPr>
        <w:spacing w:after="0" w:line="181"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Collateral Trustee, Paying Agent nor Calculation Agent shall be under any obligation (i) to monitor, determine or verify the unavailability or cessation of Term SOFR Rate (or other applicable Benchmark), or whether or when there has occurred, or to give notice to any other transaction party of the occurrence of, any event giving rise to a Fallback Rate , (ii) to select, determine or designate any Fallback Rate (Base Rate Modifier or spread adjustment thereto), or other successor or replacement benchmark index, or determine whether any conditions to the designation of such a rate have been satisfied. Neither the Collateral Trustee, Paying Agent, nor Calculation Agent shall be liable for any inability, failure or delay on its part to perform any of its duties set forth in this Indenture or other Transaction Document as a result of the unavailability of Term SOFR Rate (or other applicable Benchmark) and absence of a designated</w:t>
      </w:r>
    </w:p>
    <w:p>
      <w:pPr>
        <w:spacing w:after="0" w:line="15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156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replacement Benchmark, including as a result of any inability, delay, error or inaccuracy on the part of any other transaction party, including without limitation the Collateral Manager, in providing any direction, instruction, notice or information required or contemplated by the terms of this Indenture or other Transaction Document and reasonably required for the performance of such duties or (iii) to calculate any Benchmark or Fallback Rate to the extent it is incapable of implementing operationally. The Calculation Agent shall, in respect of any Interest Determination Date, have no liability for the application of the Benchmark as determined on the previous Interest Determination Date if so required hereunder. If the Calculation Agent at any time or times determines in its reasonable judgment that guidance is needed to perform its duties, or if it is required to decide between alternative courses of action, the Calculation Agent may (but is not obligated to) reasonably request guidance in the form of written instructions (or, in its sole discretion, oral instruction followed by written confirmation) from the Collateral Manager, including without limitation in respect of facilitating or specifying administrative procedures with respect to the calculation of any Benchmark, on which the Calculation Agent shall be entitled to rely without liability. The Calculation Agent shall be entitled to refrain from action pending receipt of such instruction. In connection with each Floating Rate Obligation, neither the Collateral Trustee nor the Collateral Administrator shall have any responsibility or liability for (i) monitoring the status of the applicable Benchmark, (ii) determining whether a substitute index should or could be selected, (iii) determining the selection of any such substitute index or (iv) exercising any right related to the foregoing on behalf of the Issuer or any other Person.</w:t>
      </w:r>
    </w:p>
    <w:p>
      <w:pPr>
        <w:spacing w:after="0" w:line="17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7.17 Certain Tax Matters</w:t>
      </w:r>
      <w:r>
        <w:rPr>
          <w:rFonts w:ascii="Times New Roman" w:cs="Times New Roman" w:eastAsia="Times New Roman" w:hAnsi="Times New Roman"/>
          <w:sz w:val="22"/>
          <w:szCs w:val="22"/>
          <w:color w:val="auto"/>
        </w:rPr>
        <w:t xml:space="preserve"> . (a) The Issuer will treat the Issuer and the Debt as described in the final Offering Circular under the heading "Certain U.S. Federal Income Tax Considerations" for all U.S. federal, state and local income tax purposes and will take no action inconsistent with such treatment unless required by law.</w:t>
      </w:r>
    </w:p>
    <w:p>
      <w:pPr>
        <w:spacing w:after="0" w:line="173" w:lineRule="exact"/>
        <w:rPr>
          <w:sz w:val="20"/>
          <w:szCs w:val="20"/>
          <w:color w:val="auto"/>
        </w:rPr>
      </w:pPr>
    </w:p>
    <w:p>
      <w:pPr>
        <w:jc w:val="both"/>
        <w:ind w:firstLine="1505"/>
        <w:spacing w:after="0" w:line="236" w:lineRule="auto"/>
        <w:tabs>
          <w:tab w:leader="none" w:pos="1929"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will prepare and file, or shall hire accountants and the accountants shall cause to be prepared and filed (and, where applicable, delivered to the Issuer or Holders) for each taxable year of the Issuer any U.S. federal, state and local income tax returns and reports as required under the Code, or any tax returns or information tax returns required by any Governmental Authority which the Issuer are required to file (and, where applicable, deliver), and shall provide to each Holder any information that such Holder reasonably requests in order for such Holder to comply with its U.S. federal, state or local tax and information return and reporting obligations.</w:t>
      </w:r>
    </w:p>
    <w:p>
      <w:pPr>
        <w:spacing w:after="0" w:line="181" w:lineRule="exact"/>
        <w:rPr>
          <w:rFonts w:ascii="Times New Roman" w:cs="Times New Roman" w:eastAsia="Times New Roman" w:hAnsi="Times New Roman"/>
          <w:sz w:val="22"/>
          <w:szCs w:val="22"/>
          <w:color w:val="auto"/>
        </w:rPr>
      </w:pPr>
    </w:p>
    <w:p>
      <w:pPr>
        <w:jc w:val="both"/>
        <w:ind w:firstLine="1505"/>
        <w:spacing w:after="0" w:line="247" w:lineRule="auto"/>
        <w:tabs>
          <w:tab w:leader="none" w:pos="1929"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herein to the contrary, the Issuer shall take, any and all reasonable actions that may be necessary or appropriate to ensure that the Issuer satisfies any and all reporting, withholding and tax payment obligations under Sections 1441, 1442, 1445, 1446, 1471 and 1472 of the Code, as well as and any other provision of the Code or other applicable law. Without limiting the generality of the foregoing, (i) the Issuer may withhold any amount that it or any advisor retained by the Collateral Trustee on its behalf determines is required to be withheld from any amounts otherwise distributable to any Holder and (ii) if reasonably able to do so, the Issuer shall deliver or cause to be delivered an applicable IRS Form W-9 or successor applicable form and other properly completed and executed documentation, as it determines is necessary to permit the Issuer to receive payments without withholding or deduction or at a reduced rate of withholding or deduction.</w:t>
      </w:r>
    </w:p>
    <w:p>
      <w:pPr>
        <w:spacing w:after="0" w:line="151"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157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85" w:lineRule="exact"/>
        <w:rPr>
          <w:sz w:val="20"/>
          <w:szCs w:val="20"/>
          <w:color w:val="auto"/>
        </w:rPr>
      </w:pPr>
    </w:p>
    <w:p>
      <w:pPr>
        <w:ind w:left="1940" w:hanging="435"/>
        <w:spacing w:after="0"/>
        <w:tabs>
          <w:tab w:leader="none" w:pos="194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Issuer's receipt of a written request of a Holder or written request of a Person certifying that it is an owner of a beneficial interest in Debt, delivered in accordance with the notice procedures of </w:t>
      </w:r>
      <w:r>
        <w:rPr>
          <w:rFonts w:ascii="Times New Roman" w:cs="Times New Roman" w:eastAsia="Times New Roman" w:hAnsi="Times New Roman"/>
          <w:sz w:val="22"/>
          <w:szCs w:val="22"/>
          <w:u w:val="single" w:color="auto"/>
          <w:color w:val="auto"/>
        </w:rPr>
        <w:t>Section 14.3</w:t>
      </w:r>
      <w:r>
        <w:rPr>
          <w:rFonts w:ascii="Times New Roman" w:cs="Times New Roman" w:eastAsia="Times New Roman" w:hAnsi="Times New Roman"/>
          <w:sz w:val="22"/>
          <w:szCs w:val="22"/>
          <w:color w:val="auto"/>
        </w:rPr>
        <w:t>, for the information described in Treasury Regulations section 1.1275-3(b)(1)(i) that is applicable to such Holder or beneficial owner, the Issuer shall promptly cause its Independent accountants to provide such information to the Collateral Trustee and the requesting Holder or beneficial owner.</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more than 50% of the debt obligations (as determined for U.S. federal income tax purposes) held by the Issuer may at any time consist of real estate mortgages as determined for purposes of section 7701(i) of the Code unless, based on an opinion or advice from Cadwalader, Wickersham &amp; Taft LLP or Dechert LLP, or an opinion of other nationally recognized U.S. tax counsel experienced in such matters, the ownership or such debt obligations will not cause the Issuer to be treated as a taxable mortgage pool for U.S. federal income tax purposes.</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 Re-Pricing or a designation of a Fallback Rate, the Issuer will cause its Independent accountants to assist the Issuer in complying with any requirements under Treasury Regulations section 1.1273-2(f)(9) (or any successor provision), including, (i) determining whether Debt subject to such Re-Pricing or a designation of Fallback Rate are traded on an established market, (ii) if so traded, to cause its Independent accountants to determine the fair market value of such Debt, and (iii) to make available such fair market value determination to Holders and beneficial owners of Debt in a commercially reasonable fashion, including by electronic publication, within 90 days after the effective date of such Re-Pricing or designation of a Fallback Rate.</w:t>
      </w:r>
    </w:p>
    <w:p>
      <w:pPr>
        <w:spacing w:after="0" w:line="18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and each beneficial owner of Debt agrees that the Issuer and its agents may provide any such information and documentation concerning to the IRS and any other relevant tax or regulatory authority.</w:t>
      </w:r>
    </w:p>
    <w:p>
      <w:pPr>
        <w:spacing w:after="0" w:line="158"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each taxable year (or portion thereof) that the Issuer is treated as a partnership for U.S. federal income tax purposes </w:t>
      </w:r>
      <w:r>
        <w:rPr>
          <w:rFonts w:ascii="Times New Roman" w:cs="Times New Roman" w:eastAsia="Times New Roman" w:hAnsi="Times New Roman"/>
          <w:sz w:val="22"/>
          <w:szCs w:val="22"/>
          <w:u w:val="single" w:color="auto"/>
          <w:color w:val="auto"/>
        </w:rPr>
        <w:t>Sections 7.17(i)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7.17(p)</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7.17(r)</w:t>
      </w:r>
      <w:r>
        <w:rPr>
          <w:rFonts w:ascii="Times New Roman" w:cs="Times New Roman" w:eastAsia="Times New Roman" w:hAnsi="Times New Roman"/>
          <w:sz w:val="22"/>
          <w:szCs w:val="22"/>
          <w:color w:val="auto"/>
        </w:rPr>
        <w:t xml:space="preserve"> shall apply. The Majority Holder of the Subordinated Notes will be the initial "partnership representative" (as defined in Section 6223 of the Code) (the "</w:t>
      </w:r>
      <w:r>
        <w:rPr>
          <w:rFonts w:ascii="Times New Roman" w:cs="Times New Roman" w:eastAsia="Times New Roman" w:hAnsi="Times New Roman"/>
          <w:sz w:val="22"/>
          <w:szCs w:val="22"/>
          <w:u w:val="single" w:color="auto"/>
          <w:color w:val="auto"/>
        </w:rPr>
        <w:t>Partnership Representative</w:t>
      </w:r>
      <w:r>
        <w:rPr>
          <w:rFonts w:ascii="Times New Roman" w:cs="Times New Roman" w:eastAsia="Times New Roman" w:hAnsi="Times New Roman"/>
          <w:sz w:val="22"/>
          <w:szCs w:val="22"/>
          <w:color w:val="auto"/>
        </w:rPr>
        <w:t xml:space="preserve">") and may designate the Partnership Representative from time to time from among any willing Holder of Subordinated Notes or itself and any of its Affiliates with respect to any taxable year of the Issuer during which it holds or has held any Subordinated Notes (and if such designee is not eligible under the Code to be the Partnership Representative, it shall be the agent and attorney-in-fact of the Partnership 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during any other period or if the Majority Holder of the Subordinated Notes declines to so designate a Partnership Representative, the Issuer (after consultation with the Collateral Manager) shall designate the Partnership Representative from among any Holder of Subordinated Notes (and if such designee is not eligible under the Code to be the Partnership Representative, it shall be the agent and attorney-in-fact of the Partnership Representative). The Partnership Representative (or, if applicable, its agent and attorney-in-fact) shall sign the Issuer's tax returns and is authorized to make tax elections on behalf of the Issuer in its reasonable discretion, to determine the amount and characterization of any allocations or tax</w:t>
      </w:r>
    </w:p>
    <w:p>
      <w:pPr>
        <w:spacing w:after="0" w:line="161"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158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items described in this </w:t>
      </w:r>
      <w:r>
        <w:rPr>
          <w:rFonts w:ascii="Times New Roman" w:cs="Times New Roman" w:eastAsia="Times New Roman" w:hAnsi="Times New Roman"/>
          <w:sz w:val="21"/>
          <w:szCs w:val="21"/>
          <w:u w:val="single" w:color="auto"/>
          <w:color w:val="auto"/>
        </w:rPr>
        <w:t>Section 7.17</w:t>
      </w:r>
      <w:r>
        <w:rPr>
          <w:rFonts w:ascii="Times New Roman" w:cs="Times New Roman" w:eastAsia="Times New Roman" w:hAnsi="Times New Roman"/>
          <w:sz w:val="21"/>
          <w:szCs w:val="21"/>
          <w:color w:val="auto"/>
        </w:rPr>
        <w:t xml:space="preserve"> in its reasonable discretion, and to take all actions and do such things as required or as it shall deem appropriate under the Code, at the Issuer's sole expense, including representing the Issuer before taxing authorities and courts in tax matters affecting the Issuer and any "partners" of the Issuer for U.S. federal income tax purposes (the " </w:t>
      </w:r>
      <w:r>
        <w:rPr>
          <w:rFonts w:ascii="Times New Roman" w:cs="Times New Roman" w:eastAsia="Times New Roman" w:hAnsi="Times New Roman"/>
          <w:sz w:val="21"/>
          <w:szCs w:val="21"/>
          <w:u w:val="single" w:color="auto"/>
          <w:color w:val="auto"/>
        </w:rPr>
        <w:t>Partners</w:t>
      </w:r>
      <w:r>
        <w:rPr>
          <w:rFonts w:ascii="Times New Roman" w:cs="Times New Roman" w:eastAsia="Times New Roman" w:hAnsi="Times New Roman"/>
          <w:sz w:val="21"/>
          <w:szCs w:val="21"/>
          <w:color w:val="auto"/>
        </w:rPr>
        <w:t>"). Any action taken by the Partnership Representative in connection with audits of the Issuer under the Code will, to the extent permitted by law, be binding upon the Partners. Each such Partner agrees that it will treat any Issuer item on such Partner's income tax returns consistently with the treatment of the item on the Issuer's tax return and that such Partner will not independently act with respect to tax audits or tax litigation affecting the Issuer, unless previously authorized to do so in writing by the Partnership Representative (or, if applicable, its agent and attorney-in-fact), which authorization may be withheld in the complete discretion of the Partnership Representative (or, if applicable, its agent and attorney-in fact). The Issuer will, to the fullest extent permitted by law, reimburse and indemnify the Partnership Representative and any agent and attorney-in-fact of such Partnership Representative in connection with any expenses reasonably incurred in connection with its performance of its duties as or on behalf of the Partnership Representative. For the avoidance of doubt, any indemnity or reimbursement provided pursuant to the immediately foregoing sentence shall be treated as an Administrative Expense pursuant to the definition thereof.</w:t>
      </w:r>
    </w:p>
    <w:p>
      <w:pPr>
        <w:spacing w:after="0" w:line="183" w:lineRule="exact"/>
        <w:rPr>
          <w:sz w:val="20"/>
          <w:szCs w:val="20"/>
          <w:color w:val="auto"/>
        </w:rPr>
      </w:pPr>
    </w:p>
    <w:p>
      <w:pPr>
        <w:jc w:val="both"/>
        <w:ind w:firstLine="1505"/>
        <w:spacing w:after="0" w:line="255" w:lineRule="auto"/>
        <w:tabs>
          <w:tab w:leader="none" w:pos="1929"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Partnership Representative shall establish and maintain or cause to be established and maintained on the books and records of the Issuer an individual capital account for each Holder of Subordinated Notes (including, for purposes of this </w:t>
      </w:r>
      <w:r>
        <w:rPr>
          <w:rFonts w:ascii="Times New Roman" w:cs="Times New Roman" w:eastAsia="Times New Roman" w:hAnsi="Times New Roman"/>
          <w:sz w:val="21"/>
          <w:szCs w:val="21"/>
          <w:u w:val="single" w:color="auto"/>
          <w:color w:val="auto"/>
        </w:rPr>
        <w:t>Section 7.17(j)</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7.17(k)</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(n)</w:t>
      </w:r>
      <w:r>
        <w:rPr>
          <w:rFonts w:ascii="Times New Roman" w:cs="Times New Roman" w:eastAsia="Times New Roman" w:hAnsi="Times New Roman"/>
          <w:sz w:val="21"/>
          <w:szCs w:val="21"/>
          <w:color w:val="auto"/>
        </w:rPr>
        <w:t>, any Holder of Subordinated Notes (as determined for U.S. federal income tax purposes)), in accordance with Section 704(b) of the Code and Treasury Regulations section 1.704-1(b)(2)(iv).</w:t>
      </w:r>
    </w:p>
    <w:p>
      <w:pPr>
        <w:spacing w:after="0" w:line="161" w:lineRule="exact"/>
        <w:rPr>
          <w:rFonts w:ascii="Times New Roman" w:cs="Times New Roman" w:eastAsia="Times New Roman" w:hAnsi="Times New Roman"/>
          <w:sz w:val="21"/>
          <w:szCs w:val="21"/>
          <w:color w:val="auto"/>
        </w:rPr>
      </w:pPr>
    </w:p>
    <w:p>
      <w:pPr>
        <w:jc w:val="both"/>
        <w:ind w:firstLine="1505"/>
        <w:spacing w:after="0" w:line="249" w:lineRule="auto"/>
        <w:tabs>
          <w:tab w:leader="none" w:pos="1929"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giving effect to </w:t>
      </w:r>
      <w:r>
        <w:rPr>
          <w:rFonts w:ascii="Times New Roman" w:cs="Times New Roman" w:eastAsia="Times New Roman" w:hAnsi="Times New Roman"/>
          <w:sz w:val="21"/>
          <w:szCs w:val="21"/>
          <w:u w:val="single" w:color="auto"/>
          <w:color w:val="auto"/>
        </w:rPr>
        <w:t>Section 7.17(l)</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7.17(m)</w:t>
      </w:r>
      <w:r>
        <w:rPr>
          <w:rFonts w:ascii="Times New Roman" w:cs="Times New Roman" w:eastAsia="Times New Roman" w:hAnsi="Times New Roman"/>
          <w:sz w:val="21"/>
          <w:szCs w:val="21"/>
          <w:color w:val="auto"/>
        </w:rPr>
        <w:t>, all Issuer items of income, gain, loss and deduction shall be allocated among the Holders of Subordinated Notes in a manner such that, after the allocation, each such Holder's capital account is equal (as nearly as possible) to the amount that such Holder would receive from the Issuer if the Issuer</w:t>
      </w:r>
    </w:p>
    <w:p>
      <w:pPr>
        <w:spacing w:after="0" w:line="1" w:lineRule="exact"/>
        <w:rPr>
          <w:rFonts w:ascii="Times New Roman" w:cs="Times New Roman" w:eastAsia="Times New Roman" w:hAnsi="Times New Roman"/>
          <w:sz w:val="21"/>
          <w:szCs w:val="21"/>
          <w:color w:val="auto"/>
        </w:rPr>
      </w:pPr>
    </w:p>
    <w:p>
      <w:pPr>
        <w:jc w:val="both"/>
        <w:ind w:firstLine="8"/>
        <w:spacing w:after="0" w:line="234" w:lineRule="auto"/>
        <w:tabs>
          <w:tab w:leader="none" w:pos="28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sold all of its assets for their Book Values, (ii) applied the proceeds to discharge Issuer liabilities at face amount, and (iii) distributed the remaining proceeds in accordance with the provisions of this Indenture (other than this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 minus the sum of such Holder's share of "partnership minimum gain" (within the meaning of Treasury Regulations section 1.704-2(b)(2)) and "partner nonrecourse debt minimum gain" (within the meaning of Treasury Regulations section 1.704-2(i)(3)).</w:t>
      </w:r>
    </w:p>
    <w:p>
      <w:pPr>
        <w:spacing w:after="0" w:line="177"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This </w:t>
      </w:r>
      <w:r>
        <w:rPr>
          <w:rFonts w:ascii="Times New Roman" w:cs="Times New Roman" w:eastAsia="Times New Roman" w:hAnsi="Times New Roman"/>
          <w:sz w:val="22"/>
          <w:szCs w:val="22"/>
          <w:u w:val="single" w:color="auto"/>
          <w:color w:val="auto"/>
        </w:rPr>
        <w:t>Section 7.17(l)(i)</w:t>
      </w:r>
      <w:r>
        <w:rPr>
          <w:rFonts w:ascii="Times New Roman" w:cs="Times New Roman" w:eastAsia="Times New Roman" w:hAnsi="Times New Roman"/>
          <w:sz w:val="22"/>
          <w:szCs w:val="22"/>
          <w:color w:val="auto"/>
        </w:rPr>
        <w:t xml:space="preserve"> incorporates by reference, as if fully set forth herein, the "minimum gain chargeback" requirement contained in Treasury Regulations section 1.704-2(f), the "partner minimum gain chargeback" requirement contained in Treasury Regulations section 1.704-2(i), and the "qualified income offset" requirement contained in Treasury Regulations section 1.704-1(b)(2)(ii)(d).</w:t>
      </w:r>
    </w:p>
    <w:p>
      <w:pPr>
        <w:spacing w:after="0" w:line="180" w:lineRule="exact"/>
        <w:rPr>
          <w:rFonts w:ascii="Times New Roman" w:cs="Times New Roman" w:eastAsia="Times New Roman" w:hAnsi="Times New Roman"/>
          <w:sz w:val="22"/>
          <w:szCs w:val="22"/>
          <w:color w:val="auto"/>
        </w:rPr>
      </w:pPr>
    </w:p>
    <w:p>
      <w:pPr>
        <w:jc w:val="both"/>
        <w:ind w:left="760" w:firstLine="1015"/>
        <w:spacing w:after="0" w:line="239" w:lineRule="auto"/>
        <w:tabs>
          <w:tab w:leader="none" w:pos="2210" w:val="left"/>
        </w:tabs>
        <w:numPr>
          <w:ilvl w:val="2"/>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Holder of Subordinated Notes has a deficit capital account at the end of any Issuer taxable year that is in excess of the amount such Holder is deemed to be obligated to restore pursuant to the penultimate sentences of Treasury Regulations sections 1.704-2(g)(1) and 1.704-2(i)(5), such Holder will be allocated items of Issuer income and gain in the amount of such excess as quickly as possible.</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159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85"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 xml:space="preserve">Notwithstanding the foregoing, an allocation pursuant to this </w:t>
      </w:r>
      <w:r>
        <w:rPr>
          <w:rFonts w:ascii="Times New Roman" w:cs="Times New Roman" w:eastAsia="Times New Roman" w:hAnsi="Times New Roman"/>
          <w:sz w:val="22"/>
          <w:szCs w:val="22"/>
          <w:u w:val="single" w:color="auto"/>
          <w:color w:val="auto"/>
        </w:rPr>
        <w:t>Section 7.17(l)(ii)</w:t>
      </w:r>
      <w:r>
        <w:rPr>
          <w:rFonts w:ascii="Times New Roman" w:cs="Times New Roman" w:eastAsia="Times New Roman" w:hAnsi="Times New Roman"/>
          <w:sz w:val="22"/>
          <w:szCs w:val="22"/>
          <w:color w:val="auto"/>
        </w:rPr>
        <w:t xml:space="preserve"> will be made only if and to the extent that such Holder would have a deficit capital account in excess of such amount after all other allocations provided for in this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 xml:space="preserve"> have been tentatively made as if this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 xml:space="preserve"> did not include this </w:t>
      </w:r>
      <w:r>
        <w:rPr>
          <w:rFonts w:ascii="Times New Roman" w:cs="Times New Roman" w:eastAsia="Times New Roman" w:hAnsi="Times New Roman"/>
          <w:sz w:val="22"/>
          <w:szCs w:val="22"/>
          <w:u w:val="single" w:color="auto"/>
          <w:color w:val="auto"/>
        </w:rPr>
        <w:t>Section 7.17(l)(ii)</w:t>
      </w:r>
      <w:r>
        <w:rPr>
          <w:rFonts w:ascii="Times New Roman" w:cs="Times New Roman" w:eastAsia="Times New Roman" w:hAnsi="Times New Roman"/>
          <w:sz w:val="22"/>
          <w:szCs w:val="22"/>
          <w:color w:val="auto"/>
        </w:rPr>
        <w:t xml:space="preserve"> or the "qualified income offset" requirement of </w:t>
      </w:r>
      <w:r>
        <w:rPr>
          <w:rFonts w:ascii="Times New Roman" w:cs="Times New Roman" w:eastAsia="Times New Roman" w:hAnsi="Times New Roman"/>
          <w:sz w:val="22"/>
          <w:szCs w:val="22"/>
          <w:u w:val="single" w:color="auto"/>
          <w:color w:val="auto"/>
        </w:rPr>
        <w:t>Section 7.17(l)(i)</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760" w:right="40" w:firstLine="1015"/>
        <w:spacing w:after="0" w:line="282" w:lineRule="auto"/>
        <w:tabs>
          <w:tab w:leader="none" w:pos="2210"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Nonrecourse deductions (within the meaning of Treasury Regulations section 1.704-2(b)(1)) will be specially allocated to the Holders of Subordinated Notes in the same manner as if they were not nonrecourse deductions.</w:t>
      </w:r>
    </w:p>
    <w:p>
      <w:pPr>
        <w:spacing w:after="0" w:line="134" w:lineRule="exact"/>
        <w:rPr>
          <w:rFonts w:ascii="Times New Roman" w:cs="Times New Roman" w:eastAsia="Times New Roman" w:hAnsi="Times New Roman"/>
          <w:sz w:val="21"/>
          <w:szCs w:val="21"/>
          <w:color w:val="auto"/>
        </w:rPr>
      </w:pPr>
    </w:p>
    <w:p>
      <w:pPr>
        <w:jc w:val="both"/>
        <w:ind w:left="760" w:firstLine="1015"/>
        <w:spacing w:after="0" w:line="239" w:lineRule="auto"/>
        <w:tabs>
          <w:tab w:leader="none" w:pos="221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Holder of Subordinated Notes will be allocated items of loss or deduction under </w:t>
      </w:r>
      <w:r>
        <w:rPr>
          <w:rFonts w:ascii="Times New Roman" w:cs="Times New Roman" w:eastAsia="Times New Roman" w:hAnsi="Times New Roman"/>
          <w:sz w:val="22"/>
          <w:szCs w:val="22"/>
          <w:u w:val="single" w:color="auto"/>
          <w:color w:val="auto"/>
        </w:rPr>
        <w:t>Section 7.17(k)</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7.17(m)</w:t>
      </w:r>
      <w:r>
        <w:rPr>
          <w:rFonts w:ascii="Times New Roman" w:cs="Times New Roman" w:eastAsia="Times New Roman" w:hAnsi="Times New Roman"/>
          <w:sz w:val="22"/>
          <w:szCs w:val="22"/>
          <w:color w:val="auto"/>
        </w:rPr>
        <w:t xml:space="preserve"> if such allocation would cause or increase a deficit balance in such Holder's capital account as of the end of the Issuer taxable year to which such allocation relates, within the meaning of Treasury Regulations section 1.704-1(b)(2)(ii)(d).</w:t>
      </w:r>
    </w:p>
    <w:p>
      <w:pPr>
        <w:spacing w:after="0" w:line="180" w:lineRule="exact"/>
        <w:rPr>
          <w:rFonts w:ascii="Times New Roman" w:cs="Times New Roman" w:eastAsia="Times New Roman" w:hAnsi="Times New Roman"/>
          <w:sz w:val="22"/>
          <w:szCs w:val="22"/>
          <w:color w:val="auto"/>
        </w:rPr>
      </w:pPr>
    </w:p>
    <w:p>
      <w:pPr>
        <w:jc w:val="both"/>
        <w:ind w:firstLine="1505"/>
        <w:spacing w:after="0" w:line="248" w:lineRule="auto"/>
        <w:tabs>
          <w:tab w:leader="none" w:pos="1929"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It is the intent of the Issuer that, to the extent possible, all special allocations made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7.17(k)</w:t>
      </w:r>
      <w:r>
        <w:rPr>
          <w:rFonts w:ascii="Times New Roman" w:cs="Times New Roman" w:eastAsia="Times New Roman" w:hAnsi="Times New Roman"/>
          <w:sz w:val="21"/>
          <w:szCs w:val="21"/>
          <w:color w:val="auto"/>
        </w:rPr>
        <w:t xml:space="preserve"> be offset either with other special allocations made pursuant to </w:t>
      </w:r>
      <w:r>
        <w:rPr>
          <w:rFonts w:ascii="Times New Roman" w:cs="Times New Roman" w:eastAsia="Times New Roman" w:hAnsi="Times New Roman"/>
          <w:sz w:val="21"/>
          <w:szCs w:val="21"/>
          <w:u w:val="single" w:color="auto"/>
          <w:color w:val="auto"/>
        </w:rPr>
        <w:t>Section 7.17(l)</w:t>
      </w:r>
      <w:r>
        <w:rPr>
          <w:rFonts w:ascii="Times New Roman" w:cs="Times New Roman" w:eastAsia="Times New Roman" w:hAnsi="Times New Roman"/>
          <w:sz w:val="21"/>
          <w:szCs w:val="21"/>
          <w:color w:val="auto"/>
        </w:rPr>
        <w:t xml:space="preserve"> or with special allocations made pursuant to this </w:t>
      </w:r>
      <w:r>
        <w:rPr>
          <w:rFonts w:ascii="Times New Roman" w:cs="Times New Roman" w:eastAsia="Times New Roman" w:hAnsi="Times New Roman"/>
          <w:sz w:val="21"/>
          <w:szCs w:val="21"/>
          <w:u w:val="single" w:color="auto"/>
          <w:color w:val="auto"/>
        </w:rPr>
        <w:t>Section 7.17(m)</w:t>
      </w:r>
      <w:r>
        <w:rPr>
          <w:rFonts w:ascii="Times New Roman" w:cs="Times New Roman" w:eastAsia="Times New Roman" w:hAnsi="Times New Roman"/>
          <w:sz w:val="21"/>
          <w:szCs w:val="21"/>
          <w:color w:val="auto"/>
        </w:rPr>
        <w:t xml:space="preserve">. Therefore, notwithstanding any other provision of this </w:t>
      </w:r>
      <w:r>
        <w:rPr>
          <w:rFonts w:ascii="Times New Roman" w:cs="Times New Roman" w:eastAsia="Times New Roman" w:hAnsi="Times New Roman"/>
          <w:sz w:val="21"/>
          <w:szCs w:val="21"/>
          <w:u w:val="single" w:color="auto"/>
          <w:color w:val="auto"/>
        </w:rPr>
        <w:t>Section 7.17</w:t>
      </w:r>
      <w:r>
        <w:rPr>
          <w:rFonts w:ascii="Times New Roman" w:cs="Times New Roman" w:eastAsia="Times New Roman" w:hAnsi="Times New Roman"/>
          <w:sz w:val="21"/>
          <w:szCs w:val="21"/>
          <w:color w:val="auto"/>
        </w:rPr>
        <w:t xml:space="preserve"> (other than </w:t>
      </w:r>
      <w:r>
        <w:rPr>
          <w:rFonts w:ascii="Times New Roman" w:cs="Times New Roman" w:eastAsia="Times New Roman" w:hAnsi="Times New Roman"/>
          <w:sz w:val="21"/>
          <w:szCs w:val="21"/>
          <w:u w:val="single" w:color="auto"/>
          <w:color w:val="auto"/>
        </w:rPr>
        <w:t>Section 7.17(l)</w:t>
      </w:r>
      <w:r>
        <w:rPr>
          <w:rFonts w:ascii="Times New Roman" w:cs="Times New Roman" w:eastAsia="Times New Roman" w:hAnsi="Times New Roman"/>
          <w:sz w:val="21"/>
          <w:szCs w:val="21"/>
          <w:color w:val="auto"/>
        </w:rPr>
        <w:t xml:space="preserve">), offsetting special allocations of Issuer items of income, gain, loss and deduction will be made so that, after such offsetting allocations are made, the capital account balance of each Holder of Subordinated Notes is, to the extent possible, equal to the capital account balance such Holder would have had if the special allocations made pursuant to </w:t>
      </w:r>
      <w:r>
        <w:rPr>
          <w:rFonts w:ascii="Times New Roman" w:cs="Times New Roman" w:eastAsia="Times New Roman" w:hAnsi="Times New Roman"/>
          <w:sz w:val="21"/>
          <w:szCs w:val="21"/>
          <w:u w:val="single" w:color="auto"/>
          <w:color w:val="auto"/>
        </w:rPr>
        <w:t>Section 7.17(l)</w:t>
      </w:r>
      <w:r>
        <w:rPr>
          <w:rFonts w:ascii="Times New Roman" w:cs="Times New Roman" w:eastAsia="Times New Roman" w:hAnsi="Times New Roman"/>
          <w:sz w:val="21"/>
          <w:szCs w:val="21"/>
          <w:color w:val="auto"/>
        </w:rPr>
        <w:t xml:space="preserve"> were not part of this </w:t>
      </w:r>
      <w:r>
        <w:rPr>
          <w:rFonts w:ascii="Times New Roman" w:cs="Times New Roman" w:eastAsia="Times New Roman" w:hAnsi="Times New Roman"/>
          <w:sz w:val="21"/>
          <w:szCs w:val="21"/>
          <w:u w:val="single" w:color="auto"/>
          <w:color w:val="auto"/>
        </w:rPr>
        <w:t>Section 7.17</w:t>
      </w:r>
      <w:r>
        <w:rPr>
          <w:rFonts w:ascii="Times New Roman" w:cs="Times New Roman" w:eastAsia="Times New Roman" w:hAnsi="Times New Roman"/>
          <w:sz w:val="21"/>
          <w:szCs w:val="21"/>
          <w:color w:val="auto"/>
        </w:rPr>
        <w:t xml:space="preserve"> and all Issuer items of income, gain, loss and deduction were allocated pursuant to </w:t>
      </w:r>
      <w:r>
        <w:rPr>
          <w:rFonts w:ascii="Times New Roman" w:cs="Times New Roman" w:eastAsia="Times New Roman" w:hAnsi="Times New Roman"/>
          <w:sz w:val="21"/>
          <w:szCs w:val="21"/>
          <w:u w:val="single" w:color="auto"/>
          <w:color w:val="auto"/>
        </w:rPr>
        <w:t>Section 7.17(k)</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1505"/>
        <w:spacing w:after="0" w:line="238" w:lineRule="auto"/>
        <w:tabs>
          <w:tab w:leader="none" w:pos="1929"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U.S. federal, state and local income tax purposes, items of Issuer income, gain, loss, and deduction will be allocated among the Holders of Subordinated Notes in accordance with the allocations of the corresponding items for capital account purposes under this </w:t>
      </w:r>
      <w:r>
        <w:rPr>
          <w:rFonts w:ascii="Times New Roman" w:cs="Times New Roman" w:eastAsia="Times New Roman" w:hAnsi="Times New Roman"/>
          <w:sz w:val="22"/>
          <w:szCs w:val="22"/>
          <w:u w:val="single" w:color="auto"/>
          <w:color w:val="auto"/>
        </w:rPr>
        <w:t>Section 7.17(n)</w:t>
      </w:r>
      <w:r>
        <w:rPr>
          <w:rFonts w:ascii="Times New Roman" w:cs="Times New Roman" w:eastAsia="Times New Roman" w:hAnsi="Times New Roman"/>
          <w:sz w:val="22"/>
          <w:szCs w:val="22"/>
          <w:color w:val="auto"/>
        </w:rPr>
        <w:t>, except that items with respect to which there is a difference between adjusted tax basis and Book Value will be allocated in accordance with Section 704(c) of the Code using a method chosen by the Partnership Representative as described in Treasury Regulations section 1.704-3.</w:t>
      </w:r>
    </w:p>
    <w:p>
      <w:pPr>
        <w:spacing w:after="0" w:line="176"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Partnership Representative is authorized to amend the allocations described in this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 xml:space="preserve"> as necessary to ensure that all allocations made pursuant to this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 xml:space="preserve"> are treated as having "substantial economic effect" within the meaning of Section 704 of the Code.</w:t>
      </w:r>
    </w:p>
    <w:p>
      <w:pPr>
        <w:spacing w:after="0" w:line="173"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 Representative may, in its sole discretion, cause the Issuer to make an election under Section 754 of the Code.</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1505"/>
        <w:spacing w:after="0" w:line="261" w:lineRule="auto"/>
        <w:tabs>
          <w:tab w:leader="none" w:pos="1929"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IRS, in connection with an audit governed by the tax audit rules set forth in Sections 6221 through 6241 of the Code (the "</w:t>
      </w:r>
      <w:r>
        <w:rPr>
          <w:rFonts w:ascii="Times New Roman" w:cs="Times New Roman" w:eastAsia="Times New Roman" w:hAnsi="Times New Roman"/>
          <w:sz w:val="21"/>
          <w:szCs w:val="21"/>
          <w:u w:val="single" w:color="auto"/>
          <w:color w:val="auto"/>
        </w:rPr>
        <w:t>Partnership Tax Audit Rules</w:t>
      </w:r>
      <w:r>
        <w:rPr>
          <w:rFonts w:ascii="Times New Roman" w:cs="Times New Roman" w:eastAsia="Times New Roman" w:hAnsi="Times New Roman"/>
          <w:sz w:val="21"/>
          <w:szCs w:val="21"/>
          <w:color w:val="auto"/>
        </w:rPr>
        <w:t>"), proposes an adjustment greater than $25,000 in the amount of any item of income, gain, loss, deduction or credit of the Issuer, or any Partner's distributive share thereof, and such adjustment results in an</w:t>
      </w:r>
    </w:p>
    <w:p>
      <w:pPr>
        <w:spacing w:after="0" w:line="13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160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"imputed underpayment" as described in Section 6225(b) of the Code together with any guidance issued thereunder or successor provisions (a "</w:t>
      </w:r>
      <w:r>
        <w:rPr>
          <w:rFonts w:ascii="Times New Roman" w:cs="Times New Roman" w:eastAsia="Times New Roman" w:hAnsi="Times New Roman"/>
          <w:sz w:val="21"/>
          <w:szCs w:val="21"/>
          <w:u w:val="single" w:color="auto"/>
          <w:color w:val="auto"/>
        </w:rPr>
        <w:t>Covered Audit Adjustment</w:t>
      </w:r>
      <w:r>
        <w:rPr>
          <w:rFonts w:ascii="Times New Roman" w:cs="Times New Roman" w:eastAsia="Times New Roman" w:hAnsi="Times New Roman"/>
          <w:sz w:val="21"/>
          <w:szCs w:val="21"/>
          <w:color w:val="auto"/>
        </w:rPr>
        <w:t>"), the Partnership Representative will use commercially reasonable efforts (taking into account whether the Partnership Representative has received any needed information on a timely basis from the Partners), to apply the alternative method provided by Section 6226 of the Code together with any guidance issued thereunder or successor provisions (the "</w:t>
      </w:r>
      <w:r>
        <w:rPr>
          <w:rFonts w:ascii="Times New Roman" w:cs="Times New Roman" w:eastAsia="Times New Roman" w:hAnsi="Times New Roman"/>
          <w:sz w:val="21"/>
          <w:szCs w:val="21"/>
          <w:u w:val="single" w:color="auto"/>
          <w:color w:val="auto"/>
        </w:rPr>
        <w:t>Alternative Method</w:t>
      </w:r>
      <w:r>
        <w:rPr>
          <w:rFonts w:ascii="Times New Roman" w:cs="Times New Roman" w:eastAsia="Times New Roman" w:hAnsi="Times New Roman"/>
          <w:sz w:val="21"/>
          <w:szCs w:val="21"/>
          <w:color w:val="auto"/>
        </w:rPr>
        <w:t>"). In the event the proposed adjustment is equal to or less than $25,000, the Partnership Representative may in its sole discretion elect to have the Issuer pay such adjustment. To the extent that the Partnership Representative does not (or is unable to) elect the Alternative Method with respect to a Covered Audit Adjustment and such Covered Audit Adjustment is material as to the Issuer (determined in the Partnership Representative's sole discretion), the Partnership Representative shall use commercially reasonable efforts to (i) to the extent not economically or administratively burdensome or onerous, make reasonable modifications available under Sections 6225(c)(3), (4) and (5) of the Code together with any guidance issued thereunder or successor provisions, to the extent that such modifications are available (taking into account whether the Partnership Representative has received any needed information on a timely basis from the Partners) and would reduce any taxes payable by the Issuer with respect to the Covered Audit Adjustment, and (ii) if reasonably requested by a Partner, provide to such Partner available information allowing such Partner to file an amended U.S. federal income tax return, as described in Section 6225(c)(2) of the Code together with any guidance issued thereunder or successor provisions, to the extent that such amended return and payment of any related U.S. federal income taxes would reduce any taxes payable by the Issuer with respect to the Covered Audit Adjustment (after taking into account any modifications described in clause (i)). Similar procedures shall be followed in connection with any state or local income tax audit governed by rules similar to the Partnership Tax Audit Rules. Any U.S. federal income taxes (and any related interest and penalties) paid by the Issuer (or any diminution in distributable proceeds resulting from an adjustment under Partnership Tax Audit Rules) may be allocated in the reasonable discretion of the Issuer to those Partners to whom such amounts are specifically attributable (whether as a result of their status, actions, inactions or otherwise), as determined in the reasonable discretion of the Issuer. Each Partner agrees to (a) provide tax information or certifications (including evidence of filing or payment of tax) as reasonably requested by the Partnership Representative in connection with a Covered Audit Adjustment; (b) comply with the Partnership Representative's reasonable request to file accurate and timely amended returns to reflect a Covered Audit Adjustment; and (c) be liable for and economically bear (and indemnify and hold the Issuer and each other Partner harmless from), all taxes and related interest, penalties and other liabilities including reasonable administrative costs resulting from or otherwise attributable to the Partner's allocable share of the tax items affected by the audit adjustment. This clause shall survive the transfer or termination of a partnership interest, as well as the termination, dissolution, liquidation and winding up of the Issuer.</w:t>
      </w:r>
    </w:p>
    <w:p>
      <w:pPr>
        <w:spacing w:after="0" w:line="200" w:lineRule="exact"/>
        <w:rPr>
          <w:sz w:val="20"/>
          <w:szCs w:val="20"/>
          <w:color w:val="auto"/>
        </w:rPr>
      </w:pPr>
    </w:p>
    <w:p>
      <w:pPr>
        <w:spacing w:after="0" w:line="245"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7.18</w:t>
      </w:r>
      <w:r>
        <w:rPr>
          <w:sz w:val="20"/>
          <w:szCs w:val="20"/>
          <w:color w:val="auto"/>
        </w:rPr>
        <w:tab/>
      </w:r>
      <w:r>
        <w:rPr>
          <w:rFonts w:ascii="Times New Roman" w:cs="Times New Roman" w:eastAsia="Times New Roman" w:hAnsi="Times New Roman"/>
          <w:sz w:val="21"/>
          <w:szCs w:val="21"/>
          <w:u w:val="single" w:color="auto"/>
          <w:color w:val="auto"/>
        </w:rPr>
        <w:t>Effective Date; Purchase of Additional Collateral Obligations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44" w:lineRule="auto"/>
        <w:tabs>
          <w:tab w:leader="none" w:pos="1929"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will use commercially reasonable efforts to purchase, on or before the Effective Date, Collateral Obligations (i) such that the Target Initial Par Condition is satisfied and (ii) that satisfy, as of the Effective Date, the Concentration Limitations, the Collateral Quality Test and the Coverage Tests.</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161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85" w:lineRule="exact"/>
        <w:rPr>
          <w:sz w:val="20"/>
          <w:szCs w:val="20"/>
          <w:color w:val="auto"/>
        </w:rPr>
      </w:pPr>
    </w:p>
    <w:p>
      <w:pPr>
        <w:jc w:val="both"/>
        <w:ind w:firstLine="1505"/>
        <w:spacing w:after="0" w:line="252" w:lineRule="exact"/>
        <w:tabs>
          <w:tab w:leader="none" w:pos="1929"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from the Closing Date to and including the Effective Date, the Issuer will use funds to purchase additional Collateral Obligations in the following order: (i) to pay for the principal portion of any Collateral Obligation, first, any amounts on deposit in the Ramp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Account, and second, any Principal Proceeds on deposit in the Collection Account and (ii) to pay for accrued interest on any such Collateral Obligation, first, any amounts on deposit in the Ramp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Account and second, any Principal Proceeds on deposit in the Collection Account. In addition, the Issuer will use commercially reasonable efforts to acquire such Collateral Obligations that will satisfy, on the Effective Date, the Concentration Limitations, the Collateral Quality Test and each Overcollateralization Ratio Test.</w:t>
      </w:r>
    </w:p>
    <w:p>
      <w:pPr>
        <w:spacing w:after="0" w:line="180" w:lineRule="exact"/>
        <w:rPr>
          <w:rFonts w:ascii="Times New Roman" w:cs="Times New Roman" w:eastAsia="Times New Roman" w:hAnsi="Times New Roman"/>
          <w:sz w:val="22"/>
          <w:szCs w:val="22"/>
          <w:color w:val="auto"/>
        </w:rPr>
      </w:pPr>
    </w:p>
    <w:p>
      <w:pPr>
        <w:jc w:val="both"/>
        <w:ind w:firstLine="1505"/>
        <w:spacing w:after="0" w:line="257" w:lineRule="exact"/>
        <w:tabs>
          <w:tab w:leader="none" w:pos="1929"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30 Business Days after the Effective Date, the Issuer shall provide, or cause the Collateral Manager to provide, to S&amp;P a Microsoft Excel file ("</w:t>
      </w:r>
      <w:r>
        <w:rPr>
          <w:rFonts w:ascii="Times New Roman" w:cs="Times New Roman" w:eastAsia="Times New Roman" w:hAnsi="Times New Roman"/>
          <w:sz w:val="21"/>
          <w:szCs w:val="21"/>
          <w:u w:val="single" w:color="auto"/>
          <w:color w:val="auto"/>
        </w:rPr>
        <w:t>Excel Default Model Input File</w:t>
      </w:r>
      <w:r>
        <w:rPr>
          <w:rFonts w:ascii="Times New Roman" w:cs="Times New Roman" w:eastAsia="Times New Roman" w:hAnsi="Times New Roman"/>
          <w:sz w:val="21"/>
          <w:szCs w:val="21"/>
          <w:color w:val="auto"/>
        </w:rPr>
        <w:t>") that provides all of the inputs required to determine whether the S&amp;P CDO Monitor Test has been satisfied and the Collateral Manager shall provide a Microsoft Excel file including, at a minimum, the following data with respect to each Collateral Obligation: CUSIP number (if any), name of Obligor, spread/coupon, Benchmark floor (if applicable), LoanX identification number (if applicable), purchase price for any unsettled assets, legal final maturity date, average life, Principal Balance, identification as a Cov</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Lite Loan or otherwise, settlement date, S&amp;P Industry Classification, S&amp;P Recovery Rate and identification of any First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Lien Last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Out Loans.</w:t>
      </w:r>
    </w:p>
    <w:p>
      <w:pPr>
        <w:spacing w:after="0" w:line="147" w:lineRule="exact"/>
        <w:rPr>
          <w:rFonts w:ascii="Times New Roman" w:cs="Times New Roman" w:eastAsia="Times New Roman" w:hAnsi="Times New Roman"/>
          <w:sz w:val="21"/>
          <w:szCs w:val="21"/>
          <w:color w:val="auto"/>
        </w:rPr>
      </w:pPr>
    </w:p>
    <w:p>
      <w:pPr>
        <w:jc w:val="both"/>
        <w:ind w:firstLine="1505"/>
        <w:spacing w:after="0" w:line="247" w:lineRule="exact"/>
        <w:tabs>
          <w:tab w:leader="none" w:pos="1929"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clause (e) below is applicable, within 30 Business Days after the Effective Date (but in no event later than the Determination Date immediately prior to the first Payment Date), the Issuer shall provide, or cause the Collateral Manager (or, in the case of clause (ii), the Collateral Administrator) to provide, the following documents: (i) to each Rating Agency, the Collateral Trustee and the Loan Agent, a report identifying the Collateral Obligations; (ii) to each Rating Agency, the Effective Date Report and (iii) to the Collateral Trustee and the Loan Agent, an accountants' certificate (the "</w:t>
      </w:r>
      <w:r>
        <w:rPr>
          <w:rFonts w:ascii="Times New Roman" w:cs="Times New Roman" w:eastAsia="Times New Roman" w:hAnsi="Times New Roman"/>
          <w:sz w:val="22"/>
          <w:szCs w:val="22"/>
          <w:u w:val="single" w:color="auto"/>
          <w:color w:val="auto"/>
        </w:rPr>
        <w:t>Accountants'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(A) recalculating and comparing the Obligor, Principal Balance, spread/coupon, stated maturity, country of Domicile and S&amp;P Rating with respect to each Collateral Obligation as of the Effective Date and the information provided by the Issuer with respect to every other asset included in the Assets, by reference to such sources as shall be specified therein, (B) calculating as of the Effective Date the level of compliance with, or satisfaction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satisfaction of (1) the Target Initial Par Condition, (2) each Overcollateralization Ratio Test, (3) the Concentration Limitations and (4) the Collateral Quality Test (excluding the S&amp;P CDO Monitor Test and the Maximum S&amp;P Equivalent Rating Factor Test); and (C) specifying the procedures undertaken by them to review data and computations relating to such Accountants' Certificate.</w:t>
      </w:r>
    </w:p>
    <w:p>
      <w:pPr>
        <w:spacing w:after="0" w:line="185"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S&amp;P Deemed Rating Confirmation has not occurred and the S&amp;P Rating Condition is not satisfied prior to the date 30 Business Days after the Effective Date (but in no event later than the Determination Date immediately preceding the first Payment Date), then (A) the Issuer (or the Collateral Manager on the Issuer's behalf) shall either (i) cause the S&amp;P Deemed Rating Confirmation to occur or (ii) request S&amp;P to confirm, on or before the first Determination Date, that it will not reduce or withdraw its Initial Rating of the Secured Debt and (B) if, by the first Determination Date, the Issuer (or the Collateral Manager on the Issuer's behalf) has not caused the S&amp;P Deemed Rating Confirmation to occur or obtained the confirmation from S&amp;P, each as described in the preceding clause (A) of this paragraph, the Issuer (or the Collateral Manager on the Issuer's behalf) shall instruct the Collateral Trustee to transfer amounts from the</w:t>
      </w:r>
    </w:p>
    <w:p>
      <w:pPr>
        <w:spacing w:after="0" w:line="15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162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Interest Collection Subaccount to the Principal Collection Subaccount and may, prior to the first Payment Date, purchase additional Collateral Obligations in an amount sufficient to enable the Issuer (or the Collateral Manager on the Issuer's behalf) to</w:t>
      </w:r>
    </w:p>
    <w:p>
      <w:pPr>
        <w:spacing w:after="0" w:line="1" w:lineRule="exact"/>
        <w:rPr>
          <w:sz w:val="20"/>
          <w:szCs w:val="20"/>
          <w:color w:val="auto"/>
        </w:rPr>
      </w:pPr>
    </w:p>
    <w:p>
      <w:pPr>
        <w:jc w:val="both"/>
        <w:ind w:firstLine="8"/>
        <w:spacing w:after="0" w:line="232" w:lineRule="auto"/>
        <w:tabs>
          <w:tab w:leader="none" w:pos="262"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cause the S&amp;P Deemed Rating Confirmation to occur or (ii) obtain from S&amp;P written confirmation of its Initial Ratings of the Secured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lieu of complying with the preceding clauses (A) and (B), the Issuer (or the Collateral Manager on the Issuer's behalf) may take such action, including but not limited to, a Special Redemption and/or transferring amounts from the Interest Collection Subaccount to the Principal Collection Subaccount as Principal Proceeds (for use in a Special Redemption), sufficient to enable the Issuer (or the Collateral Manager on the Issuer's behalf) to (1) cause the S&amp;P Deemed Rating Confirmation to occur or (2) obtain from S&amp;P written confirmation of its Initial Ratings of the Secured Debt.</w:t>
      </w:r>
    </w:p>
    <w:p>
      <w:pPr>
        <w:spacing w:after="0" w:line="182" w:lineRule="exact"/>
        <w:rPr>
          <w:rFonts w:ascii="Times New Roman" w:cs="Times New Roman" w:eastAsia="Times New Roman" w:hAnsi="Times New Roman"/>
          <w:sz w:val="22"/>
          <w:szCs w:val="22"/>
          <w:color w:val="auto"/>
        </w:rPr>
      </w:pPr>
    </w:p>
    <w:p>
      <w:pPr>
        <w:jc w:val="both"/>
        <w:ind w:firstLine="1505"/>
        <w:spacing w:after="0" w:line="251" w:lineRule="exact"/>
        <w:tabs>
          <w:tab w:leader="none" w:pos="1929" w:val="left"/>
        </w:tabs>
        <w:numPr>
          <w:ilvl w:val="1"/>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S&amp;P Deemed Rating Confirmation (" </w:t>
      </w:r>
      <w:r>
        <w:rPr>
          <w:rFonts w:ascii="Times New Roman" w:cs="Times New Roman" w:eastAsia="Times New Roman" w:hAnsi="Times New Roman"/>
          <w:sz w:val="21"/>
          <w:szCs w:val="21"/>
          <w:u w:val="single" w:color="auto"/>
          <w:color w:val="auto"/>
        </w:rPr>
        <w:t>S&amp;P Deemed Rating Confirmation</w:t>
      </w:r>
      <w:r>
        <w:rPr>
          <w:rFonts w:ascii="Times New Roman" w:cs="Times New Roman" w:eastAsia="Times New Roman" w:hAnsi="Times New Roman"/>
          <w:sz w:val="21"/>
          <w:szCs w:val="21"/>
          <w:color w:val="auto"/>
        </w:rPr>
        <w:t>") shall occur, and a written confirmation from S&amp;P of its initial ratings of the Secured Debt will be deemed to have been provided, if (x) the Issuer causes the Collateral Manager to provide to S&amp;P the Effective Date Report and the Effective Date Report confirms satisfaction of the S&amp;P CDO Monitor Test as of the Effective Date, (y) the Collateral Manager certifies to S&amp;P (which confirmation may be in the form of an email) that as of the Effective Date the S&amp;P CDO Monitor Test is satisfied (testing as though the S&amp;P CDO Monitor Switchover Date has occurred and taking into account the S&amp;P CDO Monitor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Model Adjustments described below) and (z) the Collateral Manager provides to S&amp;P a report identifying the Collateral Obligations used to generate the passing test result;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determining compliance with the S&amp;P CDO Monitor Test in connection with such Effective Date Report, (i) the Aggregate Funded Spread will be calculated without giving effect to the proviso to clause (a) of the definition of "Aggregate Funded Spread" and by assuming that any Collateral Obligation subject to a Benchmark floor bears interest at a rate equal to the stated interest rate spread over the Benchmark</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based index for such Collateral Obligation and (ii) for the purposes of calculating the S&amp;P CDO Monitor Adjusted BDR, the Collateral Principal Amount will exclude any amounts that may be transferred from the Principal Collection Subaccount or the Ramp-Up Account into the Interest Collection Subaccount as Interest Proceeds subject to the Effective Date Interest Deposit Condition (the "</w:t>
      </w:r>
      <w:r>
        <w:rPr>
          <w:rFonts w:ascii="Times New Roman" w:cs="Times New Roman" w:eastAsia="Times New Roman" w:hAnsi="Times New Roman"/>
          <w:sz w:val="21"/>
          <w:szCs w:val="21"/>
          <w:u w:val="single" w:color="auto"/>
          <w:color w:val="auto"/>
        </w:rPr>
        <w:t>S&amp;P CDO Monitor Non</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Model Adjustments</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1"/>
          <w:szCs w:val="21"/>
          <w:color w:val="auto"/>
        </w:rPr>
        <w:t>Notwithstanding anything in this Indenture to the contrary, if the Issuer (or the Collateral Manager on the Issuer's behalf) elects to direct a Special Redemption of the Secured Debt pursuant to clause (e) above, the Issuer may use amounts on deposit in the Principal Collection Subaccount to make such Special Redemption on any Business Day (other than a Payment Date) to the extent necessary to obtain from S&amp;P its written confirmation of its Initial Ratings of the Secured Debt. Payments made in respect of the Secured Debt in connection with such Special Redemption shall be paid in accordance with the Debt Payment Sequence. For the avoidance of doubt, such payments will be made without regard to the Priority of Payments.</w:t>
      </w:r>
    </w:p>
    <w:p>
      <w:pPr>
        <w:spacing w:after="0" w:line="171"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Amounts may not be transferred from the Interest Collection Subaccount to the Principal Collection Subaccount pursuant to clause (e) above if, after giving effect to such transfer the amounts available pursuant to the Priority of Payments on the next succeeding Payment Date would be insufficient to pay the full amount of the accrued and unpaid interest on any Class of Secured Debt on such next succeeding Payment Date.</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163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50" w:lineRule="exact"/>
        <w:rPr>
          <w:sz w:val="20"/>
          <w:szCs w:val="20"/>
          <w:color w:val="auto"/>
        </w:rPr>
      </w:pPr>
    </w:p>
    <w:p>
      <w:pPr>
        <w:jc w:val="both"/>
        <w:ind w:firstLine="1505"/>
        <w:spacing w:after="0" w:line="266" w:lineRule="exact"/>
        <w:tabs>
          <w:tab w:leader="none" w:pos="1929"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amount specified in </w:t>
      </w:r>
      <w:r>
        <w:rPr>
          <w:rFonts w:ascii="Times New Roman" w:cs="Times New Roman" w:eastAsia="Times New Roman" w:hAnsi="Times New Roman"/>
          <w:sz w:val="21"/>
          <w:szCs w:val="21"/>
          <w:u w:val="single" w:color="auto"/>
          <w:color w:val="auto"/>
        </w:rPr>
        <w:t>Section 3.1(k)(i)</w:t>
      </w:r>
      <w:r>
        <w:rPr>
          <w:rFonts w:ascii="Times New Roman" w:cs="Times New Roman" w:eastAsia="Times New Roman" w:hAnsi="Times New Roman"/>
          <w:sz w:val="21"/>
          <w:szCs w:val="21"/>
          <w:color w:val="auto"/>
        </w:rPr>
        <w:t xml:space="preserve"> will be deposited in the Ramp</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Up Account on the Closing Date. At the direction of the Issuer (or the Collateral Manager on behalf of the Issuer), the Collateral Trustee shall apply the remaining amounts held in the Ramp</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Up Account to purchase additional Collateral Obligations from the Closing Date to and including the Effective Date as described in clause (b) above. If on the Effective Date, any amounts on deposit in the Ramp</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Up Account have not been applied to purchase Collateral Obligations, such amounts shall be applied as described in </w:t>
      </w:r>
      <w:r>
        <w:rPr>
          <w:rFonts w:ascii="Times New Roman" w:cs="Times New Roman" w:eastAsia="Times New Roman" w:hAnsi="Times New Roman"/>
          <w:sz w:val="21"/>
          <w:szCs w:val="21"/>
          <w:u w:val="single" w:color="auto"/>
          <w:color w:val="auto"/>
        </w:rPr>
        <w:t>Section 10.3(c)</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1505"/>
        <w:spacing w:after="0" w:line="232" w:lineRule="auto"/>
        <w:tabs>
          <w:tab w:leader="none" w:pos="1943"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Weighted Average S&amp;P Recovery Rate</w:t>
      </w:r>
      <w:r>
        <w:rPr>
          <w:rFonts w:ascii="Times New Roman" w:cs="Times New Roman" w:eastAsia="Times New Roman" w:hAnsi="Times New Roman"/>
          <w:sz w:val="22"/>
          <w:szCs w:val="22"/>
          <w:color w:val="auto"/>
        </w:rPr>
        <w:t xml:space="preserve">. On or prior to the Effective Date, the Collateral Manager shall elect the Weighted Average S&amp;P Recovery Rate that shall apply on and after the Effective Date but prior to the S&amp;P CDO Monitor Switchover Date to the Collateral Obligations for purposes of determining compliance with the Minimum Weighted Average S&amp;P Recovery Rate Test, and the Collateral Manager will so notify the Collateral Trustee, the Loan Agent and the Collateral Administrator. Thereafter, at any time prior to the S&amp;P CDO Monitor Switchover Date, on written notice to the Collateral Trustee and the Collateral Administrator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attached hereto, and S&amp;P, the Collateral Manager may elect a different Weighted Average S&amp;P Recovery Rate to apply to the Collateral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(i) the Collateral Obligations are currently in compliance with the Weighted Average S&amp;P Recovery Rate case then applicable to the Collateral Obligations but the Collateral Obligations would not be in compliance with the Weighted Average S&amp;P Recovery Rate case to which the Collateral Manager desires to change, then such changed case shall not apply, or (ii) the Collateral Obligations are not currently in compliance with the Weighted Average S&amp;P Recovery Rate case then applicable to the Collateral Obligations and would not be in compliance with any other Weighted Average S&amp;P Recovery Rate case, the Weighted Average S&amp;P Recovery Rate to apply to the Collateral Obligations shall be the lowest Weighted Average S&amp;P Recovery Rate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5</w:t>
      </w:r>
      <w:r>
        <w:rPr>
          <w:rFonts w:ascii="Times New Roman" w:cs="Times New Roman" w:eastAsia="Times New Roman" w:hAnsi="Times New Roman"/>
          <w:sz w:val="22"/>
          <w:szCs w:val="22"/>
          <w:color w:val="auto"/>
        </w:rPr>
        <w:t>. If the Collateral Manager does not notify the Collateral Trustee, the Loan Agent and the Collateral Administrator that it will alter the Weighted Average S&amp;P Recovery Rate chosen on or prior to the Effective Date in the manner set forth above, the Weighted Average S&amp;P Recovery Rate chosen on or prior to the Effective Date shall continue to apply. After the S&amp;P CDO Monitor Switchover Date, the Collateral Manager may not elect to use the S&amp;P CDO Monitor in determining compliance with the S&amp;P CDO Monitor Test.</w:t>
      </w:r>
    </w:p>
    <w:p>
      <w:pPr>
        <w:spacing w:after="0" w:line="18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failure of the Issuer to satisfy the requirements of this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will not constitute an Event of Default unless such failure constitutes an Event of Default under </w:t>
      </w:r>
      <w:r>
        <w:rPr>
          <w:rFonts w:ascii="Times New Roman" w:cs="Times New Roman" w:eastAsia="Times New Roman" w:hAnsi="Times New Roman"/>
          <w:sz w:val="22"/>
          <w:szCs w:val="22"/>
          <w:u w:val="single" w:color="auto"/>
          <w:color w:val="auto"/>
        </w:rPr>
        <w:t>Section 5.1(d)</w:t>
      </w:r>
      <w:r>
        <w:rPr>
          <w:rFonts w:ascii="Times New Roman" w:cs="Times New Roman" w:eastAsia="Times New Roman" w:hAnsi="Times New Roman"/>
          <w:sz w:val="22"/>
          <w:szCs w:val="22"/>
          <w:color w:val="auto"/>
        </w:rPr>
        <w:t xml:space="preserve"> hereof and the Issuer, or the Collateral Manager acting on behalf of the Issuer, has acted in bad faith.</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7.19 Representations Relating to Security Interests in the Assets</w:t>
      </w:r>
      <w:r>
        <w:rPr>
          <w:rFonts w:ascii="Times New Roman" w:cs="Times New Roman" w:eastAsia="Times New Roman" w:hAnsi="Times New Roman"/>
          <w:sz w:val="22"/>
          <w:szCs w:val="22"/>
          <w:color w:val="auto"/>
        </w:rPr>
        <w:t>. (a) The Issuer hereby represents and warrants that, as of the Closing Date (which representations and warranties shall survive the execution of this Indenture and be deemed to be repeated on each date on which an Asset is Granted to the Collateral Trustee hereunder):</w:t>
      </w:r>
    </w:p>
    <w:p>
      <w:pPr>
        <w:spacing w:after="0" w:line="173" w:lineRule="exact"/>
        <w:rPr>
          <w:sz w:val="20"/>
          <w:szCs w:val="20"/>
          <w:color w:val="auto"/>
        </w:rPr>
      </w:pPr>
    </w:p>
    <w:p>
      <w:pPr>
        <w:jc w:val="both"/>
        <w:ind w:left="760" w:firstLine="1015"/>
        <w:spacing w:after="0" w:line="271" w:lineRule="exact"/>
        <w:tabs>
          <w:tab w:leader="none" w:pos="221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owns each Asset free and clear of any lien, claim or encumbrance of any Person, other than such as are being released on the Closing Date contemporaneously with the sale of the Notes on the Closing Date or on the related Cut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w:t>
      </w:r>
    </w:p>
    <w:p>
      <w:pPr>
        <w:spacing w:after="0" w:line="12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164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50" w:lineRule="exact"/>
        <w:rPr>
          <w:sz w:val="20"/>
          <w:szCs w:val="20"/>
          <w:color w:val="auto"/>
        </w:rPr>
      </w:pPr>
    </w:p>
    <w:p>
      <w:pPr>
        <w:ind w:left="760"/>
        <w:spacing w:after="0" w:line="287" w:lineRule="exact"/>
        <w:rPr>
          <w:sz w:val="20"/>
          <w:szCs w:val="20"/>
          <w:color w:val="auto"/>
        </w:rPr>
      </w:pPr>
      <w:r>
        <w:rPr>
          <w:rFonts w:ascii="Times New Roman" w:cs="Times New Roman" w:eastAsia="Times New Roman" w:hAnsi="Times New Roman"/>
          <w:sz w:val="22"/>
          <w:szCs w:val="22"/>
          <w:color w:val="auto"/>
        </w:rPr>
        <w:t>Date contemporaneously with the purchase of such Asset on the Cut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Date, created under, or permitted by, this Indenture and any other Permitted Liens.</w:t>
      </w:r>
    </w:p>
    <w:p>
      <w:pPr>
        <w:spacing w:after="0" w:line="177" w:lineRule="exact"/>
        <w:rPr>
          <w:sz w:val="20"/>
          <w:szCs w:val="20"/>
          <w:color w:val="auto"/>
        </w:rPr>
      </w:pPr>
    </w:p>
    <w:p>
      <w:pPr>
        <w:jc w:val="both"/>
        <w:ind w:left="760" w:firstLine="1015"/>
        <w:spacing w:after="0" w:line="236" w:lineRule="auto"/>
        <w:tabs>
          <w:tab w:leader="none" w:pos="221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security interest Granted to the Collateral Trustee for the benefit of the Secured Parties pursuant to this Indenture, except as permitted by this Indenture, the Issuer has not pledged, assigned, sold, granted a security interest in, or otherwise conveyed any of the Assets. The Issuer has not authorized the filing of and is not aware of any Financing Statements against the Issuer that include a description of collateral covering the Assets other than any Financing Statement relating to the security interest granted to the Collateral Trustee hereunder or that has been terminated; the Issuer is not aware of any judgment, PBGC liens or tax lien filings against the Issuer.</w:t>
      </w:r>
    </w:p>
    <w:p>
      <w:pPr>
        <w:spacing w:after="0" w:line="146" w:lineRule="exact"/>
        <w:rPr>
          <w:rFonts w:ascii="Times New Roman" w:cs="Times New Roman" w:eastAsia="Times New Roman" w:hAnsi="Times New Roman"/>
          <w:sz w:val="22"/>
          <w:szCs w:val="22"/>
          <w:color w:val="auto"/>
        </w:rPr>
      </w:pPr>
    </w:p>
    <w:p>
      <w:pPr>
        <w:jc w:val="both"/>
        <w:ind w:left="760" w:firstLine="1015"/>
        <w:spacing w:after="0" w:line="283" w:lineRule="exact"/>
        <w:tabs>
          <w:tab w:leader="none" w:pos="221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Assets constitute Cash, accounts (as defined in Section 9</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102(a)(2) of the UCC), Instruments, general intangibles (as defined in Section 9</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102(a)(42) of the UCC), uncertificated securities (as defined in Section 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102(a)(18) of the UCC), Certificated Securities or security entitlements to financial assets resulting from the crediting of financial assets to a "securities account" (as defined in Section 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501(a) of the UCC).</w:t>
      </w:r>
    </w:p>
    <w:p>
      <w:pPr>
        <w:spacing w:after="0" w:line="112" w:lineRule="exact"/>
        <w:rPr>
          <w:rFonts w:ascii="Times New Roman" w:cs="Times New Roman" w:eastAsia="Times New Roman" w:hAnsi="Times New Roman"/>
          <w:sz w:val="22"/>
          <w:szCs w:val="22"/>
          <w:color w:val="auto"/>
        </w:rPr>
      </w:pPr>
    </w:p>
    <w:p>
      <w:pPr>
        <w:ind w:left="2200" w:hanging="425"/>
        <w:spacing w:after="0" w:line="253" w:lineRule="exact"/>
        <w:tabs>
          <w:tab w:leader="none" w:pos="220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Accounts constitute "securities accounts" under Section 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501(a) of the UCC.</w:t>
      </w:r>
    </w:p>
    <w:p>
      <w:pPr>
        <w:spacing w:after="0" w:line="219" w:lineRule="exact"/>
        <w:rPr>
          <w:rFonts w:ascii="Times New Roman" w:cs="Times New Roman" w:eastAsia="Times New Roman" w:hAnsi="Times New Roman"/>
          <w:sz w:val="22"/>
          <w:szCs w:val="22"/>
          <w:color w:val="auto"/>
        </w:rPr>
      </w:pPr>
    </w:p>
    <w:p>
      <w:pPr>
        <w:jc w:val="both"/>
        <w:ind w:left="760" w:firstLine="1015"/>
        <w:spacing w:after="0" w:line="265" w:lineRule="exact"/>
        <w:tabs>
          <w:tab w:leader="none" w:pos="221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Indenture creates a valid and continuing security interest (as defined in Section 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201(37) of the UCC) in such Assets in favor of the Collateral Trustee, for the benefit and security of the Secured Parties, which security interest is prior to all other liens, claims and encumbrances (except as permitted otherwise herein), and is enforceable as such against creditors of and purchasers from the Issuer.</w:t>
      </w:r>
    </w:p>
    <w:p>
      <w:pPr>
        <w:spacing w:after="0" w:line="177"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hereby represents and warrants that, as of the Closing Date (which representations and warranties shall survive the execution of this Indenture and be deemed to be repeated on each date on which an Asset is Granted to the Collateral Trustee hereunder), with respect to Assets that constitute Instruments:</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34" w:lineRule="auto"/>
        <w:tabs>
          <w:tab w:leader="none" w:pos="2210"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(x) the Issuer has caused or will have caused, within ten days after the Closing Date, the filing of all appropriate Financing Statements in the proper office in the appropriate jurisdictions under applicable law in order to perfect the security interest in the Instruments granted to the Collateral Trustee, for the benefit and security of the Secured Parties or (y) (A) all original executed copies of each promissory note or mortgage note that constitutes or evidences the Instruments have been delivered to the Collateral Trustee or the Issuer has received written acknowledgement from a custodian that such custodian is holding the mortgage notes or promissory notes that constitute evidence of the Instruments solely on behalf of the Collateral Trustee and for the benefit of the Secured Parties and (B) none of the Instruments that constitute or evidence the Assets has any marks or notations indicating that they are pledged, assigned or otherwise conveyed to any Person other than the Collateral Trustee, for the benefit of the Secured Parties.</w:t>
      </w:r>
    </w:p>
    <w:p>
      <w:pPr>
        <w:spacing w:after="0" w:line="158"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165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85" w:lineRule="exact"/>
        <w:rPr>
          <w:sz w:val="20"/>
          <w:szCs w:val="20"/>
          <w:color w:val="auto"/>
        </w:rPr>
      </w:pPr>
    </w:p>
    <w:p>
      <w:pPr>
        <w:ind w:left="760" w:right="20" w:firstLine="1015"/>
        <w:spacing w:after="0" w:line="258" w:lineRule="auto"/>
        <w:tabs>
          <w:tab w:leader="none" w:pos="2210"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received all consents and approvals required by the terms of the Assets to the pledge hereunder to the Collateral Trustee of its interest and rights in the Assets.</w:t>
      </w:r>
    </w:p>
    <w:p>
      <w:pPr>
        <w:spacing w:after="0" w:line="158"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hereby represents and warrants that, as of the Closing Date (which representations and warranties shall survive the execution of this Indenture and be deemed to be repeated on each date on which an Asset is Granted to the Collateral Trustee hereunder), with respect to the Assets that constitute Security Entitlements:</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57" w:lineRule="exact"/>
        <w:tabs>
          <w:tab w:leader="none" w:pos="2210"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such Assets have been and will have been credited to one of the Accounts which are securities accounts within the meaning of Section 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501(a) of the UCC. The Securities Intermediary for each Account has agreed to treat all assets credited to such Accounts as "financial assets" within the meaning of Section 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102(a)(9) of the UCC; provided that the Securities Intermediary shall not be required to treat as a financial asset any asset in the nature of a general intangible (as defined in Section 9-102(a)(42) of the UCC) or to "maintain" a sufficient quantity thereof.</w:t>
      </w:r>
    </w:p>
    <w:p>
      <w:pPr>
        <w:spacing w:after="0" w:line="177" w:lineRule="exact"/>
        <w:rPr>
          <w:sz w:val="20"/>
          <w:szCs w:val="20"/>
          <w:color w:val="auto"/>
        </w:rPr>
      </w:pPr>
    </w:p>
    <w:p>
      <w:pPr>
        <w:ind w:left="760" w:right="20" w:firstLine="1015"/>
        <w:spacing w:after="0" w:line="258" w:lineRule="auto"/>
        <w:tabs>
          <w:tab w:leader="none" w:pos="2210"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received all consents and approvals required by the terms of the Assets to the pledge hereunder to the Collateral Trustee of its interest and rights in the Assets.</w:t>
      </w:r>
    </w:p>
    <w:p>
      <w:pPr>
        <w:spacing w:after="0" w:line="158" w:lineRule="exact"/>
        <w:rPr>
          <w:rFonts w:ascii="Times New Roman" w:cs="Times New Roman" w:eastAsia="Times New Roman" w:hAnsi="Times New Roman"/>
          <w:sz w:val="22"/>
          <w:szCs w:val="22"/>
          <w:color w:val="auto"/>
        </w:rPr>
      </w:pPr>
    </w:p>
    <w:p>
      <w:pPr>
        <w:jc w:val="both"/>
        <w:ind w:left="760" w:firstLine="1015"/>
        <w:spacing w:after="0" w:line="235" w:lineRule="auto"/>
        <w:tabs>
          <w:tab w:leader="none" w:pos="2210"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The Issuer has caused or will have caused, within ten days after the Closing Date, the filing of all appropriate Financing Statements in the proper office in the appropriate jurisdictions under applicable law in order to perfect the security interest granted to the Collateral Trustee, for the benefit and security of the Secured Parties, hereunder and (y) (A) the Issuer has delivered to the Collateral Trustee a fully executed Securities Account Control Agreement pursuant to which the Custodian has agreed to comply with all instructions and Entitlement Orders originated by the Collateral Trustee relating to the Accounts without further consent by the Issuer or (B) the Issuer has taken all steps necessary to cause the Custodian to identify in its records the Collateral Trustee as the Person having a security entitlement against the Custodian in each of the Accounts.</w:t>
      </w:r>
    </w:p>
    <w:p>
      <w:pPr>
        <w:spacing w:after="0" w:line="178" w:lineRule="exact"/>
        <w:rPr>
          <w:rFonts w:ascii="Times New Roman" w:cs="Times New Roman" w:eastAsia="Times New Roman" w:hAnsi="Times New Roman"/>
          <w:sz w:val="22"/>
          <w:szCs w:val="22"/>
          <w:color w:val="auto"/>
        </w:rPr>
      </w:pPr>
    </w:p>
    <w:p>
      <w:pPr>
        <w:jc w:val="both"/>
        <w:ind w:left="760" w:firstLine="1015"/>
        <w:spacing w:after="0" w:line="238" w:lineRule="auto"/>
        <w:tabs>
          <w:tab w:leader="none" w:pos="2210"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Accounts are not in the name of any Person other than the Issuer or the Collateral Trustee. The Issuer has not consented to the Custodian to comply with the Entitlement Order of any Person other than the Collateral Trustee (and the Issuer prior to a notice of exclusive control being provided by the Collateral Trustee, which notice the Collateral Trustee agrees it shall not deliver except after the occurrence and during the continuance of an Event of Default).</w:t>
      </w:r>
    </w:p>
    <w:p>
      <w:pPr>
        <w:spacing w:after="0" w:line="176"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hereby represents and warrants that, as of the Closing Date (which representations and warranties shall survive the execution of this Indenture and be deemed to be repeated on each date on which an Asset is Granted to the Collateral Trustee hereunder), with respect to Assets that constitute general intangibles:</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caused or will have caused, within ten days after the Closing Date, the filing of all appropriate Financing Statements in the proper filing office in the appropriate jurisdictions under applicable law in order to perfect the security interest in the</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166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Assets granted to the Collateral Trustee, for the benefit and security of the Secured Parties, hereunder.</w:t>
      </w:r>
    </w:p>
    <w:p>
      <w:pPr>
        <w:spacing w:after="0" w:line="206" w:lineRule="exact"/>
        <w:rPr>
          <w:sz w:val="20"/>
          <w:szCs w:val="20"/>
          <w:color w:val="auto"/>
        </w:rPr>
      </w:pPr>
    </w:p>
    <w:p>
      <w:pPr>
        <w:ind w:left="760" w:right="20" w:firstLine="1015"/>
        <w:spacing w:after="0" w:line="258" w:lineRule="auto"/>
        <w:tabs>
          <w:tab w:leader="none" w:pos="2210"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received, or will receive, all consents and approvals required by the terms of the Assets to the pledge hereunder to the Collateral Trustee of its interest and rights in the Assets.</w:t>
      </w:r>
    </w:p>
    <w:p>
      <w:pPr>
        <w:spacing w:after="0" w:line="158"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agrees to notify the Collateral Manager and Rating Agencies promptly if it becomes aware of the breach of any of the representations and warranties contained in this </w:t>
      </w:r>
      <w:r>
        <w:rPr>
          <w:rFonts w:ascii="Times New Roman" w:cs="Times New Roman" w:eastAsia="Times New Roman" w:hAnsi="Times New Roman"/>
          <w:sz w:val="22"/>
          <w:szCs w:val="22"/>
          <w:u w:val="single" w:color="auto"/>
          <w:color w:val="auto"/>
        </w:rPr>
        <w:t>Section 7.19</w:t>
      </w:r>
      <w:r>
        <w:rPr>
          <w:rFonts w:ascii="Times New Roman" w:cs="Times New Roman" w:eastAsia="Times New Roman" w:hAnsi="Times New Roman"/>
          <w:sz w:val="22"/>
          <w:szCs w:val="22"/>
          <w:color w:val="auto"/>
        </w:rPr>
        <w:t xml:space="preserve"> and shall not, without satisfaction of the S&amp;P Rating Condition, waive any of the representations and warranties in this </w:t>
      </w:r>
      <w:r>
        <w:rPr>
          <w:rFonts w:ascii="Times New Roman" w:cs="Times New Roman" w:eastAsia="Times New Roman" w:hAnsi="Times New Roman"/>
          <w:sz w:val="22"/>
          <w:szCs w:val="22"/>
          <w:u w:val="single" w:color="auto"/>
          <w:color w:val="auto"/>
        </w:rPr>
        <w:t>Section 7.19</w:t>
      </w:r>
      <w:r>
        <w:rPr>
          <w:rFonts w:ascii="Times New Roman" w:cs="Times New Roman" w:eastAsia="Times New Roman" w:hAnsi="Times New Roman"/>
          <w:sz w:val="22"/>
          <w:szCs w:val="22"/>
          <w:color w:val="auto"/>
        </w:rPr>
        <w:t xml:space="preserve"> or any breach thereof.</w:t>
      </w:r>
    </w:p>
    <w:p>
      <w:pPr>
        <w:spacing w:after="0" w:line="17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7.20 Limitation on Certain Maturity Amendments</w:t>
      </w:r>
      <w:r>
        <w:rPr>
          <w:rFonts w:ascii="Times New Roman" w:cs="Times New Roman" w:eastAsia="Times New Roman" w:hAnsi="Times New Roman"/>
          <w:sz w:val="22"/>
          <w:szCs w:val="22"/>
          <w:color w:val="auto"/>
        </w:rPr>
        <w:t xml:space="preserve"> . The Issuer (or the Collateral Manager on the Issuer's behalf) may agree to any amendment, waiver or other modification to any Collateral Obligation that would extend the stated maturity date thereof (a "</w:t>
      </w:r>
      <w:r>
        <w:rPr>
          <w:rFonts w:ascii="Times New Roman" w:cs="Times New Roman" w:eastAsia="Times New Roman" w:hAnsi="Times New Roman"/>
          <w:sz w:val="22"/>
          <w:szCs w:val="22"/>
          <w:u w:val="single" w:color="auto"/>
          <w:color w:val="auto"/>
        </w:rPr>
        <w:t>Maturity 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neither the Issuer nor the Collateral Manager on the Issuer's behalf may agree to any Maturity Amendment unless both (x) as determined by the Collateral Manager after giving effect to any Trading Plan then in effect, (1) the Weighted Average Life Test will be satisfied after giving effect to such Maturity Amendment or (2) if the Weighted Average Life Test was not satisfied immediately prior to giving effect to such Maturity Amendment, the level of compliance with the Weighted Average Life Test will be improved or maintained after giving effect to such Maturity Amendment, and (y) the stated maturity of the related Collateral Obligation is not extended beyond the earliest Stated Maturity.</w:t>
      </w:r>
    </w:p>
    <w:p>
      <w:pPr>
        <w:spacing w:after="0" w:line="18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Notwithstanding the foregoing, the Issuer may enter into any Maturity Amendment that does not meet the requirements of such clause (x) or (y) above if, in the Collateral Manager's reasonable judgment, such Maturity Amendment is a Credit Amendment and so long as, immediately following such amendment or modification, (A) not more than 7.5% of the Collateral Principal Amount consists of Collateral Obligations subject to a Credit Amendment that does not meet the requirement described in the paragraph above and (B) the Aggregate Principal Balance of all Collateral Obligations that have been subject to a Credit Amendment that does not meet the requirement described in the paragraph above, measured cumulatively since the Closing Date, is not more than 12.5% Target Initial Par Amount.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INDENTURES</w:t>
      </w:r>
    </w:p>
    <w:p>
      <w:pPr>
        <w:spacing w:after="0" w:line="21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8.1 Supplemental Indentures Without Consent of Holders of Debt . (a) Without the consent or direction of the Holders of any Debt (except any consent or direction specifically required below), but with the written consent of the Collateral Manager and the Transferor, at any time and from time to time, subject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and without an Opinion of Counsel being provided to the Issuer or the Collateral Trustee as to whether any Class of Debt would be materially and adversely affected thereby, the Issuer and the Collateral Trustee may enter into one or more indentures supplemental hereto, in form satisfactory to the Collateral Trustee, for any of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-801370</wp:posOffset>
            </wp:positionV>
            <wp:extent cx="44646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464685" cy="8890"/>
                    </a:xfrm>
                    <a:prstGeom prst="rect">
                      <a:avLst/>
                    </a:prstGeom>
                    <a:noFill/>
                  </pic:spPr>
                </pic:pic>
              </a:graphicData>
            </a:graphic>
          </wp:anchor>
        </w:drawing>
      </w:r>
    </w:p>
    <w:p>
      <w:pPr>
        <w:spacing w:after="0" w:line="140"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167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85" w:lineRule="exact"/>
        <w:rPr>
          <w:sz w:val="20"/>
          <w:szCs w:val="20"/>
          <w:color w:val="auto"/>
        </w:rPr>
      </w:pPr>
    </w:p>
    <w:p>
      <w:pPr>
        <w:ind w:left="760" w:right="20" w:firstLine="1015"/>
        <w:spacing w:after="0" w:line="258" w:lineRule="auto"/>
        <w:tabs>
          <w:tab w:leader="none" w:pos="221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the succession of another Person to the Issuer and the assumption by any such successor Person of the covenants of the Issuer herein and in the Debt;</w:t>
      </w:r>
    </w:p>
    <w:p>
      <w:pPr>
        <w:spacing w:after="0" w:line="158"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to the covenants of the Issuer or the Collateral Trustee for the benefit of the Secured Parties;</w:t>
      </w:r>
    </w:p>
    <w:p>
      <w:pPr>
        <w:spacing w:after="0" w:line="206"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convey, transfer, assign, mortgage or pledge any property to or with the Collateral Trustee or add to the conditions, limitations or restrictions on the authorized amount, terms and purposes of the issue, authentication and delivery of the Debt;</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39" w:lineRule="auto"/>
        <w:tabs>
          <w:tab w:leader="none" w:pos="221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evidence and provide for the acceptance of appointment hereunder by a successor collateral trustee or collateral agent and to add to or change any of the provisions of this Indenture as shall be necessary to facilitate the administration of the trusts hereunder by more than one Collateral Trustee, pursuant to the requirements of </w:t>
      </w:r>
      <w:r>
        <w:rPr>
          <w:rFonts w:ascii="Times New Roman" w:cs="Times New Roman" w:eastAsia="Times New Roman" w:hAnsi="Times New Roman"/>
          <w:sz w:val="22"/>
          <w:szCs w:val="22"/>
          <w:u w:val="single" w:color="auto"/>
          <w:color w:val="auto"/>
        </w:rPr>
        <w:t>Sections 6.9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6.12</w:t>
      </w:r>
      <w:r>
        <w:rPr>
          <w:rFonts w:ascii="Times New Roman" w:cs="Times New Roman" w:eastAsia="Times New Roman" w:hAnsi="Times New Roman"/>
          <w:sz w:val="22"/>
          <w:szCs w:val="22"/>
          <w:color w:val="auto"/>
        </w:rPr>
        <w:t xml:space="preserve"> hereof;</w:t>
      </w:r>
    </w:p>
    <w:p>
      <w:pPr>
        <w:spacing w:after="0" w:line="180" w:lineRule="exact"/>
        <w:rPr>
          <w:rFonts w:ascii="Times New Roman" w:cs="Times New Roman" w:eastAsia="Times New Roman" w:hAnsi="Times New Roman"/>
          <w:sz w:val="22"/>
          <w:szCs w:val="22"/>
          <w:color w:val="auto"/>
        </w:rPr>
      </w:pPr>
    </w:p>
    <w:p>
      <w:pPr>
        <w:jc w:val="both"/>
        <w:ind w:left="760" w:firstLine="1015"/>
        <w:spacing w:after="0" w:line="238" w:lineRule="auto"/>
        <w:tabs>
          <w:tab w:leader="none" w:pos="221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correct or amplify the description of any property at any time subject to the lien of the Collateral Trustee, or to better assure, convey and confirm unto the Collateral Trustee any property subject or required to be subjected to the lien of this Indenture (including, without limitation, any and all actions necessary or desirable as a result of changes in law or regulations, whether pursuant to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or otherwise) or to subject to the lien of the Collateral Trustee any additional property;</w:t>
      </w:r>
    </w:p>
    <w:p>
      <w:pPr>
        <w:spacing w:after="0" w:line="176" w:lineRule="exact"/>
        <w:rPr>
          <w:rFonts w:ascii="Times New Roman" w:cs="Times New Roman" w:eastAsia="Times New Roman" w:hAnsi="Times New Roman"/>
          <w:sz w:val="22"/>
          <w:szCs w:val="22"/>
          <w:color w:val="auto"/>
        </w:rPr>
      </w:pPr>
    </w:p>
    <w:p>
      <w:pPr>
        <w:jc w:val="both"/>
        <w:ind w:left="760" w:firstLine="1015"/>
        <w:spacing w:after="0" w:line="239" w:lineRule="auto"/>
        <w:tabs>
          <w:tab w:leader="none" w:pos="221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the restrictions on and procedures for resales and other transfers of Notes to reflect any changes in ERISA or other applicable law or regulation (or the interpretation thereof) or to enable the Issuer to rely upon any exemption from registration under the Securities Act or the 1940 Act or otherwise comply with any applicable securities law;</w:t>
      </w:r>
    </w:p>
    <w:p>
      <w:pPr>
        <w:spacing w:after="0" w:line="180"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remove restrictions on resale and transfer of Notes to the extent not required under clause (vi) of this</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Section 8.1(a)</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1"/>
          <w:szCs w:val="21"/>
          <w:color w:val="auto"/>
        </w:rPr>
      </w:pPr>
    </w:p>
    <w:p>
      <w:pPr>
        <w:jc w:val="both"/>
        <w:ind w:left="760" w:firstLine="1015"/>
        <w:spacing w:after="0" w:line="236" w:lineRule="auto"/>
        <w:tabs>
          <w:tab w:leader="none" w:pos="264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such changes as shall be necessary or advisable (as determined by the Issuer or the Collateral Manager on its behalf) in order for any Class of Notes to become or remain listed on any securities exchange, including without limitation changes to authorize the appointment of any listing agent, transfer agent, paying agent or additional registrar for any Class of Notes in connection therewith and changes to incorporate any requirements or requests of any Governmental Authority, securities exchange authority, listing agent, transfer agent, paying agent or additional registrar for any Class of Notes in connection therewith;</w:t>
      </w:r>
    </w:p>
    <w:p>
      <w:pPr>
        <w:spacing w:after="0" w:line="181" w:lineRule="exact"/>
        <w:rPr>
          <w:rFonts w:ascii="Times New Roman" w:cs="Times New Roman" w:eastAsia="Times New Roman" w:hAnsi="Times New Roman"/>
          <w:sz w:val="22"/>
          <w:szCs w:val="22"/>
          <w:color w:val="auto"/>
        </w:rPr>
      </w:pPr>
    </w:p>
    <w:p>
      <w:pPr>
        <w:jc w:val="both"/>
        <w:ind w:left="760" w:firstLine="1015"/>
        <w:spacing w:after="0" w:line="239" w:lineRule="auto"/>
        <w:tabs>
          <w:tab w:leader="none" w:pos="221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correct or supplement any inconsistent or defective provisions herein or to cure any ambiguity, omission or errors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in this Indenture to the contrary and without regard to any other consent requirement specified in this Indenture, any supplemental indenture to be entered into pursuant this clause (ix) may also provide for any corrective measures or ancillary amendments (as</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168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85"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determined by the Issuer or the Collateral Manager on its behalf) to this Indenture to give effect to such supplemental indenture as if it had been effective as of the Closing Date;</w:t>
      </w:r>
    </w:p>
    <w:p>
      <w:pPr>
        <w:spacing w:after="0" w:line="158" w:lineRule="exact"/>
        <w:rPr>
          <w:sz w:val="20"/>
          <w:szCs w:val="20"/>
          <w:color w:val="auto"/>
        </w:rPr>
      </w:pPr>
    </w:p>
    <w:p>
      <w:pPr>
        <w:ind w:left="2200" w:hanging="425"/>
        <w:spacing w:after="0"/>
        <w:tabs>
          <w:tab w:leader="none" w:pos="220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conform the provisions of this Indenture to the Offering Circular;</w:t>
      </w:r>
    </w:p>
    <w:p>
      <w:pPr>
        <w:spacing w:after="0" w:line="206"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760" w:firstLine="1015"/>
        <w:spacing w:after="0" w:line="256" w:lineRule="exact"/>
        <w:tabs>
          <w:tab w:leader="none" w:pos="221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with the consent of a Majority of the Subordinated Notes, to permit the Issuer to issue or incur, as applicable, additional debt in accordance with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3.2</w:t>
      </w:r>
      <w:r>
        <w:rPr>
          <w:rFonts w:ascii="Times New Roman" w:cs="Times New Roman" w:eastAsia="Times New Roman" w:hAnsi="Times New Roman"/>
          <w:sz w:val="22"/>
          <w:szCs w:val="22"/>
          <w:color w:val="auto"/>
        </w:rPr>
        <w:t xml:space="preserve"> ; (B) at the written direction of a Majority of the Subordinated Notes to permit the Issuer to issue replacement securities in connection with a Refinancing or to reduce the spread over the Benchmark (or stated interest rate, in the case of Fixed Rate Debt) in connection with a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in each case in accordance with this Indenture; or (C) in connection with an additional issuance or incurrence, as applicable, of Debt, a Refinancing or a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to make modifications that do not materially and adversely affect the rights or interests of Holders of any Class and are determined by the Collateral Manager to be necessary in order for such additional issuance or incurrence, as applicable, of Debt, Refinancing or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Pricing not to be subject to the U.S. Risk Retention Rules;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amendment or modification under this clause (xii) may modify the definitions of the terms "Redemption Price"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Call Period";</w:t>
      </w:r>
    </w:p>
    <w:p>
      <w:pPr>
        <w:spacing w:after="0" w:line="114" w:lineRule="exact"/>
        <w:rPr>
          <w:rFonts w:ascii="Times New Roman" w:cs="Times New Roman" w:eastAsia="Times New Roman" w:hAnsi="Times New Roman"/>
          <w:sz w:val="22"/>
          <w:szCs w:val="22"/>
          <w:color w:val="auto"/>
        </w:rPr>
      </w:pPr>
    </w:p>
    <w:p>
      <w:pPr>
        <w:ind w:left="2640" w:hanging="865"/>
        <w:spacing w:after="0" w:line="253" w:lineRule="exact"/>
        <w:tabs>
          <w:tab w:leader="none" w:pos="264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the procedures herein relating to compliance with Rule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under the Exchange Act;</w:t>
      </w:r>
    </w:p>
    <w:p>
      <w:pPr>
        <w:spacing w:after="0" w:line="254" w:lineRule="exact"/>
        <w:rPr>
          <w:rFonts w:ascii="Times New Roman" w:cs="Times New Roman" w:eastAsia="Times New Roman" w:hAnsi="Times New Roman"/>
          <w:sz w:val="22"/>
          <w:szCs w:val="22"/>
          <w:color w:val="auto"/>
        </w:rPr>
      </w:pPr>
    </w:p>
    <w:p>
      <w:pPr>
        <w:jc w:val="both"/>
        <w:ind w:left="760" w:firstLine="1015"/>
        <w:spacing w:after="0" w:line="239" w:lineRule="auto"/>
        <w:tabs>
          <w:tab w:leader="none" w:pos="264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consent of a Majority of the Controlling Class, to conform to ratings criteria and other guidelines (including, without limitation, any alternative methodology published by either of the Rating Agencies or any use of the Rating Agencies' credit models or guidelines for ratings determination) relating to collateral debt obligations in general published or otherwise communicated by the applicable Rating Agency;</w:t>
      </w:r>
    </w:p>
    <w:p>
      <w:pPr>
        <w:spacing w:after="0" w:line="180" w:lineRule="exact"/>
        <w:rPr>
          <w:rFonts w:ascii="Times New Roman" w:cs="Times New Roman" w:eastAsia="Times New Roman" w:hAnsi="Times New Roman"/>
          <w:sz w:val="22"/>
          <w:szCs w:val="22"/>
          <w:color w:val="auto"/>
        </w:rPr>
      </w:pPr>
    </w:p>
    <w:p>
      <w:pPr>
        <w:jc w:val="both"/>
        <w:ind w:left="760" w:firstLine="1015"/>
        <w:spacing w:after="0" w:line="251" w:lineRule="auto"/>
        <w:tabs>
          <w:tab w:leader="none" w:pos="2210"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amend, modify or otherwise accommodate changes to this Indenture to comply with any statute, rule, regulation, or technical or interpretive guidance enacted, effective, or issued by regulatory agencies of the United States federal government after the Closing Date that are applicable to the Issuer, the Debt or the transactions contemplated hereunder or by the final offering circular, including without limitation, the applicable U.S. Risk Retention Rules, securities laws or Dodd Frank and all rules, regulations, and technical or interpretive guidance thereunder;</w:t>
      </w:r>
    </w:p>
    <w:p>
      <w:pPr>
        <w:spacing w:after="0" w:line="168" w:lineRule="exact"/>
        <w:rPr>
          <w:rFonts w:ascii="Times New Roman" w:cs="Times New Roman" w:eastAsia="Times New Roman" w:hAnsi="Times New Roman"/>
          <w:sz w:val="21"/>
          <w:szCs w:val="21"/>
          <w:color w:val="auto"/>
        </w:rPr>
      </w:pPr>
    </w:p>
    <w:p>
      <w:pPr>
        <w:ind w:left="2640" w:hanging="865"/>
        <w:spacing w:after="0"/>
        <w:tabs>
          <w:tab w:leader="none" w:pos="264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amend the name of the Issuer;</w:t>
      </w:r>
    </w:p>
    <w:p>
      <w:pPr>
        <w:spacing w:after="0" w:line="206"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64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any provision to facilitate an exchange of one Note for another Note that has substantially identical terms except transfer restrictions, including to effect any serial designation relating to the exchange;</w:t>
      </w:r>
    </w:p>
    <w:p>
      <w:pPr>
        <w:spacing w:after="0" w:line="173" w:lineRule="exact"/>
        <w:rPr>
          <w:rFonts w:ascii="Times New Roman" w:cs="Times New Roman" w:eastAsia="Times New Roman" w:hAnsi="Times New Roman"/>
          <w:sz w:val="22"/>
          <w:szCs w:val="22"/>
          <w:color w:val="auto"/>
        </w:rPr>
      </w:pPr>
    </w:p>
    <w:p>
      <w:pPr>
        <w:ind w:left="760" w:right="20" w:firstLine="1015"/>
        <w:spacing w:after="0" w:line="258" w:lineRule="auto"/>
        <w:tabs>
          <w:tab w:leader="none" w:pos="264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consent of a Majority of the Controlling Class, to evidence any waiver or modification by any Rating Agency as to any requirement or condition, as applicable, of such Rating Agency set forth herein;</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169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50" w:lineRule="exact"/>
        <w:rPr>
          <w:sz w:val="20"/>
          <w:szCs w:val="20"/>
          <w:color w:val="auto"/>
        </w:rPr>
      </w:pPr>
    </w:p>
    <w:p>
      <w:pPr>
        <w:ind w:left="2640" w:hanging="865"/>
        <w:spacing w:after="0" w:line="253" w:lineRule="exact"/>
        <w:tabs>
          <w:tab w:leader="none" w:pos="264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accommodate the settlement of the Notes in book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entry form through the facilities of DTC or</w:t>
      </w:r>
    </w:p>
    <w:p>
      <w:pPr>
        <w:spacing w:after="0" w:line="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otherwise;</w:t>
      </w:r>
    </w:p>
    <w:p>
      <w:pPr>
        <w:spacing w:after="0" w:line="182" w:lineRule="exact"/>
        <w:rPr>
          <w:sz w:val="20"/>
          <w:szCs w:val="20"/>
          <w:color w:val="auto"/>
        </w:rPr>
      </w:pPr>
    </w:p>
    <w:p>
      <w:pPr>
        <w:ind w:left="2200" w:hanging="425"/>
        <w:spacing w:after="0"/>
        <w:tabs>
          <w:tab w:leader="none" w:pos="220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change the date within the month on which reports are required to be delivered hereunder;</w:t>
      </w:r>
    </w:p>
    <w:p>
      <w:pPr>
        <w:spacing w:after="0" w:line="206" w:lineRule="exact"/>
        <w:rPr>
          <w:rFonts w:ascii="Times New Roman" w:cs="Times New Roman" w:eastAsia="Times New Roman" w:hAnsi="Times New Roman"/>
          <w:sz w:val="22"/>
          <w:szCs w:val="22"/>
          <w:color w:val="auto"/>
        </w:rPr>
      </w:pPr>
    </w:p>
    <w:p>
      <w:pPr>
        <w:jc w:val="both"/>
        <w:ind w:left="760" w:firstLine="1015"/>
        <w:spacing w:after="0" w:line="236" w:lineRule="auto"/>
        <w:tabs>
          <w:tab w:leader="none" w:pos="264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modification determined by the Collateral Manager, in consultation with and upon advice of legal counsel experienced in such matters and, in the case of a modification with respect to the Securitization Regulations, in consultation with the EU/UK Retention Holder, to be necessary or advisable to permit any Institutional Investor to satisfy the applicable Securitization Regulations or to comply with the U.S. Risk Retention Rules, including (without limitation) in connection with a Refinancing, Optional Redemption, Re-Pricing, additional issuance or incurrence, as applicable, of Debt or material amendment to any of the Transaction Document;</w:t>
      </w:r>
    </w:p>
    <w:p>
      <w:pPr>
        <w:spacing w:after="0" w:line="181" w:lineRule="exact"/>
        <w:rPr>
          <w:rFonts w:ascii="Times New Roman" w:cs="Times New Roman" w:eastAsia="Times New Roman" w:hAnsi="Times New Roman"/>
          <w:sz w:val="22"/>
          <w:szCs w:val="22"/>
          <w:color w:val="auto"/>
        </w:rPr>
      </w:pPr>
    </w:p>
    <w:p>
      <w:pPr>
        <w:ind w:left="2640" w:hanging="865"/>
        <w:spacing w:after="0"/>
        <w:tabs>
          <w:tab w:leader="none" w:pos="264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make any necessary or advisable changes to this Indenture in connection with the adoption of a</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Fallback Rate;</w:t>
      </w:r>
    </w:p>
    <w:p>
      <w:pPr>
        <w:spacing w:after="0" w:line="182" w:lineRule="exact"/>
        <w:rPr>
          <w:rFonts w:ascii="Times New Roman" w:cs="Times New Roman" w:eastAsia="Times New Roman" w:hAnsi="Times New Roman"/>
          <w:sz w:val="21"/>
          <w:szCs w:val="21"/>
          <w:color w:val="auto"/>
        </w:rPr>
      </w:pPr>
    </w:p>
    <w:p>
      <w:pPr>
        <w:jc w:val="both"/>
        <w:ind w:left="760" w:firstLine="1015"/>
        <w:spacing w:after="0" w:line="236" w:lineRule="auto"/>
        <w:tabs>
          <w:tab w:leader="none" w:pos="264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any action necessary, advisable, or helpful to prevent the Issuer, or the holders of Secured Debt, the Loan Agent or the Collateral Trustee from being subject to (or to otherwise reduce) withholding or other taxes, fees or assessments, or to reduce the risk that the Issuer may be treated as publicly traded partnership taxable as a corporation for U.S. federal income tax purposes or otherwise being subject to U.S. federal, state or local tax on a net income or entity level basis including any tax liability imposed under Section 1446 of the Code or any similar provision of law;</w:t>
      </w:r>
    </w:p>
    <w:p>
      <w:pPr>
        <w:spacing w:after="0" w:line="181"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64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such changes as are necessary, helpful or appropriate to permit the Issuer to acquire, receive or retain, as applicable, Senior Secured Notes; provided that, notwithstanding the foregoing, the Collateral Manager shall not be permitted to make any changes to clause (ii) of the definition of "Concentration Limitations";</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38" w:lineRule="auto"/>
        <w:tabs>
          <w:tab w:leader="none" w:pos="264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modification or amendment determined by the Issuer or the Collateral Manager (in consultation with legal counsel of national reputation experienced in such matters) as necessary or advisable to enable the Issuer to rely upon the exemption from registration as an investment company provided by Rule 3a-7 under the 1940 Act or another exemption or exclusion from registration as an investment company under the 1940 Act (other than Section 3(c)(1) or Section 3(c)(7) thereof);</w:t>
      </w:r>
    </w:p>
    <w:p>
      <w:pPr>
        <w:spacing w:after="0" w:line="176" w:lineRule="exact"/>
        <w:rPr>
          <w:rFonts w:ascii="Times New Roman" w:cs="Times New Roman" w:eastAsia="Times New Roman" w:hAnsi="Times New Roman"/>
          <w:sz w:val="22"/>
          <w:szCs w:val="22"/>
          <w:color w:val="auto"/>
        </w:rPr>
      </w:pPr>
    </w:p>
    <w:p>
      <w:pPr>
        <w:jc w:val="both"/>
        <w:ind w:left="760" w:firstLine="1015"/>
        <w:spacing w:after="0" w:line="235" w:lineRule="auto"/>
        <w:tabs>
          <w:tab w:leader="none" w:pos="264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the terms of the Transaction Documents (including but not limited to any hedge agreement) and/or the conditions in order to enable any Institutional Investor to comply with any requirements in respect of the EU/UK Risk Retention Requirements, the EU/UK Transparency Requirements and the Securitization Regulations, subject to receipt by the Collateral Trustee of a certificate of the Issuer certifying to the Collateral Trustee that the requested amendments are to be made by the Issuer solely for the purpose of enabling any Institutional Investor the Issuer to satisfy its compliance requirements under the EU/UK Risk Retention Requirements, the EU/UK Transparency Requirements and the Securitization Regulations; or</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170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85" w:lineRule="exact"/>
        <w:rPr>
          <w:sz w:val="20"/>
          <w:szCs w:val="20"/>
          <w:color w:val="auto"/>
        </w:rPr>
      </w:pPr>
    </w:p>
    <w:p>
      <w:pPr>
        <w:jc w:val="both"/>
        <w:ind w:left="760" w:firstLine="1015"/>
        <w:spacing w:after="0" w:line="249" w:lineRule="auto"/>
        <w:tabs>
          <w:tab w:leader="none" w:pos="2642" w:val="left"/>
        </w:tabs>
        <w:numPr>
          <w:ilvl w:val="1"/>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make any modification or amendment determined by the Issuer or the Collateral Manager (in consultation with legal counsel of national reputation experienced in such matters) as necessary or advisable (A) for any Class of Secured Debt to not be considered an "ownership interest" as defined for purposes of the Volcker Rule, or (B)</w:t>
      </w:r>
    </w:p>
    <w:p>
      <w:pPr>
        <w:spacing w:after="0" w:line="1" w:lineRule="exact"/>
        <w:rPr>
          <w:rFonts w:ascii="Times New Roman" w:cs="Times New Roman" w:eastAsia="Times New Roman" w:hAnsi="Times New Roman"/>
          <w:sz w:val="21"/>
          <w:szCs w:val="21"/>
          <w:color w:val="auto"/>
        </w:rPr>
      </w:pPr>
    </w:p>
    <w:p>
      <w:pPr>
        <w:jc w:val="both"/>
        <w:ind w:left="760" w:hanging="3"/>
        <w:spacing w:after="0" w:line="232" w:lineRule="auto"/>
        <w:tabs>
          <w:tab w:leader="none" w:pos="108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enable the Issuer to rely upon the exemption from registration as an investment company provided by Rule 3a-7 under the Investment Company Act or another exemption or exclusion from registration as an investment company under the Investment Company Act (other than Section 3(c)(1) or Section 3(c)(7) thereof) or (2) for the Issuer to not otherwise be considered a "covered fund" as defined for purposes of the Volcker Rule, in each case so long as (1) any such modification or amendment would not have a material adverse effect on any Class of Debt, as evidenced by an opinion of counsel (which may be supported as to factual (including financial and capital markets) matters by any relevant certificates and other documents necessary or advisable in the judgment of the counsel delivering the opinion) and (2) such modification or amendment is approved in writing by a Majority of the Controlling Class and a Majority of the Subordinated Notes.</w:t>
      </w:r>
    </w:p>
    <w:p>
      <w:pPr>
        <w:spacing w:after="0" w:line="178"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1"/>
          <w:szCs w:val="21"/>
          <w:color w:val="auto"/>
        </w:rPr>
        <w:t>For the avoidance of doubt, except as set forth under the definition of "Reset Amendment", Reset Amendments are not subject to any consent requirements that would otherwise apply to supplemental indentures described herein.</w:t>
      </w:r>
    </w:p>
    <w:p>
      <w:pPr>
        <w:spacing w:after="0" w:line="135"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Notwithstanding the foregoing, without the prior written consent of a Supermajority of the Controlling Class, no supplemental indenture may modify the definition of "Assets," the definition of "Collateral Obligations," the definition of "Concentration Limitations," the definition of "Eligible Investments," the definition of "Participation Interests," the prohibition on the Issuer entering into hedging transactions or the definition of "Weighted Average Life Test";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proposed supplemental indenture is being entered into in connection with a Partial Refinancing of less than all of the Secured Debt and the Weighted Average Life Test is being modified, the written consent of a Majority of the most senior Class not subject to such refinancing shall be obtained.</w:t>
      </w:r>
    </w:p>
    <w:p>
      <w:pPr>
        <w:spacing w:after="0" w:line="183" w:lineRule="exact"/>
        <w:rPr>
          <w:sz w:val="20"/>
          <w:szCs w:val="20"/>
          <w:color w:val="auto"/>
        </w:rPr>
      </w:pPr>
    </w:p>
    <w:p>
      <w:pPr>
        <w:jc w:val="both"/>
        <w:ind w:firstLine="1505"/>
        <w:spacing w:after="0" w:line="238" w:lineRule="auto"/>
        <w:tabs>
          <w:tab w:leader="none" w:pos="1929"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Issuer executes a supplemental indenture for purposes of conforming this Indenture to the Offering Circular pursuant to </w:t>
      </w:r>
      <w:r>
        <w:rPr>
          <w:rFonts w:ascii="Times New Roman" w:cs="Times New Roman" w:eastAsia="Times New Roman" w:hAnsi="Times New Roman"/>
          <w:sz w:val="22"/>
          <w:szCs w:val="22"/>
          <w:u w:val="single" w:color="auto"/>
          <w:color w:val="auto"/>
        </w:rPr>
        <w:t>Section 8.1(a)(x)</w:t>
      </w:r>
      <w:r>
        <w:rPr>
          <w:rFonts w:ascii="Times New Roman" w:cs="Times New Roman" w:eastAsia="Times New Roman" w:hAnsi="Times New Roman"/>
          <w:sz w:val="22"/>
          <w:szCs w:val="22"/>
          <w:color w:val="auto"/>
        </w:rPr>
        <w:t xml:space="preserve"> and one or more other amendment provisions described above also applies, such supplemental indenture will be deemed to be a supplemental indenture to conform this Indenture to the Offering Circular pursuant to </w:t>
      </w:r>
      <w:r>
        <w:rPr>
          <w:rFonts w:ascii="Times New Roman" w:cs="Times New Roman" w:eastAsia="Times New Roman" w:hAnsi="Times New Roman"/>
          <w:sz w:val="22"/>
          <w:szCs w:val="22"/>
          <w:u w:val="single" w:color="auto"/>
          <w:color w:val="auto"/>
        </w:rPr>
        <w:t>Section 8.1(a)(x)</w:t>
      </w:r>
      <w:r>
        <w:rPr>
          <w:rFonts w:ascii="Times New Roman" w:cs="Times New Roman" w:eastAsia="Times New Roman" w:hAnsi="Times New Roman"/>
          <w:sz w:val="22"/>
          <w:szCs w:val="22"/>
          <w:color w:val="auto"/>
        </w:rPr>
        <w:t xml:space="preserve"> regardless of the applicability of any other provision regarding supplemental indentures set forth in this Indenture.</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no case shall a supplemental indenture that becomes effective on or after the Redemption Date of any Class of Debt be considered to have a material adverse effect on any Holder of such Class. Any non-consenting Holders of a Re-Priced Class shall be deemed not to be materially and adversely affected by any terms of the supplemental indenture related to, in connection with or to become effective on or immediately after the Re-Pricing Date with respect to such Class. In addition, in the case of a partial redemption, Holders of Classes not subject to such Refinancing or Optional Redemption shall be deemed not to be materially and adversely affected by any terms of the supplemental indenture executed in accordance with the terms under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that does not change any terms of any Class not subject to such Refinancing they are holding. In each case, Holders of any redeemed Classes, any non-consenting Holders of a</w:t>
      </w:r>
    </w:p>
    <w:p>
      <w:pPr>
        <w:spacing w:after="0" w:line="15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171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Re-Priced Class and Holders of any non-redeemed Classes in a partial redemption shall have no objection or consent rights to such supplemental indenture.</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8.2 Supplemental Indentures With Consent of Holders of Debt</w:t>
      </w:r>
      <w:r>
        <w:rPr>
          <w:rFonts w:ascii="Times New Roman" w:cs="Times New Roman" w:eastAsia="Times New Roman" w:hAnsi="Times New Roman"/>
          <w:sz w:val="22"/>
          <w:szCs w:val="22"/>
          <w:color w:val="auto"/>
        </w:rPr>
        <w:t xml:space="preserve"> . (a) With the written consent of the Collateral Manager and the Transferor, a Majority of each Class of Secured Debt materially and adversely affected thereby, if any, and a Majority of the Subordinated Notes if materially and adversely affected thereby, the Collateral Trustee and the Issuer may, subject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execute one or more indentures supplemental hereto to add provisions to, or change in any manner or eliminate any of the provisions of, this Indenture or modify in any manner the rights of the Holders of any Class of Debt under this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no such supplemental indenture shall, without the consent of each Holder of each Class of Debt materially and adversely affected thereby:</w:t>
      </w:r>
    </w:p>
    <w:p>
      <w:pPr>
        <w:spacing w:after="0" w:line="183" w:lineRule="exact"/>
        <w:rPr>
          <w:sz w:val="20"/>
          <w:szCs w:val="20"/>
          <w:color w:val="auto"/>
        </w:rPr>
      </w:pPr>
    </w:p>
    <w:p>
      <w:pPr>
        <w:jc w:val="both"/>
        <w:ind w:left="760" w:firstLine="1015"/>
        <w:spacing w:after="0" w:line="249" w:lineRule="exact"/>
        <w:tabs>
          <w:tab w:leader="none" w:pos="221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Stated Maturity of the principal of or the due date of any installment of interest on any Secured Debt, reduce (without payment) the principal amount thereof or the rate of interest thereon (except in connection with a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or in connection with any change in the interest rate to the Fallback Rate) or, except as otherwise expressly permitted by this Indenture, the Redemption Price with respect to any Class of Debt, or change the earliest date on which any Class of Debt may be redeemed or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priced, change the provisions of this Indenture relating to the application of proceeds of any Assets to the payment of principal of or interest on Secured Debt, or distributions on the Subordinated Notes or change any place where, or the coin or currency in which, Debt or the principal thereof or interest or any distribution thereon is payable, or impair the right to institute suit for the enforcement of any such payment on or after the Stated Maturity thereof (or, in the case of redemption, on or after the applicable Redemption Date);</w:t>
      </w:r>
    </w:p>
    <w:p>
      <w:pPr>
        <w:spacing w:after="0" w:line="185"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percentage of the Aggregate Outstanding Amount of Holders of each Class whose consent is required for the authorization of any such supplemental indenture or for any waiver of compliance with certain provisions of this Indenture or certain defaults hereunder or their consequences provided for herein;</w:t>
      </w:r>
    </w:p>
    <w:p>
      <w:pPr>
        <w:spacing w:after="0" w:line="173"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or adversely affect the Assets except as otherwise permitted herein;</w:t>
      </w:r>
    </w:p>
    <w:p>
      <w:pPr>
        <w:spacing w:after="0" w:line="206"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permitted by this Indenture, permit the creation of any lien ranking prior to or on a parity with the lien of this Indenture with respect to any part of the Assets or terminate such lien on any property at any time subject hereto or deprive the Holder of Secured Debt of the security afforded by the lien of this Indenture;</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39" w:lineRule="auto"/>
        <w:tabs>
          <w:tab w:leader="none" w:pos="221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reduce the percentage of the Aggregate Outstanding Amount of Holders of any Class of Secured Debt whose consent is required to request the Collateral Trustee to preserve the Assets or rescind the Collateral Trustee's determination to preserve the Assets pursuant to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or to sell or liquidate the Assets pursuant to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5.5</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modify any of the provisions of (A)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except to increase the percentage of Outstanding Debt, the consent of the holders of which is required for any such action or to provide that certain other provisions of this Indenture cannot be modified</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172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or waived without the consent of each Holder of Outstanding Debt affected thereby or (B)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1"/>
          <w:szCs w:val="21"/>
          <w:color w:val="auto"/>
        </w:rPr>
        <w:t xml:space="preserve">(vii) modify the definition of the term "Outstanding" or the Priority of Payments set forth in </w:t>
      </w:r>
      <w:r>
        <w:rPr>
          <w:rFonts w:ascii="Times New Roman" w:cs="Times New Roman" w:eastAsia="Times New Roman" w:hAnsi="Times New Roman"/>
          <w:sz w:val="21"/>
          <w:szCs w:val="21"/>
          <w:u w:val="single" w:color="auto"/>
          <w:color w:val="auto"/>
        </w:rPr>
        <w:t>Section 11.1(a)</w:t>
      </w:r>
      <w:r>
        <w:rPr>
          <w:rFonts w:ascii="Times New Roman" w:cs="Times New Roman" w:eastAsia="Times New Roman" w:hAnsi="Times New Roman"/>
          <w:sz w:val="21"/>
          <w:szCs w:val="21"/>
          <w:color w:val="auto"/>
        </w:rPr>
        <w:t>;</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or</w:t>
      </w:r>
    </w:p>
    <w:p>
      <w:pPr>
        <w:spacing w:after="0" w:line="182" w:lineRule="exact"/>
        <w:rPr>
          <w:sz w:val="20"/>
          <w:szCs w:val="20"/>
          <w:color w:val="auto"/>
        </w:rPr>
      </w:pPr>
    </w:p>
    <w:p>
      <w:pPr>
        <w:jc w:val="both"/>
        <w:ind w:left="760" w:firstLine="1015"/>
        <w:spacing w:after="0" w:line="239" w:lineRule="auto"/>
        <w:tabs>
          <w:tab w:leader="none" w:pos="2642"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any of the provisions of this Indenture in such a manner as to affect the calculation of the amount of any payment of interest or principal on any Secured Debt or any amount available for distribution to the Subordinated Notes, or to affect the rights of the Holders of Debt to the benefit of any provisions for the redemption of such Debt contained herein;</w:t>
      </w:r>
    </w:p>
    <w:p>
      <w:pPr>
        <w:spacing w:after="0" w:line="18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supplemental indenture which, by its terms, (x) provides for a Refinancing of all, but not less than all, Classes of Secured Debt in whole, but not in part, and (y) is consented to by a Majority of the Subordinated Notes, notwithstanding anything to the contrary contained or implied elsewhere in this Indenture, the Collateral Manager may, without regard to any other consent requirement specified above or elsewhere in this Indenture, cause such supplemental indenture to be entered into, and the Collateral Trustee and the Issuer shall enter into such supplemental indenture, which supplemental indenture may (A) effect an extension of the end of the Reinvestment Period, (B) establish a non-call period for the replacement notes or loans issued to replace such Secured Debt or prohibit a future refinancing of such replacement notes or loans, (C) modify the Weighted Average Life Test, (D) provide for a stated maturity of such replacement notes or loans that is later than the Stated Maturity of the Secured Debt and/or (E) make any other supplements or amendments to this Indenture that would otherwise be subject to the consent rights set forth above (a "</w:t>
      </w:r>
      <w:r>
        <w:rPr>
          <w:rFonts w:ascii="Times New Roman" w:cs="Times New Roman" w:eastAsia="Times New Roman" w:hAnsi="Times New Roman"/>
          <w:sz w:val="22"/>
          <w:szCs w:val="22"/>
          <w:u w:val="single" w:color="auto"/>
          <w:color w:val="auto"/>
        </w:rPr>
        <w:t>Reset Amendment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497"/>
        <w:spacing w:after="0" w:line="257" w:lineRule="exact"/>
        <w:rPr>
          <w:sz w:val="20"/>
          <w:szCs w:val="20"/>
          <w:color w:val="auto"/>
        </w:rPr>
      </w:pPr>
      <w:r>
        <w:rPr>
          <w:rFonts w:ascii="Times New Roman" w:cs="Times New Roman" w:eastAsia="Times New Roman" w:hAnsi="Times New Roman"/>
          <w:sz w:val="22"/>
          <w:szCs w:val="22"/>
          <w:color w:val="auto"/>
        </w:rPr>
        <w:t>Notwithstanding any other provision relating to supplemental indentures herein, at any time after the expiration of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Call Period, if any Class of Secured Debt has been or contemporaneously with the effectiveness of any supplemental indenture will be paid in full in accordance with this Indenture as so supplemented or amended, the written consent of any Holder of such Class will not be required with respect to such supplemental indenture.</w:t>
      </w:r>
    </w:p>
    <w:p>
      <w:pPr>
        <w:spacing w:after="0" w:line="177"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8.3 Execution of Supplemental Indentures</w:t>
      </w:r>
      <w:r>
        <w:rPr>
          <w:rFonts w:ascii="Times New Roman" w:cs="Times New Roman" w:eastAsia="Times New Roman" w:hAnsi="Times New Roman"/>
          <w:sz w:val="22"/>
          <w:szCs w:val="22"/>
          <w:color w:val="auto"/>
        </w:rPr>
        <w:t xml:space="preserve">. (a) The Collateral Manager shall not be bound to follow any amendment or supplement to this Indenture unless it has consented thereto in accordance with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940" w:hanging="435"/>
        <w:spacing w:after="0"/>
        <w:tabs>
          <w:tab w:leader="none" w:pos="194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join in the execution of any such supplemental indenture and shall make any further appropriate agreements and stipulations which may be therein contained, but the Collateral Trustee shall not be obligated to enter into any such supplemental indenture which adversely affects, as applicable, the Collateral Trustee's own rights, duties, liabilities or immunities under this Indenture or otherwise, except to the extent required by law. No supplemental indenture will be effective against the Collateral Administrator if such amendment would adversely affect the Collateral Administrator, including, without limitation, any amendment or supplement that would increase the duties or liabilities of, or adversely change the</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173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economic consequences to, the Collateral Administrator, unless the Collateral Administrator otherwise consents in writing.</w:t>
      </w:r>
    </w:p>
    <w:p>
      <w:pPr>
        <w:spacing w:after="0" w:line="206" w:lineRule="exact"/>
        <w:rPr>
          <w:sz w:val="20"/>
          <w:szCs w:val="20"/>
          <w:color w:val="auto"/>
        </w:rPr>
      </w:pPr>
    </w:p>
    <w:p>
      <w:pPr>
        <w:jc w:val="both"/>
        <w:ind w:firstLine="1505"/>
        <w:spacing w:after="0" w:line="249" w:lineRule="exact"/>
        <w:tabs>
          <w:tab w:leader="none" w:pos="1929"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Trustee may conclusively rely on an Opinion of Counsel (which may be supported as to factual (including financial and capital markets) matters by any relevant certificates and other documents necessary or advisable in the judgment of counsel delivering the opinion) or a Responsible Officer's certificate of the Collateral Manager as to whether the interests of any Holder of Debt would be materially and adversely affected by the modifications set forth in any supplemental indenture, it being expressly understood and agreed that the Collateral Trustee shall have no obligation to make any determination as to the satisfaction of the requirements related to any supplemental indenture which may form the basis of such Opinion of Counsel or such Responsible Officer's certificate;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written notice has been received by the Issuer and the Collateral Trustee from a Majority of the Holders of any Class of Debt at least three (3) Business Day prior to the execution of such supplemental indenture that such Class would be materially and adversely affected thereby, the Collateral Trustee shall not be entitled to rely upon an Opinion of Counsel or Responsible Officer's certificate of the Collateral Manager as to whether or not the Holders of such Class of Debt would be materially and adversely affected by such supplemental indenture and the Collateral Trustee shall not enter into such supplemental indenture without the consent of a Majority of such Class of Debt. Such determination by such Class as to whether the interests of any Holder have been materially and adversely affected shall be conclusive and binding on all present and future holders. The Collateral Trustee shall not be liable for any such determination made in good faith and in reliance upon an Opinion of Counsel or such a Responsible Officer's certificate delivered to the Collateral Trustee as described herein. For the avoidance of doubt, no Holder of Secured Debt who would not constitute a Holder of Secured Debt after giving effect to a Refinancing or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shall be materially and adversely affected by any provision of any supplemental indenture that becomes effective after such Refinancing or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or otherwise have any right to object to any such Refinancing or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w:t>
      </w:r>
    </w:p>
    <w:p>
      <w:pPr>
        <w:spacing w:after="0" w:line="147" w:lineRule="exact"/>
        <w:rPr>
          <w:rFonts w:ascii="Times New Roman" w:cs="Times New Roman" w:eastAsia="Times New Roman" w:hAnsi="Times New Roman"/>
          <w:sz w:val="22"/>
          <w:szCs w:val="22"/>
          <w:color w:val="auto"/>
        </w:rPr>
      </w:pPr>
    </w:p>
    <w:p>
      <w:pPr>
        <w:jc w:val="both"/>
        <w:ind w:firstLine="1505"/>
        <w:spacing w:after="0" w:line="251" w:lineRule="auto"/>
        <w:tabs>
          <w:tab w:leader="none" w:pos="1929"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executing or accepting the additional trusts created by any supplemental indenture permitted by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or the modifications thereby of the trusts created by this Indenture, the Collateral Trustee shall be entitled to receive, and (subject to </w:t>
      </w:r>
      <w:r>
        <w:rPr>
          <w:rFonts w:ascii="Times New Roman" w:cs="Times New Roman" w:eastAsia="Times New Roman" w:hAnsi="Times New Roman"/>
          <w:sz w:val="21"/>
          <w:szCs w:val="21"/>
          <w:u w:val="single" w:color="auto"/>
          <w:color w:val="auto"/>
        </w:rPr>
        <w:t>Sections 6.1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6.3</w:t>
      </w:r>
      <w:r>
        <w:rPr>
          <w:rFonts w:ascii="Times New Roman" w:cs="Times New Roman" w:eastAsia="Times New Roman" w:hAnsi="Times New Roman"/>
          <w:sz w:val="21"/>
          <w:szCs w:val="21"/>
          <w:color w:val="auto"/>
        </w:rPr>
        <w:t>) shall be fully protected in relying upon, an Opinion of Counsel stating that the execution of such supplemental indenture is authorized or permitted by this Indenture and that all conditions precedent thereto have been satisfied. The Collateral Trustee shall not be liable for any reliance made in good faith upon such an Opinion of Counsel.</w:t>
      </w:r>
    </w:p>
    <w:p>
      <w:pPr>
        <w:spacing w:after="0" w:line="168" w:lineRule="exact"/>
        <w:rPr>
          <w:rFonts w:ascii="Times New Roman" w:cs="Times New Roman" w:eastAsia="Times New Roman" w:hAnsi="Times New Roman"/>
          <w:sz w:val="21"/>
          <w:szCs w:val="21"/>
          <w:color w:val="auto"/>
        </w:rPr>
      </w:pPr>
    </w:p>
    <w:p>
      <w:pPr>
        <w:jc w:val="both"/>
        <w:ind w:firstLine="1505"/>
        <w:spacing w:after="0" w:line="235" w:lineRule="auto"/>
        <w:tabs>
          <w:tab w:leader="none" w:pos="1929"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cost of the Issuer, for so long as any Debt remains Outstanding, not later than 15 Business Days prior to the execution of any proposed supplemental indenture pursuant to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and not later than 10 Business Days prior to the execution of any proposed supplemental indenture pursuant to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the Collateral Trustee shall provide to the Collateral Manager, the Collateral Administrator, the Noteholders and the Loan Agent (for delivery to the Class A-1 Lenders) a copy of such supplemental indenture. At the cost of the Issuer, for so long as any Class of Debt remains Outstanding and such Class is rated by a Rating Agency, the Collateral Trustee shall provide to such Rating Agency a copy of any proposed supplemental indenture at least 10 Business Days prior to the execution thereof by the Collateral Trustee (unless such period is waived by the applicable Rating Agency) and, as soon as practicable after the</w:t>
      </w:r>
    </w:p>
    <w:p>
      <w:pPr>
        <w:spacing w:after="0" w:line="15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174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execution of any such supplemental indenture, provide to such Rating Agency a copy of the executed supplemental indenture. The Collateral Trustee shall, at the expense of the Issuer, notify the Holders if the Collateral Trustee receives written notice or a Trust Officer has actual knowledge that any Rating Agency has determined that such supplemental indenture will affect its rating of any Class rated by such Rating Agency. At the cost of the Issuer, the Collateral Trustee shall deliver to the Holders (in the manner described in </w:t>
      </w:r>
      <w:r>
        <w:rPr>
          <w:rFonts w:ascii="Times New Roman" w:cs="Times New Roman" w:eastAsia="Times New Roman" w:hAnsi="Times New Roman"/>
          <w:sz w:val="22"/>
          <w:szCs w:val="22"/>
          <w:u w:val="single" w:color="auto"/>
          <w:color w:val="auto"/>
        </w:rPr>
        <w:t>Section 14.4</w:t>
      </w:r>
      <w:r>
        <w:rPr>
          <w:rFonts w:ascii="Times New Roman" w:cs="Times New Roman" w:eastAsia="Times New Roman" w:hAnsi="Times New Roman"/>
          <w:sz w:val="22"/>
          <w:szCs w:val="22"/>
          <w:color w:val="auto"/>
        </w:rPr>
        <w:t>) a copy of the executed supplemental indenture after its execution. Any failure of the Collateral Trustee to publish or deliver such notice, or any defect therein, shall not in any way impair or affect the validity of any such supplemental indenture.</w:t>
      </w:r>
    </w:p>
    <w:p>
      <w:pPr>
        <w:spacing w:after="0" w:line="183" w:lineRule="exact"/>
        <w:rPr>
          <w:sz w:val="20"/>
          <w:szCs w:val="20"/>
          <w:color w:val="auto"/>
        </w:rPr>
      </w:pPr>
    </w:p>
    <w:p>
      <w:pPr>
        <w:jc w:val="both"/>
        <w:ind w:firstLine="1505"/>
        <w:spacing w:after="0" w:line="244" w:lineRule="auto"/>
        <w:tabs>
          <w:tab w:leader="none" w:pos="1929"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not be necessary for any Act of Holders to approve the particular form of any proposed supplemental indenture, but it shall be sufficient, if the consent of any Holders to such proposed supplemental indenture is required, that such Act shall approve the substance thereof.</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consent given by Holders of any Class pursuant to this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shall be binding upon all future Holders of such Class.</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8.4 Effect of Supplemental Indentures</w:t>
      </w:r>
      <w:r>
        <w:rPr>
          <w:rFonts w:ascii="Times New Roman" w:cs="Times New Roman" w:eastAsia="Times New Roman" w:hAnsi="Times New Roman"/>
          <w:sz w:val="22"/>
          <w:szCs w:val="22"/>
          <w:color w:val="auto"/>
        </w:rPr>
        <w:t xml:space="preserve">. Upon the execution of any supplemental indenture under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this Indenture shall be modified in accordance therewith, and such supplemental indenture shall form a part of this Indenture for all purposes; and every Holder of Debt theretofore and thereafter authenticated and delivered hereunder shall be bound thereby.</w:t>
      </w:r>
    </w:p>
    <w:p>
      <w:pPr>
        <w:spacing w:after="0" w:line="18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1"/>
          <w:szCs w:val="21"/>
          <w:u w:val="single" w:color="auto"/>
          <w:color w:val="auto"/>
        </w:rPr>
        <w:t>Section 8.5 Reference in Notes to Supplemental Indentures</w:t>
      </w:r>
      <w:r>
        <w:rPr>
          <w:rFonts w:ascii="Times New Roman" w:cs="Times New Roman" w:eastAsia="Times New Roman" w:hAnsi="Times New Roman"/>
          <w:sz w:val="21"/>
          <w:szCs w:val="21"/>
          <w:color w:val="auto"/>
        </w:rPr>
        <w:t xml:space="preserve"> . Notes authenticated and delivered as part of a transfer, exchange or replacement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of Notes originally issued hereunder after the execution of any supplemental indenture pursuant to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may, and if required by the Issuer shall, bear a notice in form approved by the Collateral Trustee as to any matter provided for in such supplemental indenture. If the Issuer shall so determine, new Notes, so modified as to conform in the opinion of the Issuer to any such supplemental indenture, may be prepared and executed by the Issuer and authenticated and delivered by the Collateral Trustee or the Authenticating Agent in exchange for Outstanding Notes.</w:t>
      </w:r>
    </w:p>
    <w:p>
      <w:pPr>
        <w:spacing w:after="0" w:line="17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8.6 Amendments to Master Loan Sale Agreement</w:t>
      </w:r>
      <w:r>
        <w:rPr>
          <w:rFonts w:ascii="Times New Roman" w:cs="Times New Roman" w:eastAsia="Times New Roman" w:hAnsi="Times New Roman"/>
          <w:sz w:val="22"/>
          <w:szCs w:val="22"/>
          <w:color w:val="auto"/>
        </w:rPr>
        <w:t>. Subject to and in accordance with Section 5.01 of the Master Loan Sale Agreement, prior to the execution of any amendment or waiver to the Master Loan Sale Agreement:</w:t>
      </w:r>
    </w:p>
    <w:p>
      <w:pPr>
        <w:spacing w:after="0" w:line="158" w:lineRule="exact"/>
        <w:rPr>
          <w:sz w:val="20"/>
          <w:szCs w:val="20"/>
          <w:color w:val="auto"/>
        </w:rPr>
      </w:pPr>
    </w:p>
    <w:p>
      <w:pPr>
        <w:jc w:val="both"/>
        <w:ind w:firstLine="1505"/>
        <w:spacing w:after="0" w:line="244" w:lineRule="auto"/>
        <w:tabs>
          <w:tab w:leader="none" w:pos="1929"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furnish to the Collateral Manager and the Collateral Trustee (and the Collateral Trustee shall furnish to each Rating Agency and each Holder at least five (5) Business Days prior to the execution thereof) written notification of the substance of such proposed amendment or waiver, together with a copy thereof; and</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and the Collateral Trustee shall be entitled to receive and rely upon an Opinion of Counsel (which Opinion of Counsel may rely upon one or more certificates from an authorized Officer of the Transferor, the Issuer and/or the Collateral Manager with respect to factual matters and of the Issuer and/or the Collateral Manager with respect to the effect of any such amendment or waiver on the economic interests of the Issuer or the Holders) stating that the</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175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execution of such amendment is authorized or permitted by the Master Loan Sale Agreement and that all conditions precedent thereto have been satisfied. The Collateral Trustee shall not be liable for any reliance made in good faith upon such an Opinion of Counsel.</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Promptly after the execution of any such amendment or waiver, the Issuer shall furnish (or cause the Collateral Trustee to furnish at the expense of the Issuer) a copy of such amendment or waiver to the Collateral Trustee (if applicable), the Collateral Manager, each Rating Agency and to each Holder.</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REDEMPTION OF NOTES</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9.1 Mandatory Redemption</w:t>
      </w:r>
      <w:r>
        <w:rPr>
          <w:rFonts w:ascii="Times New Roman" w:cs="Times New Roman" w:eastAsia="Times New Roman" w:hAnsi="Times New Roman"/>
          <w:sz w:val="22"/>
          <w:szCs w:val="22"/>
          <w:color w:val="auto"/>
        </w:rPr>
        <w:t>. If a Coverage Test is not met on any Determination Date on which such Coverage Test is applicable, the Issuer shall apply available amounts in the Payment Account to make payments on the Secured Debt on the applicable Payment Date pursuant to the Priority of Payments.</w:t>
      </w:r>
    </w:p>
    <w:p>
      <w:pPr>
        <w:spacing w:after="0" w:line="173" w:lineRule="exact"/>
        <w:rPr>
          <w:sz w:val="20"/>
          <w:szCs w:val="20"/>
          <w:color w:val="auto"/>
        </w:rPr>
      </w:pPr>
    </w:p>
    <w:p>
      <w:pPr>
        <w:jc w:val="both"/>
        <w:ind w:firstLine="1497"/>
        <w:spacing w:after="0" w:line="248" w:lineRule="exact"/>
        <w:rPr>
          <w:sz w:val="20"/>
          <w:szCs w:val="20"/>
          <w:color w:val="auto"/>
        </w:rPr>
      </w:pPr>
      <w:r>
        <w:rPr>
          <w:rFonts w:ascii="Times New Roman" w:cs="Times New Roman" w:eastAsia="Times New Roman" w:hAnsi="Times New Roman"/>
          <w:sz w:val="22"/>
          <w:szCs w:val="22"/>
          <w:u w:val="single" w:color="auto"/>
          <w:color w:val="auto"/>
        </w:rPr>
        <w:t>Section 9.2 Optional Redemption</w:t>
      </w:r>
      <w:r>
        <w:rPr>
          <w:rFonts w:ascii="Times New Roman" w:cs="Times New Roman" w:eastAsia="Times New Roman" w:hAnsi="Times New Roman"/>
          <w:sz w:val="22"/>
          <w:szCs w:val="22"/>
          <w:color w:val="auto"/>
        </w:rPr>
        <w:t>. (a) The Secured Debt shall be redeemable (or in the case of the Class A-1 Loans, prepayable) by the Issuer at the written direction of a Majority of the Subordinated Notes with the consent of the Transferor and the Collateral Manager as follows: (i) the Secured Debt shall be redeemed (or in the case of the Class A-1 Loans, prepaid) in whole (with respect to all Classes of Secured Debt) but not in part on any Business Day after the end of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Call Period from Sale Proceeds, Refinancing Proceeds and/or Cash Contributions or (ii) the Secured Debt shall be redeemed (or in the case of the Class A-1 Loans, prepaid) in part by Class from Refinancing Proceeds, Partial Refinancing Interest Proceeds and/or Cash Contributions on any Business Day after the end of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Call Period as long as the Secured Debt to be redeemed or prepaid represents not less than the entire Class of such Secured Debt. In connection with any such redemption or prepayment, as applicable, each Class of Secured Debt shall be redeemed or prepaid, as applicable, at the applicable Redemption Price therefor and a Majority of the Subordinated Notes must provide the above described written direction to the Issuer, the Collateral Trustee and the Loan Agent not later than 20 days (or such shorter period of time (not to be less than 10 days) as the Collateral Manager finds reasonably acceptable) prior to the Business Day on which such redemption or prepayment, as applicable, is to be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Secured Debt to be redeemed (or, in the case of the Class A-1 Loans, prepaid) must be redeemed (or, in the case of the Class A-1 Loans, prepaid) simultaneously.</w:t>
      </w:r>
    </w:p>
    <w:p>
      <w:pPr>
        <w:spacing w:after="0" w:line="177" w:lineRule="exact"/>
        <w:rPr>
          <w:sz w:val="20"/>
          <w:szCs w:val="20"/>
          <w:color w:val="auto"/>
        </w:rPr>
      </w:pPr>
    </w:p>
    <w:p>
      <w:pPr>
        <w:jc w:val="both"/>
        <w:ind w:firstLine="1505"/>
        <w:spacing w:after="0" w:line="235" w:lineRule="auto"/>
        <w:tabs>
          <w:tab w:leader="none" w:pos="1929"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receipt of a written direction for a redemption (or, in the case of the Class A-1 Loans, prepayment) of Secured Debt in whole using Sale Proceeds from a Majority of the Subordinated Notes pursuant to </w:t>
      </w:r>
      <w:r>
        <w:rPr>
          <w:rFonts w:ascii="Times New Roman" w:cs="Times New Roman" w:eastAsia="Times New Roman" w:hAnsi="Times New Roman"/>
          <w:sz w:val="22"/>
          <w:szCs w:val="22"/>
          <w:u w:val="single" w:color="auto"/>
          <w:color w:val="auto"/>
        </w:rPr>
        <w:t>Section 9.2(a)(i)</w:t>
      </w:r>
      <w:r>
        <w:rPr>
          <w:rFonts w:ascii="Times New Roman" w:cs="Times New Roman" w:eastAsia="Times New Roman" w:hAnsi="Times New Roman"/>
          <w:sz w:val="22"/>
          <w:szCs w:val="22"/>
          <w:color w:val="auto"/>
        </w:rPr>
        <w:t>, the Collateral Manager in its sole discretion shall direct the sale (and the manner thereof) of all or part of the Collateral Obligations and other Assets in an amount sufficient that the proceeds from such sale and all other funds available for such purpose in the Collection Account and the Payment Account will be at least sufficient to pay the Redemption Prices of the Secured Debt to be redeemed (or, in the case of the Class A-1 Loans, prepaid) and to pay all Administrative Expenses (without regard to the Administrative Expense Cap) and Aggregate Collateral Management Fee due and payable under the Priority of Payments. If such proceeds of such sale and all other funds available for such purpose in the Collection</w:t>
      </w:r>
    </w:p>
    <w:p>
      <w:pPr>
        <w:spacing w:after="0" w:line="15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176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Account and the Payment Account would not be sufficient to redeem (or, in the case of the Class A-1 Loans, prepay) all of the Secured Debt and to pay such fees and expenses, the Secured Debt may not be redeemed (or, in the case of the Class A-1 Loans, prepaid). The Collateral Manager, in its sole discretion, may effect the sale of all or any part of the Collateral Obligations or other Assets through the direct sale of such Collateral Obligations or other Assets or by participation or other arrangement.</w:t>
      </w:r>
    </w:p>
    <w:p>
      <w:pPr>
        <w:spacing w:after="0" w:line="162" w:lineRule="exact"/>
        <w:rPr>
          <w:sz w:val="20"/>
          <w:szCs w:val="20"/>
          <w:color w:val="auto"/>
        </w:rPr>
      </w:pPr>
    </w:p>
    <w:p>
      <w:pPr>
        <w:ind w:right="20" w:firstLine="1505"/>
        <w:spacing w:after="0" w:line="258" w:lineRule="auto"/>
        <w:tabs>
          <w:tab w:leader="none" w:pos="1929"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Subordinated Notes may be redeemed, in whole but not in part, on any Business Day on or after the redemption or repayment in full of the Secured Debt, at the written direction of a Majority of the Subordinated Notes.</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(or in lieu of) a sale of Collateral Obligations and/or Eligible Investments in the manner provided in </w:t>
      </w:r>
      <w:r>
        <w:rPr>
          <w:rFonts w:ascii="Times New Roman" w:cs="Times New Roman" w:eastAsia="Times New Roman" w:hAnsi="Times New Roman"/>
          <w:sz w:val="22"/>
          <w:szCs w:val="22"/>
          <w:u w:val="single" w:color="auto"/>
          <w:color w:val="auto"/>
        </w:rPr>
        <w:t>Section 9.2(b)</w:t>
      </w:r>
      <w:r>
        <w:rPr>
          <w:rFonts w:ascii="Times New Roman" w:cs="Times New Roman" w:eastAsia="Times New Roman" w:hAnsi="Times New Roman"/>
          <w:sz w:val="22"/>
          <w:szCs w:val="22"/>
          <w:color w:val="auto"/>
        </w:rPr>
        <w:t xml:space="preserve">, if directed in writing by a Majority of the Subordinated Notes, with the consent of the Transferor and the Collateral Manager, the Secured Debt may be redeemed (or, in the case of the Class A-1 Loans, prepaid) in whole from Refinancing Proceeds, Sale Proceeds and/or Cash Contributions or in part by Class from Refinancing Proceeds, Partial Refinancing Interest Proceeds and/or Cash Contributions as provided in </w:t>
      </w:r>
      <w:r>
        <w:rPr>
          <w:rFonts w:ascii="Times New Roman" w:cs="Times New Roman" w:eastAsia="Times New Roman" w:hAnsi="Times New Roman"/>
          <w:sz w:val="22"/>
          <w:szCs w:val="22"/>
          <w:u w:val="single" w:color="auto"/>
          <w:color w:val="auto"/>
        </w:rPr>
        <w:t>Section 9.2(a)(ii)</w:t>
      </w:r>
      <w:r>
        <w:rPr>
          <w:rFonts w:ascii="Times New Roman" w:cs="Times New Roman" w:eastAsia="Times New Roman" w:hAnsi="Times New Roman"/>
          <w:sz w:val="22"/>
          <w:szCs w:val="22"/>
          <w:color w:val="auto"/>
        </w:rPr>
        <w:t xml:space="preserve"> by a Refinancing;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terms of such Refinancing and any financial institutions acting as lenders thereunder or purchasers thereof must be acceptable to the Collateral Manager and a Majority of the Subordinated Notes and such Refinancing otherwise satisfies the conditions described below.</w:t>
      </w:r>
    </w:p>
    <w:p>
      <w:pPr>
        <w:spacing w:after="0" w:line="178" w:lineRule="exact"/>
        <w:rPr>
          <w:rFonts w:ascii="Times New Roman" w:cs="Times New Roman" w:eastAsia="Times New Roman" w:hAnsi="Times New Roman"/>
          <w:sz w:val="22"/>
          <w:szCs w:val="22"/>
          <w:color w:val="auto"/>
        </w:rPr>
      </w:pPr>
    </w:p>
    <w:p>
      <w:pPr>
        <w:jc w:val="both"/>
        <w:ind w:firstLine="1505"/>
        <w:spacing w:after="0" w:line="250" w:lineRule="exact"/>
        <w:tabs>
          <w:tab w:leader="none" w:pos="1929"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 Refinancing upon a redemption or prepayment, as applicable, of the Secured Debt in whole but not in part pursuant to </w:t>
      </w:r>
      <w:r>
        <w:rPr>
          <w:rFonts w:ascii="Times New Roman" w:cs="Times New Roman" w:eastAsia="Times New Roman" w:hAnsi="Times New Roman"/>
          <w:sz w:val="21"/>
          <w:szCs w:val="21"/>
          <w:u w:val="single" w:color="auto"/>
          <w:color w:val="auto"/>
        </w:rPr>
        <w:t>Section 9.2(a)(i)</w:t>
      </w:r>
      <w:r>
        <w:rPr>
          <w:rFonts w:ascii="Times New Roman" w:cs="Times New Roman" w:eastAsia="Times New Roman" w:hAnsi="Times New Roman"/>
          <w:sz w:val="21"/>
          <w:szCs w:val="21"/>
          <w:color w:val="auto"/>
        </w:rPr>
        <w:t>, such Refinancing will be effective only if: (i) the Refinancing Proceeds, all Sale Proceeds from the sale of Collateral Obligations and Eligible Investments in accordance with the procedures set forth herein, and all other available funds (including, without limitation, Cash Contributions) will be at least sufficient to redeem or prepay, as applicable, simultaneously the Secured Debt then required to be redeemed or prepaid, as applicable, at the respective Redemption Prices thereof, in whole but not in part, and to pay all accrued and unpaid Administrative Expenses (without regard to the Administrative Expense Cap), including, without limitation, the reasonable fees, costs, charges and expenses incurred by the Collateral Trustee, the Loan Agent, the Collateral Administrator and the Collateral Manager (including reasonable attorneys' fees and expenses) in connection with such Refinancing, (ii) the Sale Proceeds, Refinancing Proceeds and other available funds (including, without limitation, Cash Contributions) funds are used (to the extent necessary) to make such redemption (or, in the case of the Class A-1 Loans, prepayment), and (iii) the agreements relating to the Refinancing contain limited recourse and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petition provisions equivalent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to those contained in </w:t>
      </w:r>
      <w:r>
        <w:rPr>
          <w:rFonts w:ascii="Times New Roman" w:cs="Times New Roman" w:eastAsia="Times New Roman" w:hAnsi="Times New Roman"/>
          <w:sz w:val="21"/>
          <w:szCs w:val="21"/>
          <w:u w:val="single" w:color="auto"/>
          <w:color w:val="auto"/>
        </w:rPr>
        <w:t>Section 13.1(b)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2.7(i)</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color w:val="auto"/>
        </w:rPr>
      </w:pPr>
    </w:p>
    <w:p>
      <w:pPr>
        <w:jc w:val="both"/>
        <w:ind w:firstLine="1505"/>
        <w:spacing w:after="0" w:line="249" w:lineRule="auto"/>
        <w:tabs>
          <w:tab w:leader="none" w:pos="1929"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 Refinancing (or, in the case of the Class A-1 Loans, prepayment) upon a redemption of the Secured Debt in part by Class pursuant to </w:t>
      </w:r>
      <w:r>
        <w:rPr>
          <w:rFonts w:ascii="Times New Roman" w:cs="Times New Roman" w:eastAsia="Times New Roman" w:hAnsi="Times New Roman"/>
          <w:sz w:val="21"/>
          <w:szCs w:val="21"/>
          <w:u w:val="single" w:color="auto"/>
          <w:color w:val="auto"/>
        </w:rPr>
        <w:t>Section 9.2(a)(ii)</w:t>
      </w:r>
      <w:r>
        <w:rPr>
          <w:rFonts w:ascii="Times New Roman" w:cs="Times New Roman" w:eastAsia="Times New Roman" w:hAnsi="Times New Roman"/>
          <w:sz w:val="21"/>
          <w:szCs w:val="21"/>
          <w:color w:val="auto"/>
        </w:rPr>
        <w:t>, such Refinancing will be effective only if: (i) the Collateral Trustee (at the direction of the Issuer or the Collateral Manager on behalf of the Issuer) shall have provided written notice of the Refinancing to each of the Rating Agencies prior to the proposed Redemption Date of such Refinancing, (ii) the Refinancing Proceeds, Partial Refinancing Interest Proceeds and/or Cash Contributions received by the Issuer, together with all other amounts available for such purpose, will be at least sufficient to pay in full the aggregate Redemption Prices of the entire Class or</w:t>
      </w:r>
    </w:p>
    <w:p>
      <w:pPr>
        <w:spacing w:after="0" w:line="150"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177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85"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21"/>
          <w:szCs w:val="21"/>
          <w:color w:val="auto"/>
        </w:rPr>
        <w:t>Classes of Secured Debt subject to Refinancing, (iii) the Refinancing Proceeds, Partial Refinancing Interest Proceeds and/or any such Cash Contributions are used (to the extent necessary) to make such redemption (or, in the case of the Class A-1 Loans, prepayment), (iv) the agreements relating to the Refinancing contain limited recourse and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petition provisions equivalent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to those contained in </w:t>
      </w:r>
      <w:r>
        <w:rPr>
          <w:rFonts w:ascii="Times New Roman" w:cs="Times New Roman" w:eastAsia="Times New Roman" w:hAnsi="Times New Roman"/>
          <w:sz w:val="21"/>
          <w:szCs w:val="21"/>
          <w:u w:val="single" w:color="auto"/>
          <w:color w:val="auto"/>
        </w:rPr>
        <w:t>Section 13.1(b)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2.7(i)</w:t>
      </w:r>
      <w:r>
        <w:rPr>
          <w:rFonts w:ascii="Times New Roman" w:cs="Times New Roman" w:eastAsia="Times New Roman" w:hAnsi="Times New Roman"/>
          <w:sz w:val="21"/>
          <w:szCs w:val="21"/>
          <w:color w:val="auto"/>
        </w:rPr>
        <w:t xml:space="preserve">, (v) the aggregate principal amount of any obligations providing the Refinancing is no greater than the Aggregate Outstanding Amount of the Secured Debt being redeemed or prepaid, as applicable, with the proceeds of such obligations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(subject to the satisfaction of the S&amp;P Rating Condition) an amount equal to the reasonable fees, costs, charges and expenses incurred in connection with such Refinancing, (vi) the stated maturity of each class of obligations providing the Refinancing is no earlier than the corresponding Stated Maturity of each Class of Secured Debt being refinanced, (vii) the reasonable fees, costs, charges and expenses incurred in connection with such Refinancing have been paid or will be adequately provided for from the Refinancing Proceeds and any such Cash Contributions (except for expenses owed to Persons that the Collateral Manager informs the Collateral Trustee will be paid solely as Administrative Expenses payable in accordance with the Priority of Payments;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fees due to the Collateral Trustee and determined by the Collateral Manager to be paid in accordance with the Priority of Payments shall not be subject to the Administrative Expense Cap), (viii) in the case of a Refinancing of a Class of Secured Debt that (1) is not a Class of Fixed Rate Debt, the spread over the Benchmark of any obligations providing the Refinancing will not be greater than the spread over the Benchmark of the corresponding Class of Secured Debt subject to such Refinancing or (2) is a Class of Fixed Rate Debt (which may be refinanced as either Fixed Rate Debt or Floating Rate Debt), the interest rate of any obligations providing the Refinancing (which may have a fixed or a floating interest rate) will not be greater on the date of such Refinancing than the Interest Rate of the Class of Fixed Rate Debt subject to such Refinancing, (ix) the obligations providing the Refinancing are subject to the Priority of Payments and do not rank higher in priority pursuant to the Priority of Payments than the Class of Secured Debt being refinanced, (x) the voting rights, consent rights, redemption rights and all other rights of the obligations providing the Refinancing are the same in all material respects as the rights of the corresponding Class of Secured Debt being refinanced, (xi) the Issuer has received an opinion of tax counsel of nationally recognized standing in the United States experienced in such matters to the effect that such Refinancing will not (A) result in the Issuer becoming subject to U.S. federal income tax with respect to its net income or subject to tax liability under Section 1446 of the Code, or (B) result in the Issuer being treated as a publicly traded partnership taxable as a corporation for U.S. federal income tax purposes, and (xii) the Majority of the Subordinated Notes, with the consent of the Transferor and the Collateral Manager, directs the Issuer to effect such Refinancing.</w:t>
      </w:r>
    </w:p>
    <w:p>
      <w:pPr>
        <w:spacing w:after="0" w:line="189" w:lineRule="exact"/>
        <w:rPr>
          <w:sz w:val="20"/>
          <w:szCs w:val="20"/>
          <w:color w:val="auto"/>
        </w:rPr>
      </w:pPr>
    </w:p>
    <w:p>
      <w:pPr>
        <w:jc w:val="both"/>
        <w:ind w:firstLine="1505"/>
        <w:spacing w:after="0" w:line="235" w:lineRule="auto"/>
        <w:tabs>
          <w:tab w:leader="none" w:pos="1929"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the Subordinated Notes will not have any cause of action against the Issuer, the Collateral Manager, the Collateral Administrator, the Collateral Trustee or the Loan Agent for any failure to obtain a Refinancing. If a Refinancing is obtained meeting the requirements specified above in clause (d) or clause (e) (as applicable) as certified by the Collateral Manager, the Issuer (with the consent of the Majority of the Subordinated Notes directing the redemption (or, in the case of the Class A-1 Loans, prepayment)) and, at the direction of the Collateral Manager, the Collateral Trustee (in the case of this Indenture) and the Loan Agent (in the case of the Credit Agreements) shall amend this Indenture and the Credit Agreements (which amendments shall be prepared by or on behalf of the Issuer), in each case to the extent necessary to reflect the terms of the Refinancing and no consent for such amendments shall be required from</w:t>
      </w:r>
    </w:p>
    <w:p>
      <w:pPr>
        <w:spacing w:after="0" w:line="15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178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Holders of any Class of Secured Debt. None of the Collateral Trustee or the Loan Agent shall be obligated to enter into any amendment that, in its view, adversely affects its duties, obligations, liabilities or protections hereunder, and the Collateral Trustee and the Loan Agent shall be entitled to conclusively rely upon an Opinion of Counsel as to matters of law (which may be supported as to factual (including financial and capital markets) matters by any relevant certificates and other documents necessary or advisable in the judgment of counsel delivering such Opinion of Counsel) provided by the Issuer to the effect that such amendment meets the requirements specified above and is authorized and permitted under this Indenture (except that such counsel shall have no obligation to certify or opine as to the sufficiency of the Refinancing Proceeds, or the sufficiency of the Accountants' Certificate or other accountants' certificates or information required hereunder, if any).</w:t>
      </w:r>
    </w:p>
    <w:p>
      <w:pPr>
        <w:spacing w:after="0" w:line="178" w:lineRule="exact"/>
        <w:rPr>
          <w:sz w:val="20"/>
          <w:szCs w:val="20"/>
          <w:color w:val="auto"/>
        </w:rPr>
      </w:pPr>
    </w:p>
    <w:p>
      <w:pPr>
        <w:ind w:right="20" w:firstLine="1505"/>
        <w:spacing w:after="0" w:line="258" w:lineRule="auto"/>
        <w:tabs>
          <w:tab w:leader="none" w:pos="1929"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 Refinancing of all, but not less than all, Classes of Secured Debt in whole, but not in part, the parties hereto may enter into a Reset Amendment as provided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505"/>
        <w:spacing w:after="0" w:line="248" w:lineRule="auto"/>
        <w:tabs>
          <w:tab w:leader="none" w:pos="1929"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Collateral Manager may, in its sole discretion, designate any amount of Cash Contributions as Refinancing Proceeds for use in connection with a Refinancing. To the extent that Refinancing Proceeds are not applied to redeem or prepay the Class or Classes of Secured Debt subject to a Refinancing or to pay expenses in connection with the Refinancing, such proceeds will be treated as Principal Proceeds. If a Class or Classes of Secured Debt is redeemed in connection with a Refinancing upon a redemption (or in the case of the Class A-1 Loans, prepayment) of the Secured Debt in part by Class, Refinancing Proceeds, together with Partial Refinancing Interest Proceeds, will be applied on the related Redemption Date to pay the Redemption Price(s) of such Class or Classes of Secured Debt in accordance with </w:t>
      </w:r>
      <w:r>
        <w:rPr>
          <w:rFonts w:ascii="Times New Roman" w:cs="Times New Roman" w:eastAsia="Times New Roman" w:hAnsi="Times New Roman"/>
          <w:sz w:val="21"/>
          <w:szCs w:val="21"/>
          <w:u w:val="single" w:color="auto"/>
          <w:color w:val="auto"/>
        </w:rPr>
        <w:t>Section 11.1(a)(iv)</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1505"/>
        <w:spacing w:after="0" w:line="234" w:lineRule="auto"/>
        <w:tabs>
          <w:tab w:leader="none" w:pos="1929"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any redemption (or in the case of the Class A-1 Loans, prepayment)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the Issuer shall, at least 20 days (or such shorter period of time as the Collateral Manager finds reasonably acceptable and, in the case of notice less than 10 days prior to redemption, with the consent of the Collateral Trustee) prior to the Redemption Date, notify the Collateral Trustee and the Loan Agent in writing of such Redemption Date, the applicable Record Date, the principal amount of Secured Debt to be redeemed (or in the case of the Class A-1 Loans, prepaid) on such Redemption Date and the applicable Redemption Prices;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failure to effect any Optional Redemption which is withdrawn by the Issuer in accordance with this Indenture or with respect to which a Refinancing fails to occur shall not constitute an Event of Default or a Failed Optional Redemption. If there is a Failed Optional Redemption, an Enforcement Event shall occur and distributions and proceeds in respect of the Assets will be applied at the date or dates fixed by the Collateral Trustee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11.1(a)(iii)</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Optional Redemption of the Secured Debt in whole or of any Class of the Secured Debt in connection with a Refinancing of such Class, Holders of 100% of the Aggregate Outstanding Amount of any Class of Secured Debt to be redeemed may elect to receive less than 100% of the Redemption Price that would otherwise be payable to the Holders of such Class of Secured Debt.</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179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85" w:lineRule="exact"/>
        <w:rPr>
          <w:sz w:val="20"/>
          <w:szCs w:val="20"/>
          <w:color w:val="auto"/>
        </w:rPr>
      </w:pPr>
    </w:p>
    <w:p>
      <w:pPr>
        <w:jc w:val="both"/>
        <w:ind w:firstLine="1505"/>
        <w:spacing w:after="0" w:line="244" w:lineRule="auto"/>
        <w:tabs>
          <w:tab w:leader="none" w:pos="1929"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may redeem the Subordinated Notes at their Redemption Price, in whole but not in part, on any Business Day upon five Business Days' written notice to the Collateral Trustee on or after the Optional Redemption or repayment in full of the Secured Debt, at the direction of a Majority of the Subordinated Notes.</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9.3 Tax Redemption</w:t>
      </w:r>
      <w:r>
        <w:rPr>
          <w:rFonts w:ascii="Times New Roman" w:cs="Times New Roman" w:eastAsia="Times New Roman" w:hAnsi="Times New Roman"/>
          <w:sz w:val="22"/>
          <w:szCs w:val="22"/>
          <w:color w:val="auto"/>
        </w:rPr>
        <w:t>. (a) Each Class of Secured Debt shall be redeemed (or in the case of the Class A-1 Loans, prepaid) in whole but not in part (any such redemption, a "</w:t>
      </w:r>
      <w:r>
        <w:rPr>
          <w:rFonts w:ascii="Times New Roman" w:cs="Times New Roman" w:eastAsia="Times New Roman" w:hAnsi="Times New Roman"/>
          <w:sz w:val="22"/>
          <w:szCs w:val="22"/>
          <w:u w:val="single" w:color="auto"/>
          <w:color w:val="auto"/>
        </w:rPr>
        <w:t>Tax Redemption</w:t>
      </w:r>
      <w:r>
        <w:rPr>
          <w:rFonts w:ascii="Times New Roman" w:cs="Times New Roman" w:eastAsia="Times New Roman" w:hAnsi="Times New Roman"/>
          <w:sz w:val="22"/>
          <w:szCs w:val="22"/>
          <w:color w:val="auto"/>
        </w:rPr>
        <w:t>") on any Payment Date at the applicable Redemption Prices therefor at the written direction (delivered to the Issuer, the Collateral Manager, the Collateral Trustee and the Loan Agent) of (x) a Majority of any Affected Class or (y) a Majority of the Subordinated Notes, in either case following the occurrence and continuation of a Tax Event.</w:t>
      </w:r>
    </w:p>
    <w:p>
      <w:pPr>
        <w:spacing w:after="0" w:line="177" w:lineRule="exact"/>
        <w:rPr>
          <w:sz w:val="20"/>
          <w:szCs w:val="20"/>
          <w:color w:val="auto"/>
        </w:rPr>
      </w:pPr>
    </w:p>
    <w:p>
      <w:pPr>
        <w:jc w:val="both"/>
        <w:ind w:firstLine="1505"/>
        <w:spacing w:after="0" w:line="244" w:lineRule="auto"/>
        <w:tabs>
          <w:tab w:leader="none" w:pos="192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Tax Redemption, Holders of 100% of the Aggregate Outstanding Amount of any Class of Notes to be redeemed may elect to receive less than 100% of the Redemption Price that would otherwise be payable to the Holders of such Class.</w:t>
      </w:r>
    </w:p>
    <w:p>
      <w:pPr>
        <w:spacing w:after="0" w:line="173" w:lineRule="exact"/>
        <w:rPr>
          <w:rFonts w:ascii="Times New Roman" w:cs="Times New Roman" w:eastAsia="Times New Roman" w:hAnsi="Times New Roman"/>
          <w:sz w:val="22"/>
          <w:szCs w:val="22"/>
          <w:color w:val="auto"/>
        </w:rPr>
      </w:pPr>
    </w:p>
    <w:p>
      <w:pPr>
        <w:ind w:right="60" w:firstLine="1505"/>
        <w:spacing w:after="0" w:line="258" w:lineRule="auto"/>
        <w:tabs>
          <w:tab w:leader="none" w:pos="192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its receipt of such written direction directing a Tax Redemption, the Collateral Trustee shall promptly notify the Collateral Manager, the Holders and each Rating Agency thereof.</w:t>
      </w:r>
    </w:p>
    <w:p>
      <w:pPr>
        <w:spacing w:after="0" w:line="158" w:lineRule="exact"/>
        <w:rPr>
          <w:rFonts w:ascii="Times New Roman" w:cs="Times New Roman" w:eastAsia="Times New Roman" w:hAnsi="Times New Roman"/>
          <w:sz w:val="22"/>
          <w:szCs w:val="22"/>
          <w:color w:val="auto"/>
        </w:rPr>
      </w:pPr>
    </w:p>
    <w:p>
      <w:pPr>
        <w:jc w:val="both"/>
        <w:ind w:firstLine="1505"/>
        <w:spacing w:after="0" w:line="251" w:lineRule="auto"/>
        <w:tabs>
          <w:tab w:leader="none" w:pos="1929"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Officer of the Collateral Manager obtains actual knowledge of the occurrence of a Tax Event, the Collateral Manager shall promptly notify the Issuer, the Collateral Trustee and the Loan Agent thereof, and upon receipt of such notice the Collateral Trustee shall promptly forward such notice to the Holders and each Rating Agency thereof. Until notified by the Collateral Manager or until a Trust Officer of the Collateral Trustee obtains actual knowledge of the occurrence of a Tax Event, the Collateral Trustee shall not be deemed to have any notice or knowledge of the occurrence of such Tax Event.</w:t>
      </w:r>
    </w:p>
    <w:p>
      <w:pPr>
        <w:spacing w:after="0" w:line="16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9.4 Redemption Procedures</w:t>
      </w:r>
      <w:r>
        <w:rPr>
          <w:rFonts w:ascii="Times New Roman" w:cs="Times New Roman" w:eastAsia="Times New Roman" w:hAnsi="Times New Roman"/>
          <w:sz w:val="22"/>
          <w:szCs w:val="22"/>
          <w:color w:val="auto"/>
        </w:rPr>
        <w:t xml:space="preserve"> . (a) In the event of any redemption (or in the case of the Class A-1 Loans, prepayment)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the written direction of a Majority of the Subordinated Notes with the consent of the Transferor and the Collateral Manager shall be provided to the Issuer, the Collateral Trustee and the Loan Agent not later than 30 days (or such shorter period of time (not to be less than 15 days) as the Collateral Manager finds reasonably acceptable) prior to the Payment Date on which such redemption is to be made (which date shall be designated in such direction). In the event of any redemption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9.3</w:t>
      </w:r>
      <w:r>
        <w:rPr>
          <w:rFonts w:ascii="Times New Roman" w:cs="Times New Roman" w:eastAsia="Times New Roman" w:hAnsi="Times New Roman"/>
          <w:sz w:val="22"/>
          <w:szCs w:val="22"/>
          <w:color w:val="auto"/>
        </w:rPr>
        <w:t xml:space="preserve">, a notice of redemption shall be given by the Collateral Trustee in accordance with </w:t>
      </w:r>
      <w:r>
        <w:rPr>
          <w:rFonts w:ascii="Times New Roman" w:cs="Times New Roman" w:eastAsia="Times New Roman" w:hAnsi="Times New Roman"/>
          <w:sz w:val="22"/>
          <w:szCs w:val="22"/>
          <w:u w:val="single" w:color="auto"/>
          <w:color w:val="auto"/>
        </w:rPr>
        <w:t>Section 14.4</w:t>
      </w:r>
      <w:r>
        <w:rPr>
          <w:rFonts w:ascii="Times New Roman" w:cs="Times New Roman" w:eastAsia="Times New Roman" w:hAnsi="Times New Roman"/>
          <w:sz w:val="22"/>
          <w:szCs w:val="22"/>
          <w:color w:val="auto"/>
        </w:rPr>
        <w:t xml:space="preserve"> not later than nine days prior to the applicable Redemption Date, to each Holder of Debt, at such Holder's address as it appears on the Note Register or the Loan Register, as applicable and each Rating Agency.</w:t>
      </w:r>
    </w:p>
    <w:p>
      <w:pPr>
        <w:spacing w:after="0" w:line="178" w:lineRule="exact"/>
        <w:rPr>
          <w:sz w:val="20"/>
          <w:szCs w:val="20"/>
          <w:color w:val="auto"/>
        </w:rPr>
      </w:pPr>
    </w:p>
    <w:p>
      <w:pPr>
        <w:ind w:left="1940" w:hanging="435"/>
        <w:spacing w:after="0"/>
        <w:tabs>
          <w:tab w:leader="none" w:pos="194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notices of redemption delivered pursuant to </w:t>
      </w:r>
      <w:r>
        <w:rPr>
          <w:rFonts w:ascii="Times New Roman" w:cs="Times New Roman" w:eastAsia="Times New Roman" w:hAnsi="Times New Roman"/>
          <w:sz w:val="22"/>
          <w:szCs w:val="22"/>
          <w:u w:val="single" w:color="auto"/>
          <w:color w:val="auto"/>
        </w:rPr>
        <w:t>Section 9.4(a)</w:t>
      </w:r>
      <w:r>
        <w:rPr>
          <w:rFonts w:ascii="Times New Roman" w:cs="Times New Roman" w:eastAsia="Times New Roman" w:hAnsi="Times New Roman"/>
          <w:sz w:val="22"/>
          <w:szCs w:val="22"/>
          <w:color w:val="auto"/>
        </w:rPr>
        <w:t xml:space="preserve"> shall state:</w:t>
      </w:r>
    </w:p>
    <w:p>
      <w:pPr>
        <w:spacing w:after="0" w:line="206"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Redemption Date;</w:t>
      </w:r>
    </w:p>
    <w:p>
      <w:pPr>
        <w:spacing w:after="0" w:line="206" w:lineRule="exact"/>
        <w:rPr>
          <w:rFonts w:ascii="Times New Roman" w:cs="Times New Roman" w:eastAsia="Times New Roman" w:hAnsi="Times New Roman"/>
          <w:sz w:val="22"/>
          <w:szCs w:val="22"/>
          <w:color w:val="auto"/>
        </w:rPr>
      </w:pPr>
    </w:p>
    <w:p>
      <w:pPr>
        <w:ind w:left="760" w:right="20" w:firstLine="1015"/>
        <w:spacing w:after="0" w:line="258" w:lineRule="auto"/>
        <w:tabs>
          <w:tab w:leader="none" w:pos="221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Prices of the Notes to be redeemed and, if applicable, the estimated Redemption Price of the Subordinated Notes;</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180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85" w:lineRule="exact"/>
        <w:rPr>
          <w:sz w:val="20"/>
          <w:szCs w:val="20"/>
          <w:color w:val="auto"/>
        </w:rPr>
      </w:pPr>
    </w:p>
    <w:p>
      <w:pPr>
        <w:jc w:val="both"/>
        <w:ind w:left="760" w:right="20" w:firstLine="1015"/>
        <w:spacing w:after="0" w:line="244" w:lineRule="auto"/>
        <w:tabs>
          <w:tab w:leader="none" w:pos="2210"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Secured Debt that is to be redeemed (or in the case of the Class A-1 Loans, prepaid) is to be redeemed in full and that interest on such Secured Debt shall cease to accrue on the Redemption Date specified in the notice;</w:t>
      </w:r>
    </w:p>
    <w:p>
      <w:pPr>
        <w:spacing w:after="0" w:line="173"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place or places where Secured Debt is to be surrendered for payment of the Redemption Prices; and</w:t>
      </w:r>
    </w:p>
    <w:p>
      <w:pPr>
        <w:spacing w:after="0" w:line="217" w:lineRule="exact"/>
        <w:rPr>
          <w:rFonts w:ascii="Times New Roman" w:cs="Times New Roman" w:eastAsia="Times New Roman" w:hAnsi="Times New Roman"/>
          <w:sz w:val="21"/>
          <w:szCs w:val="21"/>
          <w:color w:val="auto"/>
        </w:rPr>
      </w:pPr>
    </w:p>
    <w:p>
      <w:pPr>
        <w:jc w:val="both"/>
        <w:ind w:left="760" w:firstLine="1015"/>
        <w:spacing w:after="0" w:line="239" w:lineRule="auto"/>
        <w:tabs>
          <w:tab w:leader="none" w:pos="2210"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all of the Secured Debt is being redeemed, whether the Subordinated Notes are to be redeemed in full on such Redemption Date and, if so, the place or places where the Subordinated Notes are to be surrendered for payment of the Redemption Prices, which shall be the office or agency of the Collateral Trustee, unless otherwise specified by the Issuer.</w:t>
      </w:r>
    </w:p>
    <w:p>
      <w:pPr>
        <w:spacing w:after="0" w:line="180"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may (or, if directed by a Majority of the Subordinated Notes, shall) withdraw any such notice of redemption (or in the case of the Class A-1 Loans, prepayment) delivered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on any day up to the Business Day before the proposed Redemption Date, by written notice to the Collateral Trustee and the Collateral Manager. The Issuer may withdraw a notice of Tax Redemption if the conditions required under this Indenture for such redemption or prepayment, as applicable, are not satisfied at any time prior to 10:00 a.m., New York time, on the scheduled Redemption Date, by written notice to the Collateral Trustee, the Loan Agent, the Collateral Manager and each of the Rating Agencies. The failure to effect any Optional Redemption which is withdrawn by the Issuer in accordance with this Indenture or with respect to which a Refinancing fails will not constitute an Event of Default or a Failed Optional Redemption.</w:t>
      </w:r>
    </w:p>
    <w:p>
      <w:pPr>
        <w:spacing w:after="0" w:line="178"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 of redemption(or in the case of the Class A-1 Loans, prepayment)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9.3</w:t>
      </w:r>
      <w:r>
        <w:rPr>
          <w:rFonts w:ascii="Times New Roman" w:cs="Times New Roman" w:eastAsia="Times New Roman" w:hAnsi="Times New Roman"/>
          <w:sz w:val="22"/>
          <w:szCs w:val="22"/>
          <w:color w:val="auto"/>
        </w:rPr>
        <w:t xml:space="preserve"> shall be given by the Issuer or, upon an Issuer Order, by the Collateral Trustee in the name and at the expense of the Issuer. Failure to give notice of redemption (or in the case of the Class A-1 Loans, prepayment), or any defect therein, to any Holder of Secured Debt selected for redemption or prepayment, as applicable, shall not impair or affect the validity of the redemption or prepayment, as applicable, of any other Secured Debt.</w:t>
      </w:r>
    </w:p>
    <w:p>
      <w:pPr>
        <w:spacing w:after="0" w:line="176" w:lineRule="exact"/>
        <w:rPr>
          <w:rFonts w:ascii="Times New Roman" w:cs="Times New Roman" w:eastAsia="Times New Roman" w:hAnsi="Times New Roman"/>
          <w:sz w:val="22"/>
          <w:szCs w:val="22"/>
          <w:color w:val="auto"/>
        </w:rPr>
      </w:pPr>
    </w:p>
    <w:p>
      <w:pPr>
        <w:jc w:val="both"/>
        <w:ind w:firstLine="1505"/>
        <w:spacing w:after="0" w:line="248" w:lineRule="exact"/>
        <w:tabs>
          <w:tab w:leader="none" w:pos="1929"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Refinancing Proceeds are being used to redeem or prepay, as applicable, the Secured Debt in whole or in part, in the event of any redemption or prepayment, as applicable,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9.3</w:t>
      </w:r>
      <w:r>
        <w:rPr>
          <w:rFonts w:ascii="Times New Roman" w:cs="Times New Roman" w:eastAsia="Times New Roman" w:hAnsi="Times New Roman"/>
          <w:sz w:val="22"/>
          <w:szCs w:val="22"/>
          <w:color w:val="auto"/>
        </w:rPr>
        <w:t>, no Class of Secured Debt may be optionally redeemed unless (i) at least one Business Day before the scheduled Redemption Date the Collateral Manager shall have furnished to the Collateral Trustee evidence, in a form reasonably satisfactory to the Collateral Trustee (which may include an officer's certificate), that the Collateral Manager on behalf of the Issuer has entered into a binding agreement or agreements with (A) a financial or other institution or institutions whose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unsecured debt obligations (other than such obligations whose rating is based on the credit of a Person other than such institution) are rated, or guaranteed by a Person whose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unsecured debt obligations are rated,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S&amp;P or (B) a special purpose entity that satisfies all then-current bankruptcy remoteness criteria of any Rating Agency then rating any Class of Secured Debt, in either case, on the applicable trade or trade dates, to purchase (directly or by participation or other arrangement), not later than the scheduled Redemption Date in immediately available funds, all or part of the Assets at a purchase price at least sufficient, together with the Eligible Investments maturing, redeemable or putable to</w:t>
      </w:r>
    </w:p>
    <w:p>
      <w:pPr>
        <w:spacing w:after="0" w:line="16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181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the issuer thereof at par on or prior to the scheduled Redemption Date, to pay all Administrative Expenses (without regard to the Administrative Expense Cap) and Aggregate Collateral Management Fees payable in connection with such Optional Redemption or Tax Redemption, in each case, as applicable and in accordance with the Priority of Payments, and redeem or prepay, as applicable, the applicable Class or Classes of Secured Debt on the scheduled Redemption Date at the applicable Redemption Prices (including, without limitation, any such amount that the Holders of such Class or Classes have elected to receive, where Holders of such Class or Classes have elected to receive less than 100% of the Redemption Price that would otherwise be payable to the Holders of such Class or Classes), or (ii) prior to selling any Collateral Obligations and/or Eligible Investments, the Collateral Manager shall certify to the Collateral Trustee that, in its judgment (which may be based on the Issuer having entered into an agreement to sell such Assets to another special purpose entity that has committed financing or has priced but has not yet closed its securities offering), the aggregate sum of (A) expected proceeds from the sale of Eligible Investments, and (B) for each Collateral Obligation, its Market Value, shall exceed the sum of (x) the aggregate Redemption Prices of the applicable Class of Secured Debt (including, without limitation, any such amount that the Holders of such Class have elected to receive, where Holders of such Class have elected to receive less than 100% of the Redemption Price that would otherwise be payable to the Holders of such Class) and (y) all Administrative Expenses (without regard to the Administrative Expense Cap) and Aggregate Collateral Management Fees payable in connection with such Optional Redemption or Tax Redemption, in each case, as applicable and in accordance with the Priority of Payments. Any certification delivered by the Collateral Manager pursuant to this </w:t>
      </w:r>
      <w:r>
        <w:rPr>
          <w:rFonts w:ascii="Times New Roman" w:cs="Times New Roman" w:eastAsia="Times New Roman" w:hAnsi="Times New Roman"/>
          <w:sz w:val="22"/>
          <w:szCs w:val="22"/>
          <w:u w:val="single" w:color="auto"/>
          <w:color w:val="auto"/>
        </w:rPr>
        <w:t>Section 9.4(e)</w:t>
      </w:r>
      <w:r>
        <w:rPr>
          <w:rFonts w:ascii="Times New Roman" w:cs="Times New Roman" w:eastAsia="Times New Roman" w:hAnsi="Times New Roman"/>
          <w:sz w:val="22"/>
          <w:szCs w:val="22"/>
          <w:color w:val="auto"/>
        </w:rPr>
        <w:t xml:space="preserve"> shall include (1) the prices of, and expected proceeds from, the sale (directly or by participation or other arrangement) of any Collateral Obligations and/or Eligible Investments and (2) all calculations required by this </w:t>
      </w:r>
      <w:r>
        <w:rPr>
          <w:rFonts w:ascii="Times New Roman" w:cs="Times New Roman" w:eastAsia="Times New Roman" w:hAnsi="Times New Roman"/>
          <w:sz w:val="22"/>
          <w:szCs w:val="22"/>
          <w:u w:val="single" w:color="auto"/>
          <w:color w:val="auto"/>
        </w:rPr>
        <w:t>Section 9.4(e)</w:t>
      </w:r>
      <w:r>
        <w:rPr>
          <w:rFonts w:ascii="Times New Roman" w:cs="Times New Roman" w:eastAsia="Times New Roman" w:hAnsi="Times New Roman"/>
          <w:sz w:val="22"/>
          <w:szCs w:val="22"/>
          <w:color w:val="auto"/>
        </w:rPr>
        <w:t>. Any holder of Secured Debt, the Transferor, the Collateral Manager or any of their respective affiliates or accounts managed thereby or by any of their respective affiliates may, subject to the same terms and conditions afforded to other bidders and compliance with applicable law (including, without limitation, the 1940 Act), bid on Assets to be sold as part of an Optional Redemption or Tax Redemption.</w:t>
      </w:r>
    </w:p>
    <w:p>
      <w:pPr>
        <w:spacing w:after="0" w:line="182" w:lineRule="exact"/>
        <w:rPr>
          <w:sz w:val="20"/>
          <w:szCs w:val="20"/>
          <w:color w:val="auto"/>
        </w:rPr>
      </w:pPr>
    </w:p>
    <w:p>
      <w:pPr>
        <w:jc w:val="both"/>
        <w:ind w:firstLine="1505"/>
        <w:spacing w:after="0" w:line="244" w:lineRule="auto"/>
        <w:tabs>
          <w:tab w:leader="none" w:pos="1929"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reasonable fees, costs, charges and expenses incurred in connection with the failure of any such redemption or prepayment, as applicable, shall be paid by the Issuer as Administrative Expenses payable in accordance with the Priority of Payments.</w:t>
      </w:r>
    </w:p>
    <w:p>
      <w:pPr>
        <w:spacing w:after="0" w:line="17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9.5 Debt Payable on Redemption Date</w:t>
      </w:r>
      <w:r>
        <w:rPr>
          <w:rFonts w:ascii="Times New Roman" w:cs="Times New Roman" w:eastAsia="Times New Roman" w:hAnsi="Times New Roman"/>
          <w:sz w:val="22"/>
          <w:szCs w:val="22"/>
          <w:color w:val="auto"/>
        </w:rPr>
        <w:t xml:space="preserve"> . (a) Notice of redemption or prepayment, as applicable, pursuant to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having been given as aforesaid, the Debt to be redeemed shall, on the Redemption Date, subject to </w:t>
      </w:r>
      <w:r>
        <w:rPr>
          <w:rFonts w:ascii="Times New Roman" w:cs="Times New Roman" w:eastAsia="Times New Roman" w:hAnsi="Times New Roman"/>
          <w:sz w:val="22"/>
          <w:szCs w:val="22"/>
          <w:u w:val="single" w:color="auto"/>
          <w:color w:val="auto"/>
        </w:rPr>
        <w:t>Section 9.4(e)</w:t>
      </w:r>
      <w:r>
        <w:rPr>
          <w:rFonts w:ascii="Times New Roman" w:cs="Times New Roman" w:eastAsia="Times New Roman" w:hAnsi="Times New Roman"/>
          <w:sz w:val="22"/>
          <w:szCs w:val="22"/>
          <w:color w:val="auto"/>
        </w:rPr>
        <w:t xml:space="preserve"> and the Issuer's right to withdraw any notice of redemption or prepayment, as applicable,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9.4(c)</w:t>
      </w:r>
      <w:r>
        <w:rPr>
          <w:rFonts w:ascii="Times New Roman" w:cs="Times New Roman" w:eastAsia="Times New Roman" w:hAnsi="Times New Roman"/>
          <w:sz w:val="22"/>
          <w:szCs w:val="22"/>
          <w:color w:val="auto"/>
        </w:rPr>
        <w:t xml:space="preserve">, become due and payable at the Redemption Prices therein specified, and from and after the Redemption Date (unless the Issuer shall default in the payment of the Redemption Prices and accrued interest) all such Debt that is Secured Debt shall cease to bear interest on the Redemption Date. Upon final payment on any Note to be so redeemed, the Holder shall present and surrender such Note at the place specified in the notice of redemption or prepayment, as applicable, on or prior to such Redemption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there is delivered to the Issuer and the Collateral Trustee such security or indemnity as may be required by them to save such party harmless and an undertaking thereafter to surrender such Note, then, in the absence of notice to the Issuer or the Collateral Trustee that the applicable Note has been acquired by a protected purchaser, such final payment shall be made without presentation or surrender. Payments of interest on Secured Debt</w:t>
      </w:r>
    </w:p>
    <w:p>
      <w:pPr>
        <w:spacing w:after="0" w:line="16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182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and payments in respect of Subordinated Notes so to be redeemed that are payable on or prior to the Redemption Date shall be payable to the Holders of such Debt (or in the case of Notes, one or more predecessor Notes), registered as such at the close of business on the relevant Record Date according to the terms and provisions of </w:t>
      </w:r>
      <w:r>
        <w:rPr>
          <w:rFonts w:ascii="Times New Roman" w:cs="Times New Roman" w:eastAsia="Times New Roman" w:hAnsi="Times New Roman"/>
          <w:sz w:val="22"/>
          <w:szCs w:val="22"/>
          <w:u w:val="single" w:color="auto"/>
          <w:color w:val="auto"/>
        </w:rPr>
        <w:t>Section 2.7(e)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505"/>
        <w:spacing w:after="0" w:line="264" w:lineRule="exact"/>
        <w:tabs>
          <w:tab w:leader="none" w:pos="1929"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Debt called for redemption (or in the case of the Class A-1 Loans, prepayment) shall not be paid upon surrender thereof for redemption or prepayment, as applicable, the principal thereof shall, until paid, bear interest from the Redemption Date at the applicable Interest Rate for each successive Interest Accrual Period such Note remains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reason for such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payment is not the fault of such Noteholder.</w:t>
      </w:r>
    </w:p>
    <w:p>
      <w:pPr>
        <w:spacing w:after="0" w:line="147"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Section 9.6 Special Redemption . Principal payments on the Secured Debt shall be made in part in accordance with the Priority of Payments on any Payment Date or, with respect to a redemption or prepayment, as applicable, pursuant to clause (ii), as otherwise described in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(i) during the Reinvestment Period, if the Collateral Manager in its sole discretion notifies the Collateral Trustee at least five Business Days prior to the applicable Special Redemption Date that it has been unable, for a period of at least 20 consecutive Business Days, to identify additional Collateral Obligations that are deemed appropriate by the Collateral Manager in its sole discretion and which would satisfy the Investment Criteria in sufficient amounts to permit the investment or reinvestment of all or a portion of the funds then in the Collection Account that are to be invested in additional Collateral Obligations, (ii) if the Collateral Manager elects to direct a Special Redemption to the extent necessary to enable the Issuer (or the Collateral Manager on the Issuer's behalf) to obtain from S&amp;P its written confirmation of its initial ratings of the Secured Debt (provided such confirmation from S&amp;P is not required if the S&amp;P Deemed Rating Confirmation has occurred) to the extent necessary to satisfy such condition, or (iii) if a Retention Deficiency exists, to the extent necessary to reduce such Retention Deficiency to zero (each of (i), (ii) and (iii) a " </w:t>
      </w:r>
      <w:r>
        <w:rPr>
          <w:rFonts w:ascii="Times New Roman" w:cs="Times New Roman" w:eastAsia="Times New Roman" w:hAnsi="Times New Roman"/>
          <w:sz w:val="22"/>
          <w:szCs w:val="22"/>
          <w:u w:val="single" w:color="auto"/>
          <w:color w:val="auto"/>
        </w:rPr>
        <w:t>Special Redemption</w:t>
      </w:r>
      <w:r>
        <w:rPr>
          <w:rFonts w:ascii="Times New Roman" w:cs="Times New Roman" w:eastAsia="Times New Roman" w:hAnsi="Times New Roman"/>
          <w:sz w:val="22"/>
          <w:szCs w:val="22"/>
          <w:color w:val="auto"/>
        </w:rPr>
        <w:t>"). On the first Payment Date (and all subsequent Payment Dates) following the Collection Period in which such notice is given (a "</w:t>
      </w:r>
      <w:r>
        <w:rPr>
          <w:rFonts w:ascii="Times New Roman" w:cs="Times New Roman" w:eastAsia="Times New Roman" w:hAnsi="Times New Roman"/>
          <w:sz w:val="22"/>
          <w:szCs w:val="22"/>
          <w:u w:val="single" w:color="auto"/>
          <w:color w:val="auto"/>
        </w:rPr>
        <w:t>Special Redemption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the amount in the Collection Account representing, as applicable, either (i) Principal Proceeds which the Collateral Manager has determined (with written notice to the Collateral Trustee and the Collateral Administrator) cannot be reinvested in additional Collateral Obligations, (ii) Interest Proceeds and Principal Proceeds available therefor in accordance with the Priority of Payments on each Payment Date until the Issuer obtains confirmation from S&amp;P of the Initial Ratings of the Secured Debt (provided that such confirmation is not required if the S&amp;P Deemed Rating Confirmation has occurred), or (iii) Principal Proceeds necessary to reduce any outstanding Retention Deficiency to zero (such amount, a "</w:t>
      </w:r>
      <w:r>
        <w:rPr>
          <w:rFonts w:ascii="Times New Roman" w:cs="Times New Roman" w:eastAsia="Times New Roman" w:hAnsi="Times New Roman"/>
          <w:sz w:val="22"/>
          <w:szCs w:val="22"/>
          <w:u w:val="single" w:color="auto"/>
          <w:color w:val="auto"/>
        </w:rPr>
        <w:t>Special Redemption Amount</w:t>
      </w:r>
      <w:r>
        <w:rPr>
          <w:rFonts w:ascii="Times New Roman" w:cs="Times New Roman" w:eastAsia="Times New Roman" w:hAnsi="Times New Roman"/>
          <w:sz w:val="22"/>
          <w:szCs w:val="22"/>
          <w:color w:val="auto"/>
        </w:rPr>
        <w:t xml:space="preserve">") will be applied in accordance with the Priority of Payments. Notice of payments pursuant to this </w:t>
      </w:r>
      <w:r>
        <w:rPr>
          <w:rFonts w:ascii="Times New Roman" w:cs="Times New Roman" w:eastAsia="Times New Roman" w:hAnsi="Times New Roman"/>
          <w:sz w:val="22"/>
          <w:szCs w:val="22"/>
          <w:u w:val="single" w:color="auto"/>
          <w:color w:val="auto"/>
        </w:rPr>
        <w:t>Section 9.6</w:t>
      </w:r>
      <w:r>
        <w:rPr>
          <w:rFonts w:ascii="Times New Roman" w:cs="Times New Roman" w:eastAsia="Times New Roman" w:hAnsi="Times New Roman"/>
          <w:sz w:val="22"/>
          <w:szCs w:val="22"/>
          <w:color w:val="auto"/>
        </w:rPr>
        <w:t xml:space="preserve"> shall be given upon Issuer order, by the Collateral Trustee not less than three Business Days prior to the applicable Special Redemption Date by facsimile, email transmission, posting to the Collateral Trustee’s Website or first class mail, to each Holder affected thereby at such Holder's facsimile number, email address or mailing address as it appears on the Note Register or Loan Register, as applicable, and to each Rating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-3580130</wp:posOffset>
            </wp:positionV>
            <wp:extent cx="20427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042795" cy="8255"/>
                    </a:xfrm>
                    <a:prstGeom prst="rect">
                      <a:avLst/>
                    </a:prstGeom>
                    <a:noFill/>
                  </pic:spPr>
                </pic:pic>
              </a:graphicData>
            </a:graphic>
          </wp:anchor>
        </w:drawing>
      </w:r>
    </w:p>
    <w:p>
      <w:pPr>
        <w:spacing w:after="0" w:line="124" w:lineRule="exact"/>
        <w:rPr>
          <w:sz w:val="20"/>
          <w:szCs w:val="20"/>
          <w:color w:val="auto"/>
        </w:rPr>
      </w:pPr>
    </w:p>
    <w:p>
      <w:pPr>
        <w:jc w:val="both"/>
        <w:ind w:firstLine="1497"/>
        <w:spacing w:after="0" w:line="265" w:lineRule="exact"/>
        <w:rPr>
          <w:sz w:val="20"/>
          <w:szCs w:val="20"/>
          <w:color w:val="auto"/>
        </w:rPr>
      </w:pPr>
      <w:r>
        <w:rPr>
          <w:rFonts w:ascii="Times New Roman" w:cs="Times New Roman" w:eastAsia="Times New Roman" w:hAnsi="Times New Roman"/>
          <w:sz w:val="22"/>
          <w:szCs w:val="22"/>
          <w:u w:val="single" w:color="auto"/>
          <w:color w:val="auto"/>
        </w:rPr>
        <w:t>Section 9.7 Optional Re</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Pricing</w:t>
      </w:r>
      <w:r>
        <w:rPr>
          <w:rFonts w:ascii="Times New Roman" w:cs="Times New Roman" w:eastAsia="Times New Roman" w:hAnsi="Times New Roman"/>
          <w:sz w:val="22"/>
          <w:szCs w:val="22"/>
          <w:color w:val="auto"/>
        </w:rPr>
        <w:t xml:space="preserve"> . (a) On any Business Day after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Call Period, at the direction of a Majority of the Subordinated Notes with the consent of the Transferor and the Collateral Manager, the Issuer shall reduce the spread over the Benchmark or the stated interest rate, as applicable, with respect to any Class of Re-Pricing Eligible Notes (such reduction</w:t>
      </w:r>
    </w:p>
    <w:p>
      <w:pPr>
        <w:spacing w:after="0" w:line="15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183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50" w:lineRule="exact"/>
        <w:rPr>
          <w:sz w:val="20"/>
          <w:szCs w:val="20"/>
          <w:color w:val="auto"/>
        </w:rPr>
      </w:pPr>
    </w:p>
    <w:p>
      <w:pPr>
        <w:jc w:val="both"/>
        <w:spacing w:after="0" w:line="261" w:lineRule="exact"/>
        <w:rPr>
          <w:sz w:val="20"/>
          <w:szCs w:val="20"/>
          <w:color w:val="auto"/>
        </w:rPr>
      </w:pPr>
      <w:r>
        <w:rPr>
          <w:rFonts w:ascii="Times New Roman" w:cs="Times New Roman" w:eastAsia="Times New Roman" w:hAnsi="Times New Roman"/>
          <w:sz w:val="22"/>
          <w:szCs w:val="22"/>
          <w:color w:val="auto"/>
        </w:rPr>
        <w:t>with respect to any such Class of Secured Debt, a "</w:t>
      </w:r>
      <w:r>
        <w:rPr>
          <w:rFonts w:ascii="Times New Roman" w:cs="Times New Roman" w:eastAsia="Times New Roman" w:hAnsi="Times New Roman"/>
          <w:sz w:val="22"/>
          <w:szCs w:val="22"/>
          <w:u w:val="single" w:color="auto"/>
          <w:color w:val="auto"/>
        </w:rPr>
        <w:t>Re</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Pricing</w:t>
      </w:r>
      <w:r>
        <w:rPr>
          <w:rFonts w:ascii="Times New Roman" w:cs="Times New Roman" w:eastAsia="Times New Roman" w:hAnsi="Times New Roman"/>
          <w:sz w:val="22"/>
          <w:szCs w:val="22"/>
          <w:color w:val="auto"/>
        </w:rPr>
        <w:t>" and any Class of Secured Debt to be subject to a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a "</w:t>
      </w:r>
      <w:r>
        <w:rPr>
          <w:rFonts w:ascii="Times New Roman" w:cs="Times New Roman" w:eastAsia="Times New Roman" w:hAnsi="Times New Roman"/>
          <w:sz w:val="22"/>
          <w:szCs w:val="22"/>
          <w:u w:val="single" w:color="auto"/>
          <w:color w:val="auto"/>
        </w:rPr>
        <w:t>Re</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Priced Class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Issuer shall not effect any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Pricing unless each condition specified in this </w:t>
      </w:r>
      <w:r>
        <w:rPr>
          <w:rFonts w:ascii="Times New Roman" w:cs="Times New Roman" w:eastAsia="Times New Roman" w:hAnsi="Times New Roman"/>
          <w:sz w:val="22"/>
          <w:szCs w:val="22"/>
          <w:u w:val="single" w:color="auto"/>
          <w:color w:val="auto"/>
        </w:rPr>
        <w:t>Section 9.7</w:t>
      </w:r>
      <w:r>
        <w:rPr>
          <w:rFonts w:ascii="Times New Roman" w:cs="Times New Roman" w:eastAsia="Times New Roman" w:hAnsi="Times New Roman"/>
          <w:sz w:val="22"/>
          <w:szCs w:val="22"/>
          <w:color w:val="auto"/>
        </w:rPr>
        <w:t xml:space="preserve"> is satisfied with respect thereto. For the avoidance of doubt, no terms of any Class of Secured Debt other than the Interest Rate applicable thereto may be modified or supplemented in connection with a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In connection with any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the Issuer may engage a broker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dealer (the " </w:t>
      </w:r>
      <w:r>
        <w:rPr>
          <w:rFonts w:ascii="Times New Roman" w:cs="Times New Roman" w:eastAsia="Times New Roman" w:hAnsi="Times New Roman"/>
          <w:sz w:val="22"/>
          <w:szCs w:val="22"/>
          <w:u w:val="single" w:color="auto"/>
          <w:color w:val="auto"/>
        </w:rPr>
        <w:t>Re</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Pricing Intermediary</w:t>
      </w:r>
      <w:r>
        <w:rPr>
          <w:rFonts w:ascii="Times New Roman" w:cs="Times New Roman" w:eastAsia="Times New Roman" w:hAnsi="Times New Roman"/>
          <w:sz w:val="22"/>
          <w:szCs w:val="22"/>
          <w:color w:val="auto"/>
        </w:rPr>
        <w:t>") upon the recommendation and subject to the approval of a Majority of the Subordinated Notes and such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Intermediary shall assist the Issuer in effecting the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The Collateral Trustee shall have no liability for any failure or delay on the part of the Issuer, the Re-Pricing Intermediary, DTC or any Holder (or beneficial owner) of Secured Debt in taking actions necessary in connection with a Re-Pricing.</w:t>
      </w:r>
    </w:p>
    <w:p>
      <w:pPr>
        <w:spacing w:after="0" w:line="179" w:lineRule="exact"/>
        <w:rPr>
          <w:sz w:val="20"/>
          <w:szCs w:val="20"/>
          <w:color w:val="auto"/>
        </w:rPr>
      </w:pPr>
    </w:p>
    <w:p>
      <w:pPr>
        <w:jc w:val="both"/>
        <w:ind w:firstLine="1505"/>
        <w:spacing w:after="0" w:line="236" w:lineRule="auto"/>
        <w:tabs>
          <w:tab w:leader="none" w:pos="1929"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14 days prior to the Business Day fixed by a Majority of the Subordinated Notes for any proposed Re-Pricing (the "</w:t>
      </w:r>
      <w:r>
        <w:rPr>
          <w:rFonts w:ascii="Times New Roman" w:cs="Times New Roman" w:eastAsia="Times New Roman" w:hAnsi="Times New Roman"/>
          <w:sz w:val="22"/>
          <w:szCs w:val="22"/>
          <w:u w:val="single" w:color="auto"/>
          <w:color w:val="auto"/>
        </w:rPr>
        <w:t>Re-Pricing Date</w:t>
      </w:r>
      <w:r>
        <w:rPr>
          <w:rFonts w:ascii="Times New Roman" w:cs="Times New Roman" w:eastAsia="Times New Roman" w:hAnsi="Times New Roman"/>
          <w:sz w:val="22"/>
          <w:szCs w:val="22"/>
          <w:color w:val="auto"/>
        </w:rPr>
        <w:t>"), the Issuer, or the Re-Pricing Intermediary on behalf of the Issuer, will deliver a notice in writing (with a copy to the Collateral Manager, the Collateral Trustee, the Loan Agent, the Collateral Administrator and the Rating Agency) through the facilities of DTC and, if applicable, in accordance with the second succeeding sentence (such notice, the "</w:t>
      </w:r>
      <w:r>
        <w:rPr>
          <w:rFonts w:ascii="Times New Roman" w:cs="Times New Roman" w:eastAsia="Times New Roman" w:hAnsi="Times New Roman"/>
          <w:sz w:val="22"/>
          <w:szCs w:val="22"/>
          <w:u w:val="single" w:color="auto"/>
          <w:color w:val="auto"/>
        </w:rPr>
        <w:t>Re-Pricing, Mandatory Tender and Election to Retain Announcement</w:t>
      </w:r>
      <w:r>
        <w:rPr>
          <w:rFonts w:ascii="Times New Roman" w:cs="Times New Roman" w:eastAsia="Times New Roman" w:hAnsi="Times New Roman"/>
          <w:sz w:val="22"/>
          <w:szCs w:val="22"/>
          <w:color w:val="auto"/>
        </w:rPr>
        <w:t>") to each holder of the proposed Re-Priced Class, which Re-Pricing, Mandatory Tender and Election to Retain Announcement shall:</w:t>
      </w:r>
    </w:p>
    <w:p>
      <w:pPr>
        <w:spacing w:after="0" w:line="181"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 the proposed Re-Pricing Date and the proposed spread over the Benchmark or fixed interest rate, as applicable, (or a range from which a single rate will be chosen prior to the Re-Pricing Date) to be applied with respect to such Class (such rate, the "</w:t>
      </w:r>
      <w:r>
        <w:rPr>
          <w:rFonts w:ascii="Times New Roman" w:cs="Times New Roman" w:eastAsia="Times New Roman" w:hAnsi="Times New Roman"/>
          <w:sz w:val="22"/>
          <w:szCs w:val="22"/>
          <w:u w:val="single" w:color="auto"/>
          <w:color w:val="auto"/>
        </w:rPr>
        <w:t>Re-Pricing Rate</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35" w:lineRule="auto"/>
        <w:tabs>
          <w:tab w:leader="none" w:pos="2210"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 that each Holder of the Re-Priced Class (a) communicate through the facilities of DTC whether such Holder (x) approves the proposed Re-Pricing and the Re-Pricing Rate and (y) elects to retain the Notes of the Re-Priced Class held by such Holder (an "</w:t>
      </w:r>
      <w:r>
        <w:rPr>
          <w:rFonts w:ascii="Times New Roman" w:cs="Times New Roman" w:eastAsia="Times New Roman" w:hAnsi="Times New Roman"/>
          <w:sz w:val="22"/>
          <w:szCs w:val="22"/>
          <w:u w:val="single" w:color="auto"/>
          <w:color w:val="auto"/>
        </w:rPr>
        <w:t>Election to Retain</w:t>
      </w:r>
      <w:r>
        <w:rPr>
          <w:rFonts w:ascii="Times New Roman" w:cs="Times New Roman" w:eastAsia="Times New Roman" w:hAnsi="Times New Roman"/>
          <w:sz w:val="22"/>
          <w:szCs w:val="22"/>
          <w:color w:val="auto"/>
        </w:rPr>
        <w:t>"), which Election to Retain is subject to DTC's procedures relating thereto set forth in the "Operational Arrangements (March 2020)" published by DTC (as most recently revised by DTC) (the "</w:t>
      </w:r>
      <w:r>
        <w:rPr>
          <w:rFonts w:ascii="Times New Roman" w:cs="Times New Roman" w:eastAsia="Times New Roman" w:hAnsi="Times New Roman"/>
          <w:sz w:val="22"/>
          <w:szCs w:val="22"/>
          <w:u w:val="single" w:color="auto"/>
          <w:color w:val="auto"/>
        </w:rPr>
        <w:t>Operational Arrangements</w:t>
      </w:r>
      <w:r>
        <w:rPr>
          <w:rFonts w:ascii="Times New Roman" w:cs="Times New Roman" w:eastAsia="Times New Roman" w:hAnsi="Times New Roman"/>
          <w:sz w:val="22"/>
          <w:szCs w:val="22"/>
          <w:color w:val="auto"/>
        </w:rPr>
        <w:t>") (any such Holder, a "</w:t>
      </w:r>
      <w:r>
        <w:rPr>
          <w:rFonts w:ascii="Times New Roman" w:cs="Times New Roman" w:eastAsia="Times New Roman" w:hAnsi="Times New Roman"/>
          <w:sz w:val="22"/>
          <w:szCs w:val="22"/>
          <w:u w:val="single" w:color="auto"/>
          <w:color w:val="auto"/>
        </w:rPr>
        <w:t>Consenting Holder</w:t>
      </w:r>
      <w:r>
        <w:rPr>
          <w:rFonts w:ascii="Times New Roman" w:cs="Times New Roman" w:eastAsia="Times New Roman" w:hAnsi="Times New Roman"/>
          <w:sz w:val="22"/>
          <w:szCs w:val="22"/>
          <w:color w:val="auto"/>
        </w:rPr>
        <w:t>"), or (b) propose an alternative Re-Pricing Rate at which they would consent to such Re-Pricing that is within the range provided, if any, in clause (i) above (such proposal, a "</w:t>
      </w:r>
      <w:r>
        <w:rPr>
          <w:rFonts w:ascii="Times New Roman" w:cs="Times New Roman" w:eastAsia="Times New Roman" w:hAnsi="Times New Roman"/>
          <w:sz w:val="22"/>
          <w:szCs w:val="22"/>
          <w:u w:val="single" w:color="auto"/>
          <w:color w:val="auto"/>
        </w:rPr>
        <w:t>Holder Proposed Re-Pricing Rate</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760" w:firstLine="1015"/>
        <w:spacing w:after="0" w:line="249" w:lineRule="auto"/>
        <w:tabs>
          <w:tab w:leader="none" w:pos="2210" w:val="left"/>
        </w:tabs>
        <w:numPr>
          <w:ilvl w:val="1"/>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request that each consenting Holder or beneficial owner of the Re-Priced Class deliver a response in writing to the Issuer, or to the Re-Pricing Intermediary on behalf of the Issuer, which response (the "</w:t>
      </w:r>
      <w:r>
        <w:rPr>
          <w:rFonts w:ascii="Times New Roman" w:cs="Times New Roman" w:eastAsia="Times New Roman" w:hAnsi="Times New Roman"/>
          <w:sz w:val="21"/>
          <w:szCs w:val="21"/>
          <w:u w:val="single" w:color="auto"/>
          <w:color w:val="auto"/>
        </w:rPr>
        <w:t>Holder Purchase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Request</w:t>
      </w:r>
      <w:r>
        <w:rPr>
          <w:rFonts w:ascii="Times New Roman" w:cs="Times New Roman" w:eastAsia="Times New Roman" w:hAnsi="Times New Roman"/>
          <w:sz w:val="21"/>
          <w:szCs w:val="21"/>
          <w:color w:val="auto"/>
        </w:rPr>
        <w:t>") shall indicate the Aggregate Outstanding Amount of the Re-Priced Class that such Holder or beneficial owner is willing to purchase (in addition to the Aggregate Outstanding Amount of Notes it already owns) at such Re-Pricing Rate (including within any range provided) specified in such Re-Pricing, Mandatory Tender and Election to Retain Announcement on or prior to a date that is determined by the Issuer in its sole discretion, subject to clause (v) below;</w:t>
      </w:r>
    </w:p>
    <w:p>
      <w:pPr>
        <w:spacing w:after="0" w:line="170" w:lineRule="exact"/>
        <w:rPr>
          <w:rFonts w:ascii="Times New Roman" w:cs="Times New Roman" w:eastAsia="Times New Roman" w:hAnsi="Times New Roman"/>
          <w:sz w:val="21"/>
          <w:szCs w:val="21"/>
          <w:color w:val="auto"/>
        </w:rPr>
      </w:pPr>
    </w:p>
    <w:p>
      <w:pPr>
        <w:ind w:left="760" w:right="20" w:firstLine="1015"/>
        <w:spacing w:after="0" w:line="258" w:lineRule="auto"/>
        <w:tabs>
          <w:tab w:leader="none" w:pos="2210"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that any Holder of the Re-Priced Class that does not approve the Re-Pricing and does not exercise an Election to Retain (each, a "</w:t>
      </w:r>
      <w:r>
        <w:rPr>
          <w:rFonts w:ascii="Times New Roman" w:cs="Times New Roman" w:eastAsia="Times New Roman" w:hAnsi="Times New Roman"/>
          <w:sz w:val="22"/>
          <w:szCs w:val="22"/>
          <w:u w:val="single" w:color="auto"/>
          <w:color w:val="auto"/>
        </w:rPr>
        <w:t>Non-Consenting Holder</w:t>
      </w:r>
      <w:r>
        <w:rPr>
          <w:rFonts w:ascii="Times New Roman" w:cs="Times New Roman" w:eastAsia="Times New Roman" w:hAnsi="Times New Roman"/>
          <w:sz w:val="22"/>
          <w:szCs w:val="22"/>
          <w:color w:val="auto"/>
        </w:rPr>
        <w:t>") will</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184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85"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either be (x) solely in the case of any Holder of Global Notes, subject to mandatory tender and transfer in accordance with the Operational Arrangements (a "</w:t>
      </w:r>
      <w:r>
        <w:rPr>
          <w:rFonts w:ascii="Times New Roman" w:cs="Times New Roman" w:eastAsia="Times New Roman" w:hAnsi="Times New Roman"/>
          <w:sz w:val="22"/>
          <w:szCs w:val="22"/>
          <w:u w:val="single" w:color="auto"/>
          <w:color w:val="auto"/>
        </w:rPr>
        <w:t>Mandatory Tender</w:t>
      </w:r>
      <w:r>
        <w:rPr>
          <w:rFonts w:ascii="Times New Roman" w:cs="Times New Roman" w:eastAsia="Times New Roman" w:hAnsi="Times New Roman"/>
          <w:sz w:val="22"/>
          <w:szCs w:val="22"/>
          <w:color w:val="auto"/>
        </w:rPr>
        <w:t>") or (y) redeemed with the proceeds of an issuance of Re-Pricing Replacement Notes (a "</w:t>
      </w:r>
      <w:r>
        <w:rPr>
          <w:rFonts w:ascii="Times New Roman" w:cs="Times New Roman" w:eastAsia="Times New Roman" w:hAnsi="Times New Roman"/>
          <w:sz w:val="22"/>
          <w:szCs w:val="22"/>
          <w:u w:val="single" w:color="auto"/>
          <w:color w:val="auto"/>
        </w:rPr>
        <w:t>Re-Pricing Redemption</w:t>
      </w:r>
      <w:r>
        <w:rPr>
          <w:rFonts w:ascii="Times New Roman" w:cs="Times New Roman" w:eastAsia="Times New Roman" w:hAnsi="Times New Roman"/>
          <w:sz w:val="22"/>
          <w:szCs w:val="22"/>
          <w:color w:val="auto"/>
        </w:rPr>
        <w:t>"), in each case, at their applicable Re-Pricing Sale Prices; and</w:t>
      </w:r>
    </w:p>
    <w:p>
      <w:pPr>
        <w:spacing w:after="0" w:line="173" w:lineRule="exact"/>
        <w:rPr>
          <w:sz w:val="20"/>
          <w:szCs w:val="20"/>
          <w:color w:val="auto"/>
        </w:rPr>
      </w:pPr>
    </w:p>
    <w:p>
      <w:pPr>
        <w:jc w:val="both"/>
        <w:ind w:left="760" w:firstLine="1015"/>
        <w:spacing w:after="0" w:line="244" w:lineRule="auto"/>
        <w:tabs>
          <w:tab w:leader="none" w:pos="2210" w:val="left"/>
        </w:tabs>
        <w:numPr>
          <w:ilvl w:val="2"/>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the period for which the Holders of the Notes of the Re-Priced Class can provide their consent to the Re-Pricing and an Election to Retain, which period shall not be less than 10 Business Days from the date of publication of the Re-Pricing, Mandatory Tender and Election to Retain Announcement.</w:t>
      </w:r>
    </w:p>
    <w:p>
      <w:pPr>
        <w:spacing w:after="0" w:line="173"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at the direction of the Collateral Manager or a Majority of the Subordinated Notes may extend the Re-Pricing Date or determine the Re-Pricing Rate taking into consideration any Holder Proposed Re-Pricing Rates at any time up to two Business Days prior to the Re-Pricing Date (upon notice to each Holder of the proposed Re-Priced Class, with a copy to the Collateral Manager, the Collateral Trustee and the Rating Agency). To the extent any Certificated Notes of the Re-Priced Class are Outstanding as of the date the Re-Pricing, Mandatory Tender and Election to Retain Announcement is delivered to the holders of Global Notes through the facilities of DTC, the Collateral Trustee (at the direction of the Issuer) shall make available such Re-Pricing, Mandatory Tender and Election to Retain Announcement (with any appropriate modifications as directed by the Collateral Manager on behalf of the Issuer) to the holders of such Certificated Notes on the Collateral Trustee's website. Holders of Certificated Notes shall be entitled to deliver an Election to Retain and a Holder Purchase Request directly to the Collateral Trustee or the Re-Pricing Intermediary, as applicable.</w:t>
      </w:r>
    </w:p>
    <w:p>
      <w:pPr>
        <w:spacing w:after="0" w:line="179"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Issuer (or Re-Pricing Intermediary on its behalf) distributing the Re-Pricing, Mandatory Tender and Election to Retain Announcement to the Holders of the Notes of the Re-Priced Class, the Issuer shall provide a draft thereof to DTC's Reorganization Announcements Department via e-mail, at putbonds@dtcc.com, with a copy to Daniel Pikulin (dpikulin@dtcc.com) and Sylvia Salony (ssalony@dtcc.com), to discuss any comments DTC may have on the draft Re-Pricing, Mandatory Tender and Election to Retain Announcement. Upon the expiration of the period for which Holders of Notes of the Re-Priced Class may approve the Re-Pricing and provide an Election to Retain through the facilities of DTC, the Collateral Trustee (not later than one Business Day after receipt from DTC) shall provide to the Issuer, the Collateral Manager and the Re-Pricing Intermediary, if any, the information received from DTC regarding the Aggregate Outstanding Amount of Notes held by Consenting Holders and Non-Consenting Holders.</w:t>
      </w:r>
    </w:p>
    <w:p>
      <w:pPr>
        <w:spacing w:after="0" w:line="183"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1"/>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two Business Days prior to the publication date of the Re-Pricing, Mandatory Tender and Election to Retain Announcement, the Issuer shall cause a notice to be sent to DTC of the proposed Re-Pricing and that Notes of the Re-Priced Class will be subject to Mandatory Tender or an Election to Retain (which notice shall be sent by e-mail to DTC at putbonds@dtcc.com). Such notice shall include the following information: (i) the security description and CUSIP number of the Re-Priced Class, (ii) the name and number of the participant account to which the tendered Notes are to be delivered by DTC,</w:t>
      </w:r>
    </w:p>
    <w:p>
      <w:pPr>
        <w:spacing w:after="0" w:line="1" w:lineRule="exact"/>
        <w:rPr>
          <w:rFonts w:ascii="Times New Roman" w:cs="Times New Roman" w:eastAsia="Times New Roman" w:hAnsi="Times New Roman"/>
          <w:sz w:val="21"/>
          <w:szCs w:val="21"/>
          <w:color w:val="auto"/>
        </w:rPr>
      </w:pPr>
    </w:p>
    <w:p>
      <w:pPr>
        <w:jc w:val="both"/>
        <w:ind w:right="20" w:firstLine="8"/>
        <w:spacing w:after="0" w:line="235" w:lineRule="auto"/>
        <w:tabs>
          <w:tab w:leader="none" w:pos="387"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Payment Date occurring after the Re-Pricing Date and (iv) if available at the time such notice is required to be sent to DTC, the Re-Pricing Rate. The Issuer shall also provide to DTC any additional information as required by any update to the Operational Arrangements or is otherwise required to effect the</w:t>
      </w:r>
    </w:p>
    <w:p>
      <w:pPr>
        <w:spacing w:after="0" w:line="15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185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Re-Pricing in accordance with the procedures of DTC. The Collateral Trustee shall not be liable for the content or information contained in the Re-Pricing, Mandatory Tender and Election to Retain Announcement or in the notice to DTC regarding the proposed Re-Pricing or for any modification or supplement to the Operational Arrangements published by DTC. If it is determined that the procedures of DTC cannot accommodate a Mandatory Tender and transfer on a Re-Pricing Date that is not also a scheduled Payment Date (or the Issuer (or the Collateral Manager on behalf of the Issuer) otherwise determines that it is not feasible for the Re-Pricing Date to occur on a Business Day that is not also a scheduled Payment Date), the Re-Pricing Date must be a Business Day that coincides with a Payment Date.</w:t>
      </w:r>
    </w:p>
    <w:p>
      <w:pPr>
        <w:spacing w:after="0" w:line="183" w:lineRule="exact"/>
        <w:rPr>
          <w:sz w:val="20"/>
          <w:szCs w:val="20"/>
          <w:color w:val="auto"/>
        </w:rPr>
      </w:pPr>
    </w:p>
    <w:p>
      <w:pPr>
        <w:jc w:val="both"/>
        <w:ind w:firstLine="1505"/>
        <w:spacing w:after="0" w:line="234" w:lineRule="auto"/>
        <w:tabs>
          <w:tab w:leader="none" w:pos="1929"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Issuer, the Collateral Manager and the Re-Pricing Intermediary, if any, has been informed of the existence of Non-Consenting Holders and the Aggregate Outstanding Amount of Notes of the Re-Priced Class held by such Holders, the Issuer, or the Re-Pricing Intermediary on behalf of the Issuer, shall deliver written notice thereof to each Holder or beneficial owner of the Re-Priced Class of Notes who delivered a Holder Purchase Request with a Holder Proposed Re-Pricing Rate that is equal to or lower than the Re-Pricing Rate as determined by the Collateral Manager (such request, an "</w:t>
      </w:r>
      <w:r>
        <w:rPr>
          <w:rFonts w:ascii="Times New Roman" w:cs="Times New Roman" w:eastAsia="Times New Roman" w:hAnsi="Times New Roman"/>
          <w:sz w:val="22"/>
          <w:szCs w:val="22"/>
          <w:u w:val="single" w:color="auto"/>
          <w:color w:val="auto"/>
        </w:rPr>
        <w:t>Accepted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Purchase Request</w:t>
      </w:r>
      <w:r>
        <w:rPr>
          <w:rFonts w:ascii="Times New Roman" w:cs="Times New Roman" w:eastAsia="Times New Roman" w:hAnsi="Times New Roman"/>
          <w:sz w:val="22"/>
          <w:szCs w:val="22"/>
          <w:color w:val="auto"/>
        </w:rPr>
        <w:t>") (which notice may be either through the facilities of DTC or directly to the beneficial owners of the Notes held by Consenting Holders) specifying the Aggregate Outstanding Amount of the Notes of the Re-Priced Class that such Holder or beneficial owner has agreed to purchase with a Re-Pricing Rate equal to or greater than such Holder's (or beneficial owner's) Holder Proposed Re-Pricing Rate.</w:t>
      </w:r>
    </w:p>
    <w:p>
      <w:pPr>
        <w:spacing w:after="0" w:line="183"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29"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Issuer (or the Re-Pricing Intermediary on behalf of the Issuer) receives Accepted Purchase Requests with respect to an amount equal to or greater than the Aggregate Outstanding Amount of the Notes of the Re-Priced Class held by Non-Consenting Holders, the Issuer, or the Re-Pricing Intermediary on behalf of the Issuer, shall cause the Mandatory Tender and transfer of such Notes, in the case of Global Notes, or Re-Pricing Redemption or will sell Re-Pricing Replacement Notes to such Consenting Holders at the applicable Redemption Prices and, if applicable, conduct a Re-Pricing Redemption of Non-Consenting Holders' Notes of the Re-Priced Class, without further notice to the Non-Consenting Holders thereof, on the Re-Pricing Date to the Consenting Holders delivering Accepted Purchase Requests with respect thereto, pro rata (subject to the applicable Minimum Denominations and the applicable procedures of DTC) based on the Aggregate Outstanding Amount of the Notes such Consenting Holders indicated an interest in purchasing pursuant to their Holder Purchase Requests. In the event that the Issuer receives Accepted Purchase Requests with respect to less than the Aggregate Outstanding Amount of the Notes of the Re-Priced Class held by Non-Consenting Holders, the Issuer, or the Re-Pricing Intermediary on behalf of the Issuer, shall cause the Mandatory Tender and transfer of the Notes held by such Non-Consenting Holders to the Holders delivering Accepted Purchase Requests with respect thereto (subject to the applicable Minimum Denominations and the applicable procedures of DTC), or will sell Re-Pricing Replacement Notes to such Consenting Holders delivering Accepted Purchase Requests, in each case at the applicable Redemption Prices and, if applicable, conduct a Re-Pricing Redemption of Non-Consenting Holders' Notes, without further notice to the Non-Consenting Holders thereof, on the Re-Pricing Date, and any excess Notes of the Re-Priced Class held by Non-Consenting Holders shall be subject to Mandatory Tender and transfer or redeemed with proceeds from the sale of Re-Pricing Replacement Notes to one or more purchasers designated by the Issuer (or the Re-Pricing Intermediary on behalf of the Issuer), in each case at the Redemption Price of the Re-Priced Class.</w:t>
      </w:r>
    </w:p>
    <w:p>
      <w:pPr>
        <w:spacing w:after="0" w:line="16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186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85" w:lineRule="exact"/>
        <w:rPr>
          <w:sz w:val="20"/>
          <w:szCs w:val="20"/>
          <w:color w:val="auto"/>
        </w:rPr>
      </w:pPr>
    </w:p>
    <w:p>
      <w:pPr>
        <w:jc w:val="both"/>
        <w:ind w:firstLine="1505"/>
        <w:spacing w:after="0" w:line="244" w:lineRule="auto"/>
        <w:tabs>
          <w:tab w:leader="none" w:pos="1929"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Mandatory Tenders of Non-Consenting Holders' Notes to be effected pursuant to the immediately preceding paragraph shall be (x) made at the applicable Redemption Price of the Re-Priced Class, and (y) effected only if the related Re-Pricing is effected in accordance with the provisions herein and in accordance with the Operational Arrangements. Unless the Issuer (or the Collateral Manager on behalf of the Issuer) determines it is necessary to have new CUSIP numbers assigned to the Notes of a Re-Priced Class to facilitate the Re-Pricing, the CUSIP numbers assigned to the Notes of a Re-Priced Class that exist prior to the Re-Pricing Date shall remain the same CUSIP numbers after the occurrence of the Re-Pricing Date with respect to: (i) the Notes that are held by Consenting Holders for which an Election to Retain has been exercised and (ii) the Notes held by Non-Consenting Holders that are subject to Mandatory Tender and transfer and which are sold to one or more transferees designated by the Issuer or the Re-Pricing Intermediary on behalf of the Issuer in connection with such Mandatory Tender. The Issuer, or the Re-Pricing Intermediary on behalf of the Issuer, shall deliver written notice to the Collateral Trustee and the Collateral Manager not later than the Business Day prior to the proposed Re-Pricing Date confirming that the Issuer has received written commitments from Consenting Holders or other Persons to effect the purchase of all Notes of the Re-Priced Class held by Non-Consenting Holders that are not being redeemed with the proceeds of Re-Pricing Replacement Notes.</w:t>
      </w:r>
    </w:p>
    <w:p>
      <w:pPr>
        <w:spacing w:after="0" w:line="148" w:lineRule="exact"/>
        <w:rPr>
          <w:rFonts w:ascii="Times New Roman" w:cs="Times New Roman" w:eastAsia="Times New Roman" w:hAnsi="Times New Roman"/>
          <w:sz w:val="21"/>
          <w:szCs w:val="21"/>
          <w:color w:val="auto"/>
        </w:rPr>
      </w:pPr>
    </w:p>
    <w:p>
      <w:pPr>
        <w:jc w:val="both"/>
        <w:ind w:firstLine="1505"/>
        <w:spacing w:after="0" w:line="256" w:lineRule="exact"/>
        <w:tabs>
          <w:tab w:leader="none" w:pos="1929"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not effect any proposed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unless: (i) the Issuer and the Collateral Trustee shall have entered into a supplemental indenture (prepared by or on behalf of the Issuer), dated as of the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Date to decrease the spread over the Benchmark or the stated interest rate, as applicable, applicable to the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Priced Class in accordance with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(ii) the Issuer, or the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Intermediary on behalf of the Issuer, has received written commitments to purchase all Secured Debt of the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Priced Class held by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consenting Holders; (iii) the Rating Agencies shall have been notified of such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(iv) the Issuer has received an opinion of tax counsel of nationally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recognized standing in the United States experienced in such matters to the effect that such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will not result in the (A) Issuer becoming subject to U.S. federal income tax with respect to its net income or subject to tax liability under Section 1446 of the Code, or (B) result in the Issuer being treated as a publicly traded partnership taxable as a corporation for U.S. federal income tax purposes; (v) the written consent of the Transferor and the Collateral Manager shall have been obtained; and (vi) all expenses of the Issuer, the Collateral Trustee and the Loan Agent (including the fees of the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Intermediary and fees of counsel) incurred in connection with the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shall not exceed the amount of Interest Proceeds available after taking into account all amounts required to be paid pursuant to the Priority of Payments on the subsequent Payment Date prior to distributions to the holders of the Subordinated Notes, unless such expenses shall have been paid (including from proceeds of any additional issuance of Subordinated Notes and any Cash Contribution) or shall be adequately provided for by an entity other than the Issuer.</w:t>
      </w:r>
    </w:p>
    <w:p>
      <w:pPr>
        <w:spacing w:after="0" w:line="156" w:lineRule="exact"/>
        <w:rPr>
          <w:rFonts w:ascii="Times New Roman" w:cs="Times New Roman" w:eastAsia="Times New Roman" w:hAnsi="Times New Roman"/>
          <w:sz w:val="22"/>
          <w:szCs w:val="22"/>
          <w:color w:val="auto"/>
        </w:rPr>
      </w:pPr>
    </w:p>
    <w:p>
      <w:pPr>
        <w:jc w:val="both"/>
        <w:ind w:firstLine="1505"/>
        <w:spacing w:after="0" w:line="268" w:lineRule="exact"/>
        <w:tabs>
          <w:tab w:leader="none" w:pos="1929"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of a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may be withdrawn by a Majority of the Subordinated Notes on or prior to the Business Day prior to the scheduled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 Date by written notice to the Issuer, the Collateral Trustee, the Loan Agent and the Collateral Manager for any reason. Upon receipt of such notice of withdrawal, the Collateral Trustee, at the expense of the Issuer, shall send such notice to the Holders of Secured Debt and the Rating Agencies.</w:t>
      </w:r>
    </w:p>
    <w:p>
      <w:pPr>
        <w:spacing w:after="0" w:line="158"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187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85" w:lineRule="exact"/>
        <w:rPr>
          <w:sz w:val="20"/>
          <w:szCs w:val="20"/>
          <w:color w:val="auto"/>
        </w:rPr>
      </w:pPr>
    </w:p>
    <w:p>
      <w:pPr>
        <w:jc w:val="both"/>
        <w:ind w:firstLine="1505"/>
        <w:spacing w:after="0" w:line="254" w:lineRule="exact"/>
        <w:tabs>
          <w:tab w:leader="none" w:pos="1929"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shall direct the Collateral Trustee to segregate payments and take other reasonable steps to effect the 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Pricing and the Collateral Trustee shall have the authority to take such actions as may be directed by the Issuer or the Collateral Manager as the Issuer, or the 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Pricing Intermediary on behalf of the Issuer, or the Collateral Manager shall deem necessary or desirable to effect a 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Pricing. In order to give effect to the 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Pricing, the Issuer may, to the extent necessary or desirable, obtain and assign a separate CUSIP or CUSIPs to the Secured Debt of each Class held by such consenting or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consenting Holder(s). The Collateral Trustee shall be entitled to receive, and shall be fully protected in relying upon an Opinion of Counsel stating that the 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Pricing is authorized or permitted by this Indenture and that all conditions precedent thereto have been complied with. The Collateral Trustee may request and rely on an Issuer Order providing direction and any additional information requested in order to effect a 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Pricing and shall have no liability for relying on the same. The Collateral Trustee shall have no liability for any failure or delay on the part of the Issuer, the Re-Pricing Intermediary, DTC or any Holder (or beneficial owner) of Secured Debt in taking actions necessary in connection with a Re-Pricing.</w:t>
      </w:r>
    </w:p>
    <w:p>
      <w:pPr>
        <w:spacing w:after="0" w:line="181"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2"/>
          <w:szCs w:val="22"/>
          <w:color w:val="auto"/>
        </w:rPr>
        <w:t>For the avoidance of doubt, for purposes of a Re-Priced Class, the Re-Pricing Sale Price and the Redemption Price shall be the same.</w:t>
      </w:r>
    </w:p>
    <w:p>
      <w:pPr>
        <w:spacing w:after="0" w:line="158"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9.8</w:t>
      </w:r>
      <w:r>
        <w:rPr>
          <w:sz w:val="20"/>
          <w:szCs w:val="20"/>
          <w:color w:val="auto"/>
        </w:rPr>
        <w:tab/>
      </w:r>
      <w:r>
        <w:rPr>
          <w:rFonts w:ascii="Times New Roman" w:cs="Times New Roman" w:eastAsia="Times New Roman" w:hAnsi="Times New Roman"/>
          <w:sz w:val="21"/>
          <w:szCs w:val="21"/>
          <w:u w:val="single" w:color="auto"/>
          <w:color w:val="auto"/>
        </w:rPr>
        <w:t>Clean-Up Call Redemption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8" w:lineRule="auto"/>
        <w:tabs>
          <w:tab w:leader="none" w:pos="1929"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written direction of a Majority of the Subordinated Notes, with the consent of the Transferor and the Collateral Manager, to the Issuer, the Collateral Trustee and the Loan Agent, with copies to each Rating Agency, at least 15 Business Days prior to the proposed Redemption Date, the Secured Debt shall be subject to redemption (or, in the case of the Class A-1 Loans, prepayment) by the Issuer, in whole but not in part, at the applicable Redemption Prices, on any Business Day after the Non-Call Period on which the Collateral Principal Amount is less than 20% of the Target Initial Par Amount.</w:t>
      </w:r>
    </w:p>
    <w:p>
      <w:pPr>
        <w:spacing w:after="0" w:line="176"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set forth herein, the Secured Debt shall not be redeemed or prepaid, as applicable, pursuant to a Clean-Up Call Redemption unless (i) at least five Business Days before the scheduled Redemption Date the Collateral Manager shall have furnished to the Collateral Trustee evidence, in form satisfactory to the Collateral Trustee (which may include an officer's certificate), that the Collateral Manager on behalf of the Issuer has entered into a binding agreement or agreements to sell to a financial or other institution or institutions not later than the Business Day immediately preceding the scheduled Redemption Date, all or part of the Collateral Obligations at a purchase price at least equal to an amount sufficient, together with the Eligible Investments maturing, redeemable (or putable to the issuer thereof at par) on or prior to the scheduled Redemption Date, to pay all Administrative Expenses and other fees and expenses payable in accordance with the Priority of Payments (without regard to the Administrative Expense Cap) prior to the payment of the principal of the Secured Debt to be redeemed or prepaid, as applicable, and redeem or prepay, as applicable, all of the Secured Debt on the scheduled Redemption Date at the applicable Redemption Prices, or (ii) prior to selling any Collateral Obligations and/or Eligible Investments, the Collateral Manager shall certify to the Collateral Trustee in a certificate of a Responsible Officer upon which the Collateral Trustee can conclusively rely that, in its judgment (which may be based on the Issuer having entered into an agreement to sell such Assets to another special purpose entity that has committed financing or that has priced but has not yet closed its securities offering if such securities offering is expected</w:t>
      </w:r>
    </w:p>
    <w:p>
      <w:pPr>
        <w:spacing w:after="0" w:line="15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188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to close on or prior to the scheduled Redemption Date), the aggregate sum of (A) any expected proceeds from the sale of Eligible Investments and (B) for each Collateral Obligation, the Market Value thereof, shall equal or exceed the sum of (x) the Redemption Price of the Secured Debt and (y) all Administrative Expenses (without regard to the Administrative Expense Cap). Any certification delivered by the Collateral Manager pursuant to this </w:t>
      </w:r>
      <w:r>
        <w:rPr>
          <w:rFonts w:ascii="Times New Roman" w:cs="Times New Roman" w:eastAsia="Times New Roman" w:hAnsi="Times New Roman"/>
          <w:sz w:val="22"/>
          <w:szCs w:val="22"/>
          <w:u w:val="single" w:color="auto"/>
          <w:color w:val="auto"/>
        </w:rPr>
        <w:t>Section 9.8(b)</w:t>
      </w:r>
      <w:r>
        <w:rPr>
          <w:rFonts w:ascii="Times New Roman" w:cs="Times New Roman" w:eastAsia="Times New Roman" w:hAnsi="Times New Roman"/>
          <w:sz w:val="22"/>
          <w:szCs w:val="22"/>
          <w:color w:val="auto"/>
        </w:rPr>
        <w:t xml:space="preserve"> shall include (1) the prices of, and expected proceeds from, the sale (directly or by participation or other arrangement) of any Collateral Obligations and/or Eligible Investments and (2) all calculations required by this </w:t>
      </w:r>
      <w:r>
        <w:rPr>
          <w:rFonts w:ascii="Times New Roman" w:cs="Times New Roman" w:eastAsia="Times New Roman" w:hAnsi="Times New Roman"/>
          <w:sz w:val="22"/>
          <w:szCs w:val="22"/>
          <w:u w:val="single" w:color="auto"/>
          <w:color w:val="auto"/>
        </w:rPr>
        <w:t>Section 9.8(b)</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505"/>
        <w:spacing w:after="0" w:line="235" w:lineRule="auto"/>
        <w:tabs>
          <w:tab w:leader="none" w:pos="1929"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from a Majority of the Subordinated Notes, with the consent of the Transferor and the Collateral Manager, of a direction in writing to effect a Clean-Up Call Redemption, the Issuer will set the related Redemption Date and the Record Date and give written notice thereof to the Collateral Trustee, the Loan Agent, the Collateral Administrator, the Collateral Manager and each Rating Agency not later than 15 days prior to such proposed Redemption Date. A notice of redemption will be provided not later than nine days prior to such Redemption Date, to each Holder, at such Holder's address as it appears on the Note Register or the Loan Register, as applicable, (and, in the case of Global Notes, delivered by electronic transmission to DTC), and each Rating Agency.</w:t>
      </w:r>
    </w:p>
    <w:p>
      <w:pPr>
        <w:spacing w:after="0" w:line="18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notice of a Clean-Up Call Redemption may (or, if directed by a Majority of the Subordinated Notes, shall) be withdrawn by the Issuer up to (and including) the Business Day prior to the related Redemption Date by written notice to the Collateral Trustee, the Loan Agent, each Rating Agency and the Collateral Manager only if the Collateral Manager has not delivered the sale agreement or agreements or certifications as described in </w:t>
      </w:r>
      <w:r>
        <w:rPr>
          <w:rFonts w:ascii="Times New Roman" w:cs="Times New Roman" w:eastAsia="Times New Roman" w:hAnsi="Times New Roman"/>
          <w:sz w:val="22"/>
          <w:szCs w:val="22"/>
          <w:u w:val="single" w:color="auto"/>
          <w:color w:val="auto"/>
        </w:rPr>
        <w:t>Section 9.8(b)</w:t>
      </w:r>
      <w:r>
        <w:rPr>
          <w:rFonts w:ascii="Times New Roman" w:cs="Times New Roman" w:eastAsia="Times New Roman" w:hAnsi="Times New Roman"/>
          <w:sz w:val="22"/>
          <w:szCs w:val="22"/>
          <w:color w:val="auto"/>
        </w:rPr>
        <w:t xml:space="preserve"> in form satisfactory to the Collateral Trustee.</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forward notice of any such withdrawal of a Clean-Up Call Redemption, at the expense of the Issuer, to each Holder of Secured Debt that were to be redeemed at such Holder's address as it appears on the Note Register or the Loan Register, as applicable, by overnight courier guaranteeing next day delivery not later than the third Business Day prior to the related scheduled Redemption Date.</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Redemption Date related to any Clean-Up Call Redemption, the Redemption Price for the Secured Debt will be distributed pursuant to the Priority of Payments.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ACCOUNTS, ACCOUNTINGS AND RELEASES</w:t>
      </w:r>
    </w:p>
    <w:p>
      <w:pPr>
        <w:spacing w:after="0" w:line="210" w:lineRule="exact"/>
        <w:rPr>
          <w:sz w:val="20"/>
          <w:szCs w:val="20"/>
          <w:color w:val="auto"/>
        </w:rPr>
      </w:pPr>
    </w:p>
    <w:p>
      <w:pPr>
        <w:jc w:val="both"/>
        <w:ind w:firstLine="1497"/>
        <w:spacing w:after="0" w:line="250" w:lineRule="exact"/>
        <w:rPr>
          <w:sz w:val="20"/>
          <w:szCs w:val="20"/>
          <w:color w:val="auto"/>
        </w:rPr>
      </w:pPr>
      <w:r>
        <w:rPr>
          <w:rFonts w:ascii="Times New Roman" w:cs="Times New Roman" w:eastAsia="Times New Roman" w:hAnsi="Times New Roman"/>
          <w:sz w:val="22"/>
          <w:szCs w:val="22"/>
          <w:u w:val="single" w:color="auto"/>
          <w:color w:val="auto"/>
        </w:rPr>
        <w:t>Section 10.1 Collection of Money</w:t>
      </w:r>
      <w:r>
        <w:rPr>
          <w:rFonts w:ascii="Times New Roman" w:cs="Times New Roman" w:eastAsia="Times New Roman" w:hAnsi="Times New Roman"/>
          <w:sz w:val="22"/>
          <w:szCs w:val="22"/>
          <w:color w:val="auto"/>
        </w:rPr>
        <w:t>. Except as otherwise expressly provided herein, the Collateral Trustee may demand payment or delivery of, and shall receive and collect, directly and without intervention or assistance of any fiscal agent or other intermediary, all Money and other property payable to or receivable by the Collateral Trustee pursuant to this Indenture, including all payments due on the Assets, in accordance with the terms and conditions of such Assets. The Collateral Trustee shall segregate and hold all such Money and property received by it in trust for the Holders of the Debt and shall apply it as provided herein. Each Account shall be established and maintained (a) with a federal or state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chartered depository institution with a</w:t>
      </w:r>
    </w:p>
    <w:p>
      <w:pPr>
        <w:spacing w:after="0" w:line="161"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189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50" w:lineRule="exact"/>
        <w:rPr>
          <w:sz w:val="20"/>
          <w:szCs w:val="20"/>
          <w:color w:val="auto"/>
        </w:rPr>
      </w:pPr>
    </w:p>
    <w:p>
      <w:pPr>
        <w:jc w:val="both"/>
        <w:spacing w:after="0" w:line="255" w:lineRule="exact"/>
        <w:rPr>
          <w:sz w:val="20"/>
          <w:szCs w:val="20"/>
          <w:color w:val="auto"/>
        </w:rPr>
      </w:pPr>
      <w:r>
        <w:rPr>
          <w:rFonts w:ascii="Times New Roman" w:cs="Times New Roman" w:eastAsia="Times New Roman" w:hAnsi="Times New Roman"/>
          <w:sz w:val="22"/>
          <w:szCs w:val="22"/>
          <w:color w:val="auto"/>
        </w:rPr>
        <w:t>long-term issuer credit rating of at least "A-" and a short-term issuer credit rating of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 by S&amp;P (or at least "A+" by S&amp;P if such institution has no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rating) or (b) in segregated trust accounts with the corporate trust department of a federal or state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chartered deposit institution rated at least "BBB-" by S&amp;P and, in each case, is subject to regulations regarding fiduciary funds on deposit similar to Title 12 of the Code of Federal Regulations </w:t>
      </w:r>
      <w:r>
        <w:rPr>
          <w:rFonts w:ascii="Times New Roman" w:cs="Times New Roman" w:eastAsia="Times New Roman" w:hAnsi="Times New Roman"/>
          <w:sz w:val="22"/>
          <w:szCs w:val="22"/>
          <w:u w:val="single" w:color="auto"/>
          <w:color w:val="auto"/>
        </w:rPr>
        <w:t>Section 9.10(b)</w:t>
      </w:r>
      <w:r>
        <w:rPr>
          <w:rFonts w:ascii="Times New Roman" w:cs="Times New Roman" w:eastAsia="Times New Roman" w:hAnsi="Times New Roman"/>
          <w:sz w:val="22"/>
          <w:szCs w:val="22"/>
          <w:color w:val="auto"/>
        </w:rPr>
        <w:t xml:space="preserve">, and if such institution's rating falls below the ratings required by clause (a) or (b) above, as applicable, the assets held in such Account shall be moved within 30 calendar days to another institution that satisfies such applicable ratings;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Bank shall not be required to satisfy such rating requirements so long as any amounts credited in the accounts by 3:00 pm (New York time) are invested in a Deposit Placement Program. Such institution shall have a combined capital and surplus of at least U.S.$200,000,000. All Cash deposited in the Accounts shall be invested only in Eligible Investments or Collateral Obligations in accordance with the terms of this Indenture.</w:t>
      </w:r>
    </w:p>
    <w:p>
      <w:pPr>
        <w:spacing w:after="0" w:line="181"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u w:val="single" w:color="auto"/>
          <w:color w:val="auto"/>
        </w:rPr>
        <w:t>Section 10.2 Collection Account</w:t>
      </w:r>
      <w:r>
        <w:rPr>
          <w:rFonts w:ascii="Times New Roman" w:cs="Times New Roman" w:eastAsia="Times New Roman" w:hAnsi="Times New Roman"/>
          <w:sz w:val="21"/>
          <w:szCs w:val="21"/>
          <w:color w:val="auto"/>
        </w:rPr>
        <w:t xml:space="preserve"> . (a) In accordance with this Indenture and the Securities Account Control Agreement, the Issuer shall, prior to the Closing Date, cause the Collateral Trustee to establish at the Custodian three segregated accounts, one of which will be designated the "Interest Collection Subaccount" and one of which will be designated the "Principal Collection Subaccount" (and which together will comprise the “Collection Account”), each held in the name of the Issuer, subject to the lien of the Collateral Trustee and each of which shall be maintained with the Custodian in accordance with the Securities Account Control Agreement. The Collateral Trustee shall from time to time deposit into the Interest Collection Subaccount, in addition to the deposits required pursuant to </w:t>
      </w:r>
      <w:r>
        <w:rPr>
          <w:rFonts w:ascii="Times New Roman" w:cs="Times New Roman" w:eastAsia="Times New Roman" w:hAnsi="Times New Roman"/>
          <w:sz w:val="21"/>
          <w:szCs w:val="21"/>
          <w:u w:val="single" w:color="auto"/>
          <w:color w:val="auto"/>
        </w:rPr>
        <w:t>Section 10.6(a)</w:t>
      </w:r>
      <w:r>
        <w:rPr>
          <w:rFonts w:ascii="Times New Roman" w:cs="Times New Roman" w:eastAsia="Times New Roman" w:hAnsi="Times New Roman"/>
          <w:sz w:val="21"/>
          <w:szCs w:val="21"/>
          <w:color w:val="auto"/>
        </w:rPr>
        <w:t xml:space="preserve">, immediately upon receipt thereof or upon transfer from the Payment Account or (to the extent directed by the Collateral Manager) the Expense Reserve Account, all Interest Proceeds (unless simultaneously reinvested in additional Collateral Obligations in accordance with </w:t>
      </w:r>
      <w:r>
        <w:rPr>
          <w:rFonts w:ascii="Times New Roman" w:cs="Times New Roman" w:eastAsia="Times New Roman" w:hAnsi="Times New Roman"/>
          <w:sz w:val="21"/>
          <w:szCs w:val="21"/>
          <w:u w:val="single" w:color="auto"/>
          <w:color w:val="auto"/>
        </w:rPr>
        <w:t>Article XII</w:t>
      </w:r>
      <w:r>
        <w:rPr>
          <w:rFonts w:ascii="Times New Roman" w:cs="Times New Roman" w:eastAsia="Times New Roman" w:hAnsi="Times New Roman"/>
          <w:sz w:val="21"/>
          <w:szCs w:val="21"/>
          <w:color w:val="auto"/>
        </w:rPr>
        <w:t xml:space="preserve">), except as otherwise provided in this Indenture, including with respect to Restructured Asset Proceeds. The Collateral Trustee shall deposit immediately upon receipt thereof or upon transfer from the Revolver Funding Account or (to the extent directed by the Collateral Manager) from the Expense Reserve Account all other amounts remitted to the Collection Account into the Principal Collection Subaccount, including in addition to the deposits required pursuant to </w:t>
      </w:r>
      <w:r>
        <w:rPr>
          <w:rFonts w:ascii="Times New Roman" w:cs="Times New Roman" w:eastAsia="Times New Roman" w:hAnsi="Times New Roman"/>
          <w:sz w:val="21"/>
          <w:szCs w:val="21"/>
          <w:u w:val="single" w:color="auto"/>
          <w:color w:val="auto"/>
        </w:rPr>
        <w:t>Section 10.6(a)</w:t>
      </w:r>
      <w:r>
        <w:rPr>
          <w:rFonts w:ascii="Times New Roman" w:cs="Times New Roman" w:eastAsia="Times New Roman" w:hAnsi="Times New Roman"/>
          <w:sz w:val="21"/>
          <w:szCs w:val="21"/>
          <w:color w:val="auto"/>
        </w:rPr>
        <w:t xml:space="preserve">, (i) any funds designated as Principal Proceeds by the Collateral Manager in accordance with this Indenture, (ii) the net proceeds from the issuance of any additional Notes and (iii) all other Principal Proceeds (unless simultaneously reinvested in additional Collateral Obligations in accordance with </w:t>
      </w:r>
      <w:r>
        <w:rPr>
          <w:rFonts w:ascii="Times New Roman" w:cs="Times New Roman" w:eastAsia="Times New Roman" w:hAnsi="Times New Roman"/>
          <w:sz w:val="21"/>
          <w:szCs w:val="21"/>
          <w:u w:val="single" w:color="auto"/>
          <w:color w:val="auto"/>
        </w:rPr>
        <w:t>Article XII</w:t>
      </w:r>
      <w:r>
        <w:rPr>
          <w:rFonts w:ascii="Times New Roman" w:cs="Times New Roman" w:eastAsia="Times New Roman" w:hAnsi="Times New Roman"/>
          <w:sz w:val="21"/>
          <w:szCs w:val="21"/>
          <w:color w:val="auto"/>
        </w:rPr>
        <w:t xml:space="preserve"> or in Eligible Investments). The Issuer may, but under no circumstances shall be required to, deposit from time to time into the Collection Account, in addition to any amount required hereunder to be deposited therein, such Monies received from external sources for the benefit of the Secured Parties or the Issuer (other than payments on or in respect of the Collateral Obligations, Eligible Investments or other existing Assets) as the Issuer deems, in its sole discretion, to be advisable and to designate them as Interest Proceeds or Principal Proceeds. All Monies deposited from time to time in the Collection Account pursuant to this Indenture shall be held by the Collateral Trustee as part of the Assets and shall be applied to the purposes herein provided. Subject to </w:t>
      </w:r>
      <w:r>
        <w:rPr>
          <w:rFonts w:ascii="Times New Roman" w:cs="Times New Roman" w:eastAsia="Times New Roman" w:hAnsi="Times New Roman"/>
          <w:sz w:val="21"/>
          <w:szCs w:val="21"/>
          <w:u w:val="single" w:color="auto"/>
          <w:color w:val="auto"/>
        </w:rPr>
        <w:t>Section 10.2(d)</w:t>
      </w:r>
      <w:r>
        <w:rPr>
          <w:rFonts w:ascii="Times New Roman" w:cs="Times New Roman" w:eastAsia="Times New Roman" w:hAnsi="Times New Roman"/>
          <w:sz w:val="21"/>
          <w:szCs w:val="21"/>
          <w:color w:val="auto"/>
        </w:rPr>
        <w:t xml:space="preserve">, amounts in the Collection Account shall be reinvested pursuant to </w:t>
      </w:r>
      <w:r>
        <w:rPr>
          <w:rFonts w:ascii="Times New Roman" w:cs="Times New Roman" w:eastAsia="Times New Roman" w:hAnsi="Times New Roman"/>
          <w:sz w:val="21"/>
          <w:szCs w:val="21"/>
          <w:u w:val="single" w:color="auto"/>
          <w:color w:val="auto"/>
        </w:rPr>
        <w:t>Section 10.6(a)</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505"/>
        <w:spacing w:after="0" w:line="261" w:lineRule="auto"/>
        <w:tabs>
          <w:tab w:leader="none" w:pos="1929"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Trustee, within one Business Day after receipt of any distribution or other proceeds in respect of the Assets which are not Cash, shall so notify the Issuer and the Issuer (or the Collateral Manager on behalf of the Issuer) shall use its commercially reasonable efforts to, within five Business Days after receipt of such notice from the Collateral</w:t>
      </w:r>
    </w:p>
    <w:p>
      <w:pPr>
        <w:spacing w:after="0" w:line="13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190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85"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22"/>
          <w:szCs w:val="22"/>
          <w:color w:val="auto"/>
        </w:rPr>
        <w:t xml:space="preserve">Trustee (or as soon as practicable thereafter), sell such distribution or other proceeds for Cash in an arm's length transaction and deposit the proceeds thereof in the Collection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Issuer (i) need not sell such distributions or other proceeds if it delivers an Issuer Order or an Officer's certificate to the Collateral Trustee certifying that such distributions or other proceeds constitute Collateral Obligations, Equity Securities or Eligible Investments or (ii) may otherwise retain such distribution or other proceeds for up to two years from the date of receipt thereof if it delivers an Officer's certificate to the Collateral Trustee certifying that (x) it will sell such distribution within such two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 period and (y) retaining such distribution is not otherwise prohibited by this Indenture.</w:t>
      </w:r>
    </w:p>
    <w:p>
      <w:pPr>
        <w:spacing w:after="0" w:line="182" w:lineRule="exact"/>
        <w:rPr>
          <w:sz w:val="20"/>
          <w:szCs w:val="20"/>
          <w:color w:val="auto"/>
        </w:rPr>
      </w:pPr>
    </w:p>
    <w:p>
      <w:pPr>
        <w:jc w:val="both"/>
        <w:ind w:firstLine="1505"/>
        <w:spacing w:after="0" w:line="233" w:lineRule="auto"/>
        <w:tabs>
          <w:tab w:leader="none" w:pos="1929"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when reinvestment is permitted pursuant to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xml:space="preserve">, the Collateral Manager on behalf of the Issuer may by Issuer Order direct the Collateral Trustee to, and upon receipt of and in accordance with such Issuer Order the Collateral Trustee shall, withdraw funds on deposit in the Principal Collection Subaccount representing Principal Proceeds (together with any Principal Financed Accrued Interest and Principal Financed Capitalized Interest) and reinvest (or invest, in the case of funds referred to in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such funds in additional Collateral Obligations or Restructured Assets, in each case in accordance with the requirements of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xml:space="preserve"> and such Issuer Order;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withdrawal is in connection with purchasing a Restructured Asset, the Collateral Manager shall not direct the withdrawal of any Principal Proceeds pursuant to this clause (c) unless the Collateral Manager determines (in its commercially reasonable judgment) that the failure to purchase such Restructured Asset is reasonably likely to result in a reduced overall recovery with respect to the related Collateral Obligation. At any time, the Collateral Manager on behalf of the Issuer may by Issuer Order direct the Collateral Trustee to, and upon receipt of such Issuer Order and in accordance therewith, the Collateral Trustee shall, withdraw funds on deposit in the Principal Collection Subaccount representing Principal Proceeds and deposit such funds in the Revolver Funding Account to meet funding requirements on Delayed Funding Restructured Assets, Delayed Drawdown Collateral Obligations or Revolving Collateral Obligations.</w:t>
      </w:r>
    </w:p>
    <w:p>
      <w:pPr>
        <w:spacing w:after="0" w:line="179"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Manager on behalf of the Issuer may by Issuer Order direct the Collateral Trustee to, and upon receipt of and in accordance with such Issuer Order the Collateral Trustee shall, pay from amounts on deposit in the Collection Account on any Business Day during any Interest Accrual Period (i) any amount required to purchase additional Collateral Obligations or acquire Restructured Assets (subject to the requirements described in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12.6</w:t>
      </w:r>
      <w:r>
        <w:rPr>
          <w:rFonts w:ascii="Times New Roman" w:cs="Times New Roman" w:eastAsia="Times New Roman" w:hAnsi="Times New Roman"/>
          <w:sz w:val="22"/>
          <w:szCs w:val="22"/>
          <w:color w:val="auto"/>
        </w:rPr>
        <w:t xml:space="preserve">) and (ii) from Interest Proceeds only, any Administrative Expenses (such payments to be counted against the Administrative Expense Cap for the applicable period and to be subject to the order of priority as stated in the definition of Administrative Expenses);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the aggregate Administrative Expenses paid pursuant to this </w:t>
      </w:r>
      <w:r>
        <w:rPr>
          <w:rFonts w:ascii="Times New Roman" w:cs="Times New Roman" w:eastAsia="Times New Roman" w:hAnsi="Times New Roman"/>
          <w:sz w:val="22"/>
          <w:szCs w:val="22"/>
          <w:u w:val="single" w:color="auto"/>
          <w:color w:val="auto"/>
        </w:rPr>
        <w:t>Section 10.2(d)</w:t>
      </w:r>
      <w:r>
        <w:rPr>
          <w:rFonts w:ascii="Times New Roman" w:cs="Times New Roman" w:eastAsia="Times New Roman" w:hAnsi="Times New Roman"/>
          <w:sz w:val="22"/>
          <w:szCs w:val="22"/>
          <w:color w:val="auto"/>
        </w:rPr>
        <w:t xml:space="preserve"> during any Collection Period shall not exceed the Administrative Expense Cap for the related Payment Date and (y) the payment of Administrative Expenses payable to the Collateral Trustee, Loan Agent, Collateral Administrator or the Bank in any capacity shall not require such direction by the Collateral Manager on behalf of the Issuer;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Collateral Trustee shall be entitled (but not required) without liability on its part, to refrain from making any such payment of an Administrative Expense pursuant to this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on any day other than a Payment Date if, in its reasonable determination, the payment of such amount is likely to leave insufficient funds available to pay in full each of the items described in </w:t>
      </w:r>
      <w:r>
        <w:rPr>
          <w:rFonts w:ascii="Times New Roman" w:cs="Times New Roman" w:eastAsia="Times New Roman" w:hAnsi="Times New Roman"/>
          <w:sz w:val="22"/>
          <w:szCs w:val="22"/>
          <w:u w:val="single" w:color="auto"/>
          <w:color w:val="auto"/>
        </w:rPr>
        <w:t>Section 11.1(a)(i)(A)</w:t>
      </w:r>
      <w:r>
        <w:rPr>
          <w:rFonts w:ascii="Times New Roman" w:cs="Times New Roman" w:eastAsia="Times New Roman" w:hAnsi="Times New Roman"/>
          <w:sz w:val="22"/>
          <w:szCs w:val="22"/>
          <w:color w:val="auto"/>
        </w:rPr>
        <w:t xml:space="preserve"> as reasonably anticipated to be or become due and payable on the next Payment Date, taking into account the</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191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Administrative Expense Cap; provided, further that if such payment is in connection with purchasing a Restructured Asset, the Collateral Manager shall not direct the payment of any amount on deposit in the Collection Account pursuant to this clause (d) unless the Collateral Manager determines (in its commercially reasonable judgment) that the failure to purchase such Restructured Asset is reasonably likely to result in a reduced overall recovery with respect to the related Collateral Obligation.</w:t>
      </w:r>
    </w:p>
    <w:p>
      <w:pPr>
        <w:spacing w:after="0" w:line="180" w:lineRule="exact"/>
        <w:rPr>
          <w:sz w:val="20"/>
          <w:szCs w:val="20"/>
          <w:color w:val="auto"/>
        </w:rPr>
      </w:pPr>
    </w:p>
    <w:p>
      <w:pPr>
        <w:jc w:val="both"/>
        <w:ind w:firstLine="1505"/>
        <w:spacing w:after="0" w:line="244" w:lineRule="auto"/>
        <w:tabs>
          <w:tab w:leader="none" w:pos="1929"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Effective Date Interest Deposit Condition is satisfied, on or before the Determination Date related to the second Payment Date after the Closing Date, the Collateral Trustee shall transfer from the Principal Collection Subaccount the amount (if any) designated by the Collateral Manager into the Collection Account as Interest Proceeds.</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Manager on behalf of the Issuer may by Issuer Order direct the Collateral Trustee to, and upon receipt of such Issuer Order the Collateral Trustee shall, transfer from amounts on deposit in the Interest Collection Subaccount to the Principal Collection Subaccount, (i) amounts necessary for application pursuant to </w:t>
      </w:r>
      <w:r>
        <w:rPr>
          <w:rFonts w:ascii="Times New Roman" w:cs="Times New Roman" w:eastAsia="Times New Roman" w:hAnsi="Times New Roman"/>
          <w:sz w:val="22"/>
          <w:szCs w:val="22"/>
          <w:u w:val="single" w:color="auto"/>
          <w:color w:val="auto"/>
        </w:rPr>
        <w:t>Section 7.18(e)</w:t>
      </w:r>
      <w:r>
        <w:rPr>
          <w:rFonts w:ascii="Times New Roman" w:cs="Times New Roman" w:eastAsia="Times New Roman" w:hAnsi="Times New Roman"/>
          <w:sz w:val="22"/>
          <w:szCs w:val="22"/>
          <w:color w:val="auto"/>
        </w:rPr>
        <w:t xml:space="preserve"> or (ii) on or before the Effective Date, any amount as directed by the Collateral Manager; provided that such transfer is not reasonably expected to cause any Debt to defer interest payments thereon.</w:t>
      </w:r>
    </w:p>
    <w:p>
      <w:pPr>
        <w:spacing w:after="0" w:line="176"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Trustee shall transfer to the Payment Account, from the Collection Account for application pursuant to </w:t>
      </w:r>
      <w:r>
        <w:rPr>
          <w:rFonts w:ascii="Times New Roman" w:cs="Times New Roman" w:eastAsia="Times New Roman" w:hAnsi="Times New Roman"/>
          <w:sz w:val="22"/>
          <w:szCs w:val="22"/>
          <w:u w:val="single" w:color="auto"/>
          <w:color w:val="auto"/>
        </w:rPr>
        <w:t>Section 11.1(a)</w:t>
      </w:r>
      <w:r>
        <w:rPr>
          <w:rFonts w:ascii="Times New Roman" w:cs="Times New Roman" w:eastAsia="Times New Roman" w:hAnsi="Times New Roman"/>
          <w:sz w:val="22"/>
          <w:szCs w:val="22"/>
          <w:color w:val="auto"/>
        </w:rPr>
        <w:t>, on the Business Day immediately preceding each Payment Date, the amount set forth to be so transferred in the Distribution Report for such Payment Date.</w:t>
      </w:r>
    </w:p>
    <w:p>
      <w:pPr>
        <w:spacing w:after="0" w:line="1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Indenture to the contrary, if the Issuer (or the Collateral Manager on the Issuer's behalf) elects to direct a Special Redemption of the Secured Debt pursuant to </w:t>
      </w:r>
      <w:r>
        <w:rPr>
          <w:rFonts w:ascii="Times New Roman" w:cs="Times New Roman" w:eastAsia="Times New Roman" w:hAnsi="Times New Roman"/>
          <w:sz w:val="22"/>
          <w:szCs w:val="22"/>
          <w:u w:val="single" w:color="auto"/>
          <w:color w:val="auto"/>
        </w:rPr>
        <w:t>Section 7.18(e)</w:t>
      </w:r>
      <w:r>
        <w:rPr>
          <w:rFonts w:ascii="Times New Roman" w:cs="Times New Roman" w:eastAsia="Times New Roman" w:hAnsi="Times New Roman"/>
          <w:sz w:val="22"/>
          <w:szCs w:val="22"/>
          <w:color w:val="auto"/>
        </w:rPr>
        <w:t xml:space="preserve"> above, the Issuer may use amounts on deposit in the Principal Collection Subaccount to make such Special Redemption on any Business Day (other than a Payment Date) to the extent necessary to obtain from S&amp;P its written confirmation of its Initial Ratings of the Secured Debt. Payments made in respect of the Debt in connection with such Special Redemption shall be paid in accordance with the Debt Payment Sequence. For the avoidance of doubt, such payments will be made without regard to the Priority of Payments.</w:t>
      </w:r>
    </w:p>
    <w:p>
      <w:pPr>
        <w:spacing w:after="0" w:line="181"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10.3</w:t>
      </w:r>
      <w:r>
        <w:rPr>
          <w:sz w:val="20"/>
          <w:szCs w:val="20"/>
          <w:color w:val="auto"/>
        </w:rPr>
        <w:tab/>
      </w:r>
      <w:r>
        <w:rPr>
          <w:rFonts w:ascii="Times New Roman" w:cs="Times New Roman" w:eastAsia="Times New Roman" w:hAnsi="Times New Roman"/>
          <w:sz w:val="21"/>
          <w:szCs w:val="21"/>
          <w:u w:val="single" w:color="auto"/>
          <w:color w:val="auto"/>
        </w:rPr>
        <w:t>Transaction Accounts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48" w:lineRule="exact"/>
        <w:tabs>
          <w:tab w:leader="none" w:pos="1943"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Account</w:t>
      </w:r>
      <w:r>
        <w:rPr>
          <w:rFonts w:ascii="Times New Roman" w:cs="Times New Roman" w:eastAsia="Times New Roman" w:hAnsi="Times New Roman"/>
          <w:sz w:val="22"/>
          <w:szCs w:val="22"/>
          <w:color w:val="auto"/>
        </w:rPr>
        <w:t>. In accordance with this Indenture and the Securities Account Control Agreement, the Issuer shall, prior to the Closing Date, cause the Collateral Trustee to establish at the Custodian a single, segregated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interest bearing account held in the name of the Issuer, subject to the lien of the Collateral Trustee, which shall be designated as the Payment Account, which shall be maintained with the Custodian in accordance with the Securities Account Control Agreement. Except as provided in </w:t>
      </w:r>
      <w:r>
        <w:rPr>
          <w:rFonts w:ascii="Times New Roman" w:cs="Times New Roman" w:eastAsia="Times New Roman" w:hAnsi="Times New Roman"/>
          <w:sz w:val="22"/>
          <w:szCs w:val="22"/>
          <w:u w:val="single" w:color="auto"/>
          <w:color w:val="auto"/>
        </w:rPr>
        <w:t>Section 11.1(a)</w:t>
      </w:r>
      <w:r>
        <w:rPr>
          <w:rFonts w:ascii="Times New Roman" w:cs="Times New Roman" w:eastAsia="Times New Roman" w:hAnsi="Times New Roman"/>
          <w:sz w:val="22"/>
          <w:szCs w:val="22"/>
          <w:color w:val="auto"/>
        </w:rPr>
        <w:t>, the only permitted withdrawal from or application of funds on deposit in, or otherwise to the credit of, the Payment Account shall be to pay amounts due and payable on the Secured Debt and, if applicable, distributions on the Subordinated Notes in accordance with their terms and the provisions of this Indenture and, upon Issuer Order, to pay Administrative Expenses, fees and other amounts due and owing to the Collateral Manager under the Collateral Management Agreement and other amounts specified herein, each in accordance with the Priority of Payments. The Issuer shall not have any legal,</w:t>
      </w:r>
    </w:p>
    <w:p>
      <w:pPr>
        <w:spacing w:after="0" w:line="161"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192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equitable or beneficial interest in the Payment Account other than in accordance with this Indenture (including the Priority of Payments) and the Securities Account Control Agreement. Amounts in the Payment Account shall remain uninvested.</w:t>
      </w:r>
    </w:p>
    <w:p>
      <w:pPr>
        <w:spacing w:after="0" w:line="158" w:lineRule="exact"/>
        <w:rPr>
          <w:sz w:val="20"/>
          <w:szCs w:val="20"/>
          <w:color w:val="auto"/>
        </w:rPr>
      </w:pPr>
    </w:p>
    <w:p>
      <w:pPr>
        <w:jc w:val="both"/>
        <w:ind w:firstLine="1505"/>
        <w:spacing w:after="0" w:line="248" w:lineRule="exact"/>
        <w:tabs>
          <w:tab w:leader="none" w:pos="1929"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Custodial Account</w:t>
      </w:r>
      <w:r>
        <w:rPr>
          <w:rFonts w:ascii="Times New Roman" w:cs="Times New Roman" w:eastAsia="Times New Roman" w:hAnsi="Times New Roman"/>
          <w:sz w:val="22"/>
          <w:szCs w:val="22"/>
          <w:color w:val="auto"/>
        </w:rPr>
        <w:t>. In accordance with this Indenture and the Securities Account Control Agreement, the Issuer shall, prior to the Closing Date, cause the Collateral Trustee to establish at the Custodian a single, segregated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interest bearing account held in the name of the Issuer, subject to the lien of the Collateral Trustee, which shall be designated as the Custodial Account, which shall be maintained with the Custodian in accordance with the Securities Account Control Agreement. All Collateral Obligations shall be credited to the Custodial Account. The only permitted withdrawals from the Custodial Account shall be in accordance with the provisions of this Indenture. The Collateral Trustee agrees to give the Issuer prompt notice if (to the actual knowledge of a Trust Officer of the Collateral Trustee) the Custodial Account or any assets or securities on deposit therein, or otherwise to the credit of the Custodial Account, shall become subject to any writ, order, judgment, warrant of attachment, execution or similar process. The Issuer shall not have any legal, equitable or beneficial interest in the Custodial Account other than in accordance with this Indenture and the Priority of Payments. Amounts in the Custodial Account shall remain uninvested.‎</w:t>
      </w:r>
    </w:p>
    <w:p>
      <w:pPr>
        <w:spacing w:after="0" w:line="143" w:lineRule="exact"/>
        <w:rPr>
          <w:rFonts w:ascii="Times New Roman" w:cs="Times New Roman" w:eastAsia="Times New Roman" w:hAnsi="Times New Roman"/>
          <w:sz w:val="22"/>
          <w:szCs w:val="22"/>
          <w:color w:val="auto"/>
        </w:rPr>
      </w:pPr>
    </w:p>
    <w:p>
      <w:pPr>
        <w:jc w:val="both"/>
        <w:ind w:firstLine="1505"/>
        <w:spacing w:after="0" w:line="257" w:lineRule="exact"/>
        <w:tabs>
          <w:tab w:leader="none" w:pos="1929"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Ramp</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Up Account</w:t>
      </w:r>
      <w:r>
        <w:rPr>
          <w:rFonts w:ascii="Times New Roman" w:cs="Times New Roman" w:eastAsia="Times New Roman" w:hAnsi="Times New Roman"/>
          <w:sz w:val="22"/>
          <w:szCs w:val="22"/>
          <w:color w:val="auto"/>
        </w:rPr>
        <w:t>. In accordance with this Indenture and the Securities Account Control Agreement, the Issuer shall, prior to the Closing Date, cause the Collateral Trustee to establish at the Custodian a single, segregated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interest bearing account held in the name of the Issuer, subject to the lien of the Collateral Trustee, which shall be designated as the Ramp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Up Account, which shall be maintained with the Custodian in accordance with the Securities Account Control Agreement. The Issuer shall direct the Collateral Trustee to deposit the amount specified in </w:t>
      </w:r>
      <w:r>
        <w:rPr>
          <w:rFonts w:ascii="Times New Roman" w:cs="Times New Roman" w:eastAsia="Times New Roman" w:hAnsi="Times New Roman"/>
          <w:sz w:val="22"/>
          <w:szCs w:val="22"/>
          <w:u w:val="single" w:color="auto"/>
          <w:color w:val="auto"/>
        </w:rPr>
        <w:t>Section 3.1(k)(i)</w:t>
      </w:r>
      <w:r>
        <w:rPr>
          <w:rFonts w:ascii="Times New Roman" w:cs="Times New Roman" w:eastAsia="Times New Roman" w:hAnsi="Times New Roman"/>
          <w:sz w:val="22"/>
          <w:szCs w:val="22"/>
          <w:color w:val="auto"/>
        </w:rPr>
        <w:t xml:space="preserve"> to the Ramp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Account on the Closing Date. In connection with any purchase of an additional Collateral Obligation, the Collateral Trustee will apply amounts held in the Ramp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Up Account as provided by </w:t>
      </w:r>
      <w:r>
        <w:rPr>
          <w:rFonts w:ascii="Times New Roman" w:cs="Times New Roman" w:eastAsia="Times New Roman" w:hAnsi="Times New Roman"/>
          <w:sz w:val="22"/>
          <w:szCs w:val="22"/>
          <w:u w:val="single" w:color="auto"/>
          <w:color w:val="auto"/>
        </w:rPr>
        <w:t>Section 7.18(b)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7.18(g)</w:t>
      </w:r>
      <w:r>
        <w:rPr>
          <w:rFonts w:ascii="Times New Roman" w:cs="Times New Roman" w:eastAsia="Times New Roman" w:hAnsi="Times New Roman"/>
          <w:sz w:val="22"/>
          <w:szCs w:val="22"/>
          <w:color w:val="auto"/>
        </w:rPr>
        <w:t xml:space="preserve"> (as directed by the Collateral Manager). Any income earned on amounts deposited in the Ramp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Account will be deposited in the Interest Collection Subaccount. All other amounts on deposit in the Ramp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Account will be deemed to represent Principal Proceeds. On or before the Determination Date related to the second Payment Date after the Closing Date, the Collateral Trustee shall transfer from amounts on deposit in the Ramp-Up Account the amount (if any) designated by the Collateral Manager into the Collection Account as Interest Proceeds, so long as the Collateral Manager determines the Effective Date Interest Deposit Condition is satisfied in connection therewith. On the Determination Date relating to the second Payment Date after the Closing Date or upon the occurrence and during the continuance of an Enforcement Event (and excluding any proceeds that will be used to settle binding commitments entered into prior to such date), the Collateral Trustee will deposit any remaining amounts in the Ramp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Account into the Principal Collection Subaccount as Principal Proceeds and the Ramp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Account will be closed (after all proceeds, if any, used to settle binding commitments have been disbursed from the Ramp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Account).</w:t>
      </w:r>
    </w:p>
    <w:p>
      <w:pPr>
        <w:spacing w:after="0" w:line="162" w:lineRule="exact"/>
        <w:rPr>
          <w:rFonts w:ascii="Times New Roman" w:cs="Times New Roman" w:eastAsia="Times New Roman" w:hAnsi="Times New Roman"/>
          <w:sz w:val="22"/>
          <w:szCs w:val="22"/>
          <w:color w:val="auto"/>
        </w:rPr>
      </w:pPr>
    </w:p>
    <w:p>
      <w:pPr>
        <w:jc w:val="both"/>
        <w:ind w:firstLine="1505"/>
        <w:spacing w:after="0" w:line="271" w:lineRule="exact"/>
        <w:tabs>
          <w:tab w:leader="none" w:pos="1983"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 Reserve Account</w:t>
      </w:r>
      <w:r>
        <w:rPr>
          <w:rFonts w:ascii="Times New Roman" w:cs="Times New Roman" w:eastAsia="Times New Roman" w:hAnsi="Times New Roman"/>
          <w:sz w:val="21"/>
          <w:szCs w:val="21"/>
          <w:color w:val="auto"/>
        </w:rPr>
        <w:t>. In accordance with this Indenture and the Securities Account Control Agreement, the Issuer shall, prior to the Closing Date, cause the Collateral Trustee to establish at the Custodian a single, segregated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interest bearing account held in the name of the Issuer, subject to the lien of the Collateral Trustee, which shall be</w:t>
      </w:r>
    </w:p>
    <w:p>
      <w:pPr>
        <w:spacing w:after="0" w:line="12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193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designated as the Expense Reserve Account, which shall be maintained with the Custodian in accordance with the Securities Account Control Agreement. The Issuer shall direct the Collateral Trustee to deposit to the Expense Reserve Account (i) the amount specified in </w:t>
      </w:r>
      <w:r>
        <w:rPr>
          <w:rFonts w:ascii="Times New Roman" w:cs="Times New Roman" w:eastAsia="Times New Roman" w:hAnsi="Times New Roman"/>
          <w:sz w:val="22"/>
          <w:szCs w:val="22"/>
          <w:u w:val="single" w:color="auto"/>
          <w:color w:val="auto"/>
        </w:rPr>
        <w:t>Section 3.1(k)(ii)</w:t>
      </w:r>
      <w:r>
        <w:rPr>
          <w:rFonts w:ascii="Times New Roman" w:cs="Times New Roman" w:eastAsia="Times New Roman" w:hAnsi="Times New Roman"/>
          <w:sz w:val="22"/>
          <w:szCs w:val="22"/>
          <w:color w:val="auto"/>
        </w:rPr>
        <w:t xml:space="preserve"> and (ii) any amounts designated by the Collateral Manager for deposit into the Expense Reserve Account pursuant to </w:t>
      </w:r>
      <w:r>
        <w:rPr>
          <w:rFonts w:ascii="Times New Roman" w:cs="Times New Roman" w:eastAsia="Times New Roman" w:hAnsi="Times New Roman"/>
          <w:sz w:val="22"/>
          <w:szCs w:val="22"/>
          <w:u w:val="single" w:color="auto"/>
          <w:color w:val="auto"/>
        </w:rPr>
        <w:t>Section 11.1(a)(i)(M)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11.1(a)(ii)(N)</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11.1(a)(iii)(Q)</w:t>
      </w:r>
      <w:r>
        <w:rPr>
          <w:rFonts w:ascii="Times New Roman" w:cs="Times New Roman" w:eastAsia="Times New Roman" w:hAnsi="Times New Roman"/>
          <w:sz w:val="22"/>
          <w:szCs w:val="22"/>
          <w:color w:val="auto"/>
        </w:rPr>
        <w:t>. On any Business Day from and including the Closing Date, the Collateral Trustee shall apply funds from the Expense Reserve Account, as directed by the Collateral Manager, (i) to pay expenses of the Issuer incurred in connection with the establishment of the Issuer, the structuring and consummation of the Offering, the issuance of the Notes and the incurrence of the Class A-1 Loans, (ii) from time to time to pay accrued and unpaid Administrative Expenses of the Issuer or (iii) to the Collection Account as Principal Proceeds or Interest Proceeds (as designated by the Collateral Manager). Any income earned on amounts deposited in the Expense Reserve Account will be deposited in the Interest Collection Subaccount as Interest Proceeds as it is received.</w:t>
      </w:r>
    </w:p>
    <w:p>
      <w:pPr>
        <w:spacing w:after="0" w:line="179" w:lineRule="exact"/>
        <w:rPr>
          <w:sz w:val="20"/>
          <w:szCs w:val="20"/>
          <w:color w:val="auto"/>
        </w:rPr>
      </w:pPr>
    </w:p>
    <w:p>
      <w:pPr>
        <w:jc w:val="both"/>
        <w:ind w:firstLine="1505"/>
        <w:spacing w:after="0" w:line="247" w:lineRule="exact"/>
        <w:tabs>
          <w:tab w:leader="none" w:pos="1997"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Reserve Account</w:t>
      </w:r>
      <w:r>
        <w:rPr>
          <w:rFonts w:ascii="Times New Roman" w:cs="Times New Roman" w:eastAsia="Times New Roman" w:hAnsi="Times New Roman"/>
          <w:sz w:val="22"/>
          <w:szCs w:val="22"/>
          <w:color w:val="auto"/>
        </w:rPr>
        <w:t>. In accordance with this Indenture and the Securities Account Control Agreement, the Issuer shall, prior to the Closing Date, cause the Collateral Trustee to establish at the Custodian a single, segregated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interest bearing account held in the name of the Issuer, subject to the lien of the Collateral Trustee, which shall be designated as the Interest Reserve Account, which shall be maintained with the Custodian in accordance with the Securities Account Control Agreement. Pursuant to </w:t>
      </w:r>
      <w:r>
        <w:rPr>
          <w:rFonts w:ascii="Times New Roman" w:cs="Times New Roman" w:eastAsia="Times New Roman" w:hAnsi="Times New Roman"/>
          <w:sz w:val="22"/>
          <w:szCs w:val="22"/>
          <w:u w:val="single" w:color="auto"/>
          <w:color w:val="auto"/>
        </w:rPr>
        <w:t>Section 3.1(k)(iii)</w:t>
      </w:r>
      <w:r>
        <w:rPr>
          <w:rFonts w:ascii="Times New Roman" w:cs="Times New Roman" w:eastAsia="Times New Roman" w:hAnsi="Times New Roman"/>
          <w:sz w:val="22"/>
          <w:szCs w:val="22"/>
          <w:color w:val="auto"/>
        </w:rPr>
        <w:t>, the Issuer shall direct the Collateral Trustee to deposit the Interest Reserve Amount into the Interest Reserve Account. Such Interest Reserve Amount will be transferred to the Collection Account as Interest Proceeds on the Determination Date relating to the first Payment Date unless the Collateral Manager, in its discretion, provides prior written notice to the Collateral Trustee that such Interest Reserve Amount shall not be so transferred and should instead be held in the Interest Reserve Account for application in accordance with this Indenture, including: (i) prior to the second Payment Date, at the discretion of the Collateral Manager, to the Collection Account as Interest Proceeds or to the Collection Account (or, prior to the Effective Date, the Ramp Up Account) as Principal Proceeds (as designated by the Collateral Manager) and (ii) amounts remaining in the Interest Reserve Account after the second Payment Date will be transferred to the Collection Account as Interest Proceeds or Principal Proceeds (as designated by the Collateral Manager).</w:t>
      </w:r>
    </w:p>
    <w:p>
      <w:pPr>
        <w:spacing w:after="0" w:line="182" w:lineRule="exact"/>
        <w:rPr>
          <w:rFonts w:ascii="Times New Roman" w:cs="Times New Roman" w:eastAsia="Times New Roman" w:hAnsi="Times New Roman"/>
          <w:sz w:val="22"/>
          <w:szCs w:val="22"/>
          <w:color w:val="auto"/>
        </w:rPr>
      </w:pPr>
    </w:p>
    <w:p>
      <w:pPr>
        <w:jc w:val="both"/>
        <w:ind w:firstLine="1505"/>
        <w:spacing w:after="0" w:line="249" w:lineRule="exact"/>
        <w:tabs>
          <w:tab w:leader="none" w:pos="1943"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Contribution Account</w:t>
      </w:r>
      <w:r>
        <w:rPr>
          <w:rFonts w:ascii="Times New Roman" w:cs="Times New Roman" w:eastAsia="Times New Roman" w:hAnsi="Times New Roman"/>
          <w:sz w:val="21"/>
          <w:szCs w:val="21"/>
          <w:color w:val="auto"/>
        </w:rPr>
        <w:t>. In accordance with this Indenture and the Securities Account Control Agreement, the Issuer shall, prior to the Closing Date, cause the Collateral Trustee to establish at the Custodian a single, segregated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interest bearing account held in the name of the Issuer, subject to the lien of the Collateral Trustee, which shall be designated as the Contribution Account, which shall be maintained with the Custodian in accordance with the Securities Account Control Agreement. Each Cash Contribution will be received into the Contribution Account, and the Collateral Manager, on behalf of the Issuer, will apply such Contribution to the Permitted Use directed by the applicable Contributor at the time such Contribution is made (or, if no such direction is given by the Contributor, at the direction of the Collateral Manager in its sole discretion). No Contribution or any portion thereof will be returned to the Contributor at any time. Any income earned on amounts deposited in the Contribution Account will be deposited in the Interest Collection Subaccount as Interest Proceeds.</w:t>
      </w:r>
    </w:p>
    <w:p>
      <w:pPr>
        <w:spacing w:after="0" w:line="180"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10.4 The Revolver Funding Account</w:t>
      </w:r>
      <w:r>
        <w:rPr>
          <w:rFonts w:ascii="Times New Roman" w:cs="Times New Roman" w:eastAsia="Times New Roman" w:hAnsi="Times New Roman"/>
          <w:sz w:val="22"/>
          <w:szCs w:val="22"/>
          <w:color w:val="auto"/>
        </w:rPr>
        <w:t xml:space="preserve"> . Upon the purchase or acquisition of any Delayed Funding Restructured Asset, Delayed Drawdown Collateral Obligation or</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194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85" w:lineRule="exact"/>
        <w:rPr>
          <w:sz w:val="20"/>
          <w:szCs w:val="20"/>
          <w:color w:val="auto"/>
        </w:rPr>
      </w:pPr>
    </w:p>
    <w:p>
      <w:pPr>
        <w:jc w:val="both"/>
        <w:spacing w:after="0" w:line="247" w:lineRule="exact"/>
        <w:rPr>
          <w:sz w:val="20"/>
          <w:szCs w:val="20"/>
          <w:color w:val="auto"/>
        </w:rPr>
      </w:pPr>
      <w:r>
        <w:rPr>
          <w:rFonts w:ascii="Times New Roman" w:cs="Times New Roman" w:eastAsia="Times New Roman" w:hAnsi="Times New Roman"/>
          <w:sz w:val="22"/>
          <w:szCs w:val="22"/>
          <w:color w:val="auto"/>
        </w:rPr>
        <w:t>Revolving Collateral Obligation identified by the Collateral Manager via written notice to the Collateral Trustee, funds in an amount equal to the undrawn portion of such obligation shall be withdrawn at the direction of the Collateral Manager first from the Principal Collection Subaccount and, if necessary, from the Ramp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Account and deposited by the Collateral Trustee in a single, segregated account established (in accordance with this Indenture and the Securities Account Control Agreement) at the Custodian and held in the name of the Issuer, subject to the lien of the Collateral Trustee (the "</w:t>
      </w:r>
      <w:r>
        <w:rPr>
          <w:rFonts w:ascii="Times New Roman" w:cs="Times New Roman" w:eastAsia="Times New Roman" w:hAnsi="Times New Roman"/>
          <w:sz w:val="22"/>
          <w:szCs w:val="22"/>
          <w:u w:val="single" w:color="auto"/>
          <w:color w:val="auto"/>
        </w:rPr>
        <w:t>Revolver Funding Account</w:t>
      </w:r>
      <w:r>
        <w:rPr>
          <w:rFonts w:ascii="Times New Roman" w:cs="Times New Roman" w:eastAsia="Times New Roman" w:hAnsi="Times New Roman"/>
          <w:sz w:val="22"/>
          <w:szCs w:val="22"/>
          <w:color w:val="auto"/>
        </w:rPr>
        <w:t xml:space="preserve">"). The Issuer shall direct the Collateral Trustee to deposit the amount specified in </w:t>
      </w:r>
      <w:r>
        <w:rPr>
          <w:rFonts w:ascii="Times New Roman" w:cs="Times New Roman" w:eastAsia="Times New Roman" w:hAnsi="Times New Roman"/>
          <w:sz w:val="22"/>
          <w:szCs w:val="22"/>
          <w:u w:val="single" w:color="auto"/>
          <w:color w:val="auto"/>
        </w:rPr>
        <w:t>Section 3.1(k)(iv)</w:t>
      </w:r>
      <w:r>
        <w:rPr>
          <w:rFonts w:ascii="Times New Roman" w:cs="Times New Roman" w:eastAsia="Times New Roman" w:hAnsi="Times New Roman"/>
          <w:sz w:val="22"/>
          <w:szCs w:val="22"/>
          <w:color w:val="auto"/>
        </w:rPr>
        <w:t xml:space="preserve"> to the Revolver Funding Account. Upon initial purchase or acquisition of any such obligations, funds deposited in the Revolver Funding Account in respect of any Delayed Funding Restructured Asset, Delayed Drawdown Collateral Obligation or Revolving Collateral Obligation will be treated as part of the purchase price therefor. Amounts on deposit in the Revolver Funding Account will be invested in overnight funds that are Eligible Investments selected by the Collateral Manager pursuant to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and earnings from all such investments will be deposited in the Interest Collection Subaccount as Interest Proceeds. All other amounts held in the Revolver Funding Account will be deemed to represent Principal Proceeds.</w:t>
      </w:r>
    </w:p>
    <w:p>
      <w:pPr>
        <w:spacing w:after="0" w:line="18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The Issuer shall, at all times, maintain sufficient funds on deposit in the Revolver Funding Account such that the sum of the amount of funds on deposit in the Revolver Funding Account shall be at least equal to the sum of the unfunded funding obligations under all such Delayed Funding Restructured Assets, Delayed Drawdown Collateral Obligations and Revolving Collateral Obligations then included in the Assets. Funds shall be deposited in the Revolver Funding Account upon the purchase of any Delayed Funding Restructured Asset, Delayed Drawdown Collateral Obligation or Revolving Collateral Obligation and upon the receipt by the Issuer of any Principal Proceeds with respect to a Revolving Collateral Obligation as directed by the Collateral Manager on behalf of the Issuer. In the event of any shortfall in the Revolver Funding Account, the Collateral Manager (on behalf of the Issuer) may direct the Collateral Trustee to, and the Collateral Trustee thereafter shall, transfer funds in an amount equal to such shortfall from the Principal Collection Subaccount to the Revolver Funding Account. The Collateral Trustee shall not be responsible at any time for determining whether any such shortfall in the Revolver Funding Account exists.</w:t>
      </w:r>
    </w:p>
    <w:p>
      <w:pPr>
        <w:spacing w:after="0" w:line="18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Any funds in the Revolver Funding Account (other than earnings from Eligible Investments therein) will be treated as Principal Proceeds and will be available solely to cover any drawdowns on the Delayed Funding Restructured Assets, Delayed Drawdown Collateral Obligations and Revolving Collateral Obligations as directed by the Collateral Manager;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excess of (A) the amounts on deposit in the Revolver Funding Account over (B) the sum of the unfunded funding obligations under all Delayed Funding Restructured Asset, Delayed Drawdown Collateral Obligations and Revolving Collateral Obligations that are included in the Assets (which excess may occur for any reason, including upon (i) the sale or maturity of a Delayed Funding Restructured Asset, Delayed Drawdown Collateral Obligation or Revolving Collateral Obligation, (ii) the occurrence of an event of default with respect to any such Delayed Funding Restructured Asset, Delayed Drawdown Collateral Obligation or Revolving Collateral Obligation or (iii) any other event or circumstance which results in the irrevocable reduction of the undrawn commitments under such Delayed Funding Restructured Asset, Delayed Drawdown Collateral Obligation or Revolving Collateral Obligation) may be transferred by the Collateral Trustee (at the</w:t>
      </w:r>
    </w:p>
    <w:p>
      <w:pPr>
        <w:spacing w:after="0" w:line="16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195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written direction of the Collateral Manager on behalf of the Issuer) from time to time as Principal Proceeds to the Principal Collection Subaccount.</w:t>
      </w:r>
    </w:p>
    <w:p>
      <w:pPr>
        <w:spacing w:after="0" w:line="158"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10.5 Contributions</w:t>
      </w:r>
      <w:r>
        <w:rPr>
          <w:rFonts w:ascii="Times New Roman" w:cs="Times New Roman" w:eastAsia="Times New Roman" w:hAnsi="Times New Roman"/>
          <w:sz w:val="22"/>
          <w:szCs w:val="22"/>
          <w:color w:val="auto"/>
        </w:rPr>
        <w:t xml:space="preserve"> . At any time during or after the Reinvestment Period, with the consent of the Collateral Manager and with notice to the Collateral Trustee and the Loan Agent (delivered at least three Business Days prior to the contribution date), any holder of Subordinated Notes (each such holder, a "</w:t>
      </w:r>
      <w:r>
        <w:rPr>
          <w:rFonts w:ascii="Times New Roman" w:cs="Times New Roman" w:eastAsia="Times New Roman" w:hAnsi="Times New Roman"/>
          <w:sz w:val="22"/>
          <w:szCs w:val="22"/>
          <w:u w:val="single" w:color="auto"/>
          <w:color w:val="auto"/>
        </w:rPr>
        <w:t>Contributor</w:t>
      </w:r>
      <w:r>
        <w:rPr>
          <w:rFonts w:ascii="Times New Roman" w:cs="Times New Roman" w:eastAsia="Times New Roman" w:hAnsi="Times New Roman"/>
          <w:sz w:val="22"/>
          <w:szCs w:val="22"/>
          <w:color w:val="auto"/>
        </w:rPr>
        <w:t>") may, but shall not be required to, for any Permitted Use, (A) make contributions of cash, Eligible Investments and Collateral Obligations to the Issuer or (B) return to the Collateral Trustee any portion of Interest Proceeds or Principal Proceeds that was distributed on such Subordinated Notes in accordance with the Priority of Payments (each, a "</w:t>
      </w: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and each Contribution of cash or Eligible Investments, a "</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other than Contributions to make payments in connection with the exercise of an option, warrant, right of conversion, preemptive right, rights offering, credit bid or similar right in connection with the workout or restructuring of a Collateral Obligation (for which no such minimum will apply), the aggregate Contributions received by the Issuer on any one date may not be less than $1,000,000. For the avoidance of doubt, Contributions shall not include any deemed capital contribution by the Transferor to the Issuer in connection with the acquisition by the Issuer of any Collateral Obligation as provided in the Transaction Documents. Each Contribution of Collateral Obligations accepted by the Collateral Manager shall be received into the Custodial Account. Each Cash Contribution accepted by the Collateral Manager shall be received into the Contribution Account and shall be applied by the Collateral Manager, on behalf of the Issuer, to the Permitted Use directed by the applicable Contributor at the time such Contribution is made (or, if no direction is given by the applicable Contributor, at the direction of the Collateral Manager in its sole discretion). No Contribution or any portion thereof will be returned to the Contributor at any time. Any income earned on amounts on deposit in the Contribution Account will be deposited into the Interest Collection Subaccount as Interest Proceeds.</w:t>
      </w:r>
    </w:p>
    <w:p>
      <w:pPr>
        <w:spacing w:after="0" w:line="188" w:lineRule="exact"/>
        <w:rPr>
          <w:sz w:val="20"/>
          <w:szCs w:val="20"/>
          <w:color w:val="auto"/>
        </w:rPr>
      </w:pPr>
    </w:p>
    <w:p>
      <w:pPr>
        <w:jc w:val="both"/>
        <w:ind w:firstLine="1497"/>
        <w:spacing w:after="0" w:line="246" w:lineRule="exact"/>
        <w:rPr>
          <w:sz w:val="20"/>
          <w:szCs w:val="20"/>
          <w:color w:val="auto"/>
        </w:rPr>
      </w:pPr>
      <w:r>
        <w:rPr>
          <w:rFonts w:ascii="Times New Roman" w:cs="Times New Roman" w:eastAsia="Times New Roman" w:hAnsi="Times New Roman"/>
          <w:sz w:val="22"/>
          <w:szCs w:val="22"/>
          <w:u w:val="single" w:color="auto"/>
          <w:color w:val="auto"/>
        </w:rPr>
        <w:t>Section 10.6 Reinvestment of Funds in Accounts; Reports by Collateral Trustee</w:t>
      </w:r>
      <w:r>
        <w:rPr>
          <w:rFonts w:ascii="Times New Roman" w:cs="Times New Roman" w:eastAsia="Times New Roman" w:hAnsi="Times New Roman"/>
          <w:sz w:val="22"/>
          <w:szCs w:val="22"/>
          <w:color w:val="auto"/>
        </w:rPr>
        <w:t>. (a) By Issuer Order (which may be in the form of standing instructions), the Issuer (or the Collateral Manager on behalf of the Issuer) shall at all times direct the Collateral Trustee to, and, upon receipt of such Issuer Order, the Collateral Trustee shall, invest all funds on deposit in the Collection Account, the Ramp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Account, the Revolver Funding Account, the Expense Reserve Account and the Contribution Account, as so directed in Eligible Investments having stated maturities no later than the Business Day preceding the next Payment Date unless issued by the Bank in accordance with the definition of the term "Eligible Investment" (or such other maturities expressly provided herein). If, prior to the occurrence of an Event of Default, the Issuer shall not have given any such investment directions, the Collateral Trustee shall invest and reinvest the funds held in such accounts, as fully as practicable, in the Standby Directed Investment. If the Issuer (or the Collateral Manager on behalf of the Issuer) has not specified a Standby Directed Investment in writing that meets the requirements of the definition thereof, the funds held in such accounts shall remain uninvested. If after the occurrence of an Event of Default, the Issuer shall not have given such investment directions to the Collateral Trustee for three consecutive days, the Collateral Trustee shall invest and reinvest such Monies as fully as practicable in the Standby Directed Investment unless and until contrary investment instructions as provided in the preceding sentence are received or the Collateral Trustee receives a written instruction from the Issuer, or the Collateral Manager on behalf of the Issuer, changing the Standby Directed Investment. Except to</w:t>
      </w:r>
    </w:p>
    <w:p>
      <w:pPr>
        <w:spacing w:after="0" w:line="170"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196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 extent expressly provided otherwise herein, all interest and other income from such investments shall be deposited in the Interest Collection Subaccount, any gain realized from such investments shall be credited to the Principal Collection Subaccount upon receipt, and any loss resulting from such investments shall be charged to the Principal Collection Subaccount. The Collateral Trustee shall not in any way be held liable by reason of any insufficiency of such accounts which results from any loss relating to any such investment;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relieve the Bank of (i) its obligations or liabilities under any security or obligation issued by the Bank or any Affiliate thereof or (ii) liability for any loss resulting from gross negligence, willful misconduct or fraud on the part of the Bank or any Affiliate thereof. ‎ The Collateral Trustee is hereby authorized, in making or disposing of any investment permitted by this ‎Indenture, to deal with itself (in its individual capacity) or with any one</w:t>
      </w:r>
    </w:p>
    <w:p>
      <w:pPr>
        <w:spacing w:after="0" w:line="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or more of its affiliates, whether‎ it or any such affiliate is acting as agent of the Collateral Trustee or for any third person or ‎dealing as principal for its own account. The parties acknowledge that the Collateral Trustee is not ‎providing investment supervision, recommendations, or advice.</w:t>
      </w:r>
    </w:p>
    <w:p>
      <w:pPr>
        <w:spacing w:after="0" w:line="178" w:lineRule="exact"/>
        <w:rPr>
          <w:sz w:val="20"/>
          <w:szCs w:val="20"/>
          <w:color w:val="auto"/>
        </w:rPr>
      </w:pPr>
    </w:p>
    <w:p>
      <w:pPr>
        <w:jc w:val="both"/>
        <w:ind w:firstLine="1505"/>
        <w:spacing w:after="0" w:line="244" w:lineRule="auto"/>
        <w:tabs>
          <w:tab w:leader="none" w:pos="1929"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agrees to give the Issuer prompt written notice if a Trust Officer of the Collateral Trustee has actual knowledge that any Account or any funds on deposit in any Account, or otherwise to the credit of an Account, shall become subject to any writ, order, judgment, warrant of attachment, execution or similar process.</w:t>
      </w:r>
    </w:p>
    <w:p>
      <w:pPr>
        <w:spacing w:after="0" w:line="173"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Trustee shall supply, in a timely fashion, to the Issuer, each Rating Agency, the Collateral Administrator, the Collateral Trustee, the Loan Agent and the Collateral Manager any information regularly maintained by the Collateral Trustee that the Issuer, the Rating Agencies, the Collateral Administrator or the Collateral Manager may from time to time reasonably request with respect to the Assets, the Accounts and the other Assets and provide any other requested information reasonably available to the Collateral Trustee by reason of its acting as Collateral Trustee hereunder and required to be provided by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or to permit the Collateral Manager to perform its obligations under the Collateral Management Agreement or the Issuer's obligations hereunder that have been delegated to the Collateral Manager. The Collateral Trustee shall promptly forward to the Collateral Manager copies of notices and other writings received by it from the Obligor or issuer of any Asset or from any Clearing Agency with respect to any Asset which notices or writings advise the holders of such Asset of any rights that the holders might have with respect thereto (including, without limitation, requests to vote with respect to amendments or waivers and notices of prepayments and redemptions) as well as all periodic financial reports received from such Obligor or issuer and Clearing Agencies with respect to such Obligor or issuer.</w:t>
      </w:r>
    </w:p>
    <w:p>
      <w:pPr>
        <w:spacing w:after="0" w:line="184" w:lineRule="exact"/>
        <w:rPr>
          <w:rFonts w:ascii="Times New Roman" w:cs="Times New Roman" w:eastAsia="Times New Roman" w:hAnsi="Times New Roman"/>
          <w:sz w:val="22"/>
          <w:szCs w:val="22"/>
          <w:color w:val="auto"/>
        </w:rPr>
      </w:pPr>
    </w:p>
    <w:p>
      <w:pPr>
        <w:jc w:val="both"/>
        <w:ind w:firstLine="1505"/>
        <w:spacing w:after="0" w:line="249" w:lineRule="exact"/>
        <w:tabs>
          <w:tab w:leader="none" w:pos="1929"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U.S. tax reporting purposes, the Issuer (or any person from whom the Issuer is disregarded as a separate entity for U.S. federal income tax purposes as documented in the IRS forms and other documentation described below) shall be treated as the payee of all income earned on the funds invested and allocable to the Accounts. The Issuer will provide to the Collateral Trustee (i) an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 or applicable IRS Form W-8 no later than the date hereof, and (ii) any additional IRS forms (or updated versions of any previously submitted IRS forms) or other documentation at such time or times required by applicable law or upon the reasonable request of the Collateral Trustee as may be necessary (a) to reduce or eliminate the imposition of U.S. withholding taxes and (b) to permit the Collateral Trustee to fulfill their tax reporting obligations under applicable law with respect to the Accounts or any amounts paid to the Issuer.</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197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85" w:lineRule="exact"/>
        <w:rPr>
          <w:sz w:val="20"/>
          <w:szCs w:val="20"/>
          <w:color w:val="auto"/>
        </w:rPr>
      </w:pPr>
    </w:p>
    <w:p>
      <w:pPr>
        <w:jc w:val="both"/>
        <w:spacing w:after="0" w:line="251" w:lineRule="exact"/>
        <w:rPr>
          <w:sz w:val="20"/>
          <w:szCs w:val="20"/>
          <w:color w:val="auto"/>
        </w:rPr>
      </w:pPr>
      <w:r>
        <w:rPr>
          <w:rFonts w:ascii="Times New Roman" w:cs="Times New Roman" w:eastAsia="Times New Roman" w:hAnsi="Times New Roman"/>
          <w:sz w:val="22"/>
          <w:szCs w:val="22"/>
          <w:color w:val="auto"/>
        </w:rPr>
        <w:t>Neither the Collateral Trustee nor the Bank shall have any liability to the Issuer or any other person in connection with any tax withholding amounts paid, or retained for payment, to a Governmental Authority from the Accounts arising from the Issuer's failure to timely provide an accurate, correct and complete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 applicable IRS Form W-8 or such other documentation contemplated under this paragraph. For the avoidance of doubt, no funds shall be invested with respect to such Accounts absent the Collateral Trustee having first received (x) instructions with respect to the investment of such funds, and (y) the forms and other documentation required by this paragraph.</w:t>
      </w:r>
    </w:p>
    <w:p>
      <w:pPr>
        <w:spacing w:after="0" w:line="182" w:lineRule="exact"/>
        <w:rPr>
          <w:sz w:val="20"/>
          <w:szCs w:val="20"/>
          <w:color w:val="auto"/>
        </w:rPr>
      </w:pPr>
    </w:p>
    <w:p>
      <w:pPr>
        <w:ind w:right="20" w:firstLine="1505"/>
        <w:spacing w:after="0" w:line="258" w:lineRule="auto"/>
        <w:tabs>
          <w:tab w:leader="none" w:pos="1929"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not in any way be held liable by reason of any insufficiency of funds in any Account resulting from any loss relating to any such investment and will not be liable for the selection of investments.</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accounts established by the Collateral Trustee pursuant to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may include any number of sub-accounts for convenience in administering the Assets.</w:t>
      </w:r>
    </w:p>
    <w:p>
      <w:pPr>
        <w:spacing w:after="0" w:line="158"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10.7</w:t>
      </w:r>
      <w:r>
        <w:rPr>
          <w:sz w:val="20"/>
          <w:szCs w:val="20"/>
          <w:color w:val="auto"/>
        </w:rPr>
        <w:tab/>
      </w:r>
      <w:r>
        <w:rPr>
          <w:rFonts w:ascii="Times New Roman" w:cs="Times New Roman" w:eastAsia="Times New Roman" w:hAnsi="Times New Roman"/>
          <w:sz w:val="21"/>
          <w:szCs w:val="21"/>
          <w:u w:val="single" w:color="auto"/>
          <w:color w:val="auto"/>
        </w:rPr>
        <w:t>Accountings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46" w:lineRule="auto"/>
        <w:tabs>
          <w:tab w:leader="none" w:pos="1956"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Monthly</w:t>
      </w:r>
      <w:r>
        <w:rPr>
          <w:rFonts w:ascii="Times New Roman" w:cs="Times New Roman" w:eastAsia="Times New Roman" w:hAnsi="Times New Roman"/>
          <w:sz w:val="21"/>
          <w:szCs w:val="21"/>
          <w:color w:val="auto"/>
        </w:rPr>
        <w:t>. Not later than the 20th day (or, if such day is not a Business Day, on the next succeeding Business Day) of each calendar month (other than a month in which a Payment Date occurs) and commencing in August 2025, the Issuer shall compile and make available (or cause to be compiled and made available) to each Rating Agency, the Collateral Trustee, the Loan Agent, the Collateral Manager, the Placement Agent, any Class A-1 Lender listed on the Loan Register, each Holder listed on the Note Register and any beneficial owner of a Note who has delivered a Beneficial Ownership Certificate to the Collateral Trustee, a monthly report on a trade date basis (except as otherwise expressly provided in this Indenture) (each such report a "</w:t>
      </w:r>
      <w:r>
        <w:rPr>
          <w:rFonts w:ascii="Times New Roman" w:cs="Times New Roman" w:eastAsia="Times New Roman" w:hAnsi="Times New Roman"/>
          <w:sz w:val="21"/>
          <w:szCs w:val="21"/>
          <w:u w:val="single" w:color="auto"/>
          <w:color w:val="auto"/>
        </w:rPr>
        <w:t>Monthly Report</w:t>
      </w:r>
      <w:r>
        <w:rPr>
          <w:rFonts w:ascii="Times New Roman" w:cs="Times New Roman" w:eastAsia="Times New Roman" w:hAnsi="Times New Roman"/>
          <w:sz w:val="21"/>
          <w:szCs w:val="21"/>
          <w:color w:val="auto"/>
        </w:rPr>
        <w:t>"). As used herein, the "</w:t>
      </w:r>
      <w:r>
        <w:rPr>
          <w:rFonts w:ascii="Times New Roman" w:cs="Times New Roman" w:eastAsia="Times New Roman" w:hAnsi="Times New Roman"/>
          <w:sz w:val="21"/>
          <w:szCs w:val="21"/>
          <w:u w:val="single" w:color="auto"/>
          <w:color w:val="auto"/>
        </w:rPr>
        <w:t>Monthly Report Determination Date</w:t>
      </w:r>
      <w:r>
        <w:rPr>
          <w:rFonts w:ascii="Times New Roman" w:cs="Times New Roman" w:eastAsia="Times New Roman" w:hAnsi="Times New Roman"/>
          <w:sz w:val="21"/>
          <w:szCs w:val="21"/>
          <w:color w:val="auto"/>
        </w:rPr>
        <w:t>" with respect to any calendar month will be the tenth Business Day preceding the date the Monthly Report is made available. The Monthly Report for a calendar month shall contain the following information with respect to the Collateral Obligations and Eligible Investments included in the Assets, and shall be determined as of the close of business on the Monthly Report Determination Date for such calendar month:</w:t>
      </w:r>
    </w:p>
    <w:p>
      <w:pPr>
        <w:spacing w:after="0" w:line="170" w:lineRule="exact"/>
        <w:rPr>
          <w:rFonts w:ascii="Times New Roman" w:cs="Times New Roman" w:eastAsia="Times New Roman" w:hAnsi="Times New Roman"/>
          <w:sz w:val="21"/>
          <w:szCs w:val="21"/>
          <w:color w:val="auto"/>
        </w:rPr>
      </w:pPr>
    </w:p>
    <w:p>
      <w:pPr>
        <w:jc w:val="both"/>
        <w:ind w:left="760" w:right="20" w:firstLine="1015"/>
        <w:spacing w:after="0" w:line="244" w:lineRule="auto"/>
        <w:tabs>
          <w:tab w:leader="none" w:pos="2210"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Principal Balance of Collateral Obligations, the aggregate unfunded commitments of the Collateral Obligations, any capitalized interest on the Collateral Obligations and Eligible Investments representing Principal Proceeds.</w:t>
      </w:r>
    </w:p>
    <w:p>
      <w:pPr>
        <w:spacing w:after="0" w:line="173"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Collateral Principal Amount of Collateral Obligations.</w:t>
      </w:r>
    </w:p>
    <w:p>
      <w:pPr>
        <w:spacing w:after="0" w:line="206"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Collateral Principal Amount of Collateral Obligations.</w:t>
      </w:r>
    </w:p>
    <w:p>
      <w:pPr>
        <w:spacing w:after="0" w:line="206"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list of Collateral Obligations, including, with respect to each such Collateral Obligation, the following</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information:</w:t>
      </w:r>
    </w:p>
    <w:p>
      <w:pPr>
        <w:spacing w:after="0" w:line="182"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2"/>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obligor thereon (including the issuer ticker, if any);</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CUSIP or security identifier thereof;</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198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85" w:lineRule="exact"/>
        <w:rPr>
          <w:sz w:val="20"/>
          <w:szCs w:val="20"/>
          <w:color w:val="auto"/>
        </w:rPr>
      </w:pPr>
    </w:p>
    <w:p>
      <w:pPr>
        <w:ind w:left="1500" w:right="20" w:firstLine="754"/>
        <w:spacing w:after="0" w:line="258" w:lineRule="auto"/>
        <w:tabs>
          <w:tab w:leader="none" w:pos="2681"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Balance thereof (other than any accrued interest that was purchased with Principal Proceeds) and any unfunded commitment pertaining thereto;</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percentage of the aggregate Collateral Principal Amount represented by such Collateral</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w:t>
      </w:r>
    </w:p>
    <w:p>
      <w:pPr>
        <w:spacing w:after="0" w:line="182"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(x) The related interest rate or spread (in the case of a Benchmark Floor Obligation, calculated both with and without regard to the applicable specified "floor"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(y) if such Collateral Obligation is a Benchmark Floor Obligation, the related Benchmark floor and (z) the identity of any Collateral Obligation that is not a Benchmark Floor Obligation and for which interest is calculated with respect to any index other than the Benchmark;</w:t>
      </w:r>
    </w:p>
    <w:p>
      <w:pPr>
        <w:spacing w:after="0" w:line="17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stated maturity thereof;</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related S&amp;P Industry Classification;</w:t>
      </w:r>
    </w:p>
    <w:p>
      <w:pPr>
        <w:spacing w:after="0" w:line="206"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S&amp;P Rating, unless such rating is based on a credit estimate or is a private or confidential rating from S&amp;P;</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country of Domicile;</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47" w:lineRule="auto"/>
        <w:tabs>
          <w:tab w:leader="none" w:pos="2681" w:val="left"/>
        </w:tabs>
        <w:numPr>
          <w:ilvl w:val="1"/>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indication as to whether each such Collateral Obligation is (1) a Senior Secured Loan, (2) a Second Lien Loan, (3) a Defaulted Obligation, (4) a Delayed Drawdown Collateral Obligation, (5) a Revolving Collateral Obligation, (6) a Delayed Funding Restructured Asset, (7) a Participation Interest (indicating the related Selling Institution, if applicable, and its ratings by each Rating Agency), (8) a Deferrable Obligation, (9) a Current Pay Obligation, (10) a Discount Obligation, (11) a Discount Obligation purchased in the manner described in clause (y) of the proviso to the definition "Discount Obligation," (12) a DIP Collateral Obligation,</w:t>
      </w:r>
    </w:p>
    <w:p>
      <w:pPr>
        <w:spacing w:after="0" w:line="4" w:lineRule="exact"/>
        <w:rPr>
          <w:rFonts w:ascii="Times New Roman" w:cs="Times New Roman" w:eastAsia="Times New Roman" w:hAnsi="Times New Roman"/>
          <w:sz w:val="21"/>
          <w:szCs w:val="21"/>
          <w:color w:val="auto"/>
        </w:rPr>
      </w:pPr>
    </w:p>
    <w:p>
      <w:pPr>
        <w:ind w:left="1500" w:firstLine="5"/>
        <w:spacing w:after="0" w:line="250" w:lineRule="exact"/>
        <w:tabs>
          <w:tab w:leader="none" w:pos="1957"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Lite Loan, (14) a First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Lien Last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Out Loan, (15) a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Dated Obligation, (16) a Step-Down Obligation and (17) a Fixed Rate Obligation.</w:t>
      </w:r>
    </w:p>
    <w:p>
      <w:pPr>
        <w:spacing w:after="0" w:line="178"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Collateral Obligation that is a Discount Obligation purchased in the manner described in clause (y) of the proviso to the definition "Discount Obligation,"</w:t>
      </w:r>
    </w:p>
    <w:p>
      <w:pPr>
        <w:spacing w:after="0" w:line="158" w:lineRule="exact"/>
        <w:rPr>
          <w:sz w:val="20"/>
          <w:szCs w:val="20"/>
          <w:color w:val="auto"/>
        </w:rPr>
      </w:pPr>
    </w:p>
    <w:p>
      <w:pPr>
        <w:jc w:val="both"/>
        <w:ind w:left="2260" w:firstLine="743"/>
        <w:spacing w:after="0" w:line="244" w:lineRule="auto"/>
        <w:tabs>
          <w:tab w:leader="none" w:pos="3441"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the Collateral Obligation (including whether such Collateral Obligation was classified as a Discount Obligation at the time of its original purchase) the proceeds of whose sale are used to purchase the purchased Collateral Obligation;</w:t>
      </w:r>
    </w:p>
    <w:p>
      <w:pPr>
        <w:spacing w:after="0" w:line="173" w:lineRule="exact"/>
        <w:rPr>
          <w:sz w:val="20"/>
          <w:szCs w:val="20"/>
          <w:color w:val="auto"/>
        </w:rPr>
      </w:pPr>
    </w:p>
    <w:p>
      <w:pPr>
        <w:jc w:val="both"/>
        <w:ind w:left="2260" w:firstLine="743"/>
        <w:spacing w:after="0" w:line="244" w:lineRule="auto"/>
        <w:tabs>
          <w:tab w:leader="none" w:pos="3441"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(as a percentage of par) of the purchased Collateral Obligation and the sale price (as a percentage of par) of the Collateral Obligation the proceeds of whose sale are used to purchase the purchased Collateral Obligation; and</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199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85" w:lineRule="exact"/>
        <w:rPr>
          <w:sz w:val="20"/>
          <w:szCs w:val="20"/>
          <w:color w:val="auto"/>
        </w:rPr>
      </w:pPr>
    </w:p>
    <w:p>
      <w:pPr>
        <w:jc w:val="both"/>
        <w:ind w:left="2260" w:firstLine="743"/>
        <w:spacing w:after="0" w:line="239" w:lineRule="auto"/>
        <w:tabs>
          <w:tab w:leader="none" w:pos="3441"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Balance of Collateral Obligations that have been excluded from the definition of "Discount Obligation" and relevant calculations indicating whether such amount is in compliance with the limitations described in clauses (z)(A) and (z)(B) of the proviso to the definition of "Discount Obligation."</w:t>
      </w:r>
    </w:p>
    <w:p>
      <w:pPr>
        <w:spacing w:after="0" w:line="180"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obligation that is acquired or received in a Bankruptcy Exchange,</w:t>
      </w:r>
    </w:p>
    <w:p>
      <w:pPr>
        <w:spacing w:after="0" w:line="206"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such obligation; and</w:t>
      </w:r>
    </w:p>
    <w:p>
      <w:pPr>
        <w:spacing w:after="0" w:line="206" w:lineRule="exact"/>
        <w:rPr>
          <w:sz w:val="20"/>
          <w:szCs w:val="20"/>
          <w:color w:val="auto"/>
        </w:rPr>
      </w:pPr>
    </w:p>
    <w:p>
      <w:pPr>
        <w:jc w:val="both"/>
        <w:ind w:left="2260" w:right="20" w:firstLine="743"/>
        <w:spacing w:after="0" w:line="244" w:lineRule="auto"/>
        <w:tabs>
          <w:tab w:leader="none" w:pos="3441"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Balance of obligations that have been received in a Bankruptcy Exchange and relevant calculations indicating whether such amount is in compliance with the limitations described in the definition of Bankruptcy Exchange;</w:t>
      </w:r>
    </w:p>
    <w:p>
      <w:pPr>
        <w:spacing w:after="0" w:line="138" w:lineRule="exact"/>
        <w:rPr>
          <w:rFonts w:ascii="Times New Roman" w:cs="Times New Roman" w:eastAsia="Times New Roman" w:hAnsi="Times New Roman"/>
          <w:sz w:val="22"/>
          <w:szCs w:val="22"/>
          <w:color w:val="auto"/>
        </w:rPr>
      </w:pPr>
    </w:p>
    <w:p>
      <w:pPr>
        <w:ind w:left="2680" w:hanging="426"/>
        <w:spacing w:after="0" w:line="242" w:lineRule="exact"/>
        <w:tabs>
          <w:tab w:leader="none" w:pos="2680"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Balance of each Cov</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Lite Loan and the Aggregate Principal Balance of all Cov</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Lite</w:t>
      </w:r>
    </w:p>
    <w:p>
      <w:pPr>
        <w:spacing w:after="0" w:line="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Loans;</w:t>
      </w:r>
    </w:p>
    <w:p>
      <w:pPr>
        <w:spacing w:after="0" w:line="182" w:lineRule="exact"/>
        <w:rPr>
          <w:sz w:val="20"/>
          <w:szCs w:val="20"/>
          <w:color w:val="auto"/>
        </w:rPr>
      </w:pPr>
    </w:p>
    <w:p>
      <w:pPr>
        <w:ind w:left="1500" w:firstLine="754"/>
        <w:spacing w:after="0" w:line="258" w:lineRule="auto"/>
        <w:tabs>
          <w:tab w:leader="none" w:pos="2681" w:val="left"/>
        </w:tabs>
        <w:numPr>
          <w:ilvl w:val="2"/>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S&amp;P Recovery Rate unless such rate is based on a credit estimate or a private or confidential rating from S&amp;P; and</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the credit estimate of such Collateral Obligation, if applicable.</w:t>
      </w:r>
    </w:p>
    <w:p>
      <w:pPr>
        <w:spacing w:after="0" w:line="206" w:lineRule="exact"/>
        <w:rPr>
          <w:rFonts w:ascii="Times New Roman" w:cs="Times New Roman" w:eastAsia="Times New Roman" w:hAnsi="Times New Roman"/>
          <w:sz w:val="22"/>
          <w:szCs w:val="22"/>
          <w:color w:val="auto"/>
        </w:rPr>
      </w:pPr>
    </w:p>
    <w:p>
      <w:pPr>
        <w:jc w:val="both"/>
        <w:ind w:left="760" w:firstLine="1015"/>
        <w:spacing w:after="0" w:line="239" w:lineRule="auto"/>
        <w:tabs>
          <w:tab w:leader="none" w:pos="2210"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solely on the monthly report of, and as reported by, the Transferor, the holding by the Transferor of the Retention Interest as of the date of its report. The foregoing information shall be provided by the Transferor (or the Issuer or the Collateral Manager on the Transferor's behalf) to the Collateral Trustee and the Collateral Administrator.</w:t>
      </w:r>
    </w:p>
    <w:p>
      <w:pPr>
        <w:spacing w:after="0" w:line="180" w:lineRule="exact"/>
        <w:rPr>
          <w:rFonts w:ascii="Times New Roman" w:cs="Times New Roman" w:eastAsia="Times New Roman" w:hAnsi="Times New Roman"/>
          <w:sz w:val="22"/>
          <w:szCs w:val="22"/>
          <w:color w:val="auto"/>
        </w:rPr>
      </w:pPr>
    </w:p>
    <w:p>
      <w:pPr>
        <w:jc w:val="both"/>
        <w:ind w:left="760" w:firstLine="1015"/>
        <w:spacing w:after="0" w:line="238" w:lineRule="auto"/>
        <w:tabs>
          <w:tab w:leader="none" w:pos="2210"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Monthly Report Determination Date occurs on or after the Effective Date, for each of the limitations and tests specified in the definitions of Concentration Limitations and Collateral Quality Test, (1) the result (including, after any S&amp;P CDO Monitor Switchover Date, calculation of each of the S&amp;P CDO Monitor Benchmarks),</w:t>
      </w:r>
    </w:p>
    <w:p>
      <w:pPr>
        <w:ind w:left="760" w:hanging="3"/>
        <w:spacing w:after="0" w:line="237" w:lineRule="auto"/>
        <w:tabs>
          <w:tab w:leader="none" w:pos="1069"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related minimum or maximum test level and (3) if such Monthly Report Determination Date occurs on or prior to the last day of the Reinvestment Period, a determination as to whether such result satisfies the related test.</w:t>
      </w:r>
    </w:p>
    <w:p>
      <w:pPr>
        <w:spacing w:after="0" w:line="178"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of each of the following:</w:t>
      </w:r>
    </w:p>
    <w:p>
      <w:pPr>
        <w:spacing w:after="0" w:line="206" w:lineRule="exact"/>
        <w:rPr>
          <w:rFonts w:ascii="Times New Roman" w:cs="Times New Roman" w:eastAsia="Times New Roman" w:hAnsi="Times New Roman"/>
          <w:sz w:val="22"/>
          <w:szCs w:val="22"/>
          <w:color w:val="auto"/>
        </w:rPr>
      </w:pPr>
    </w:p>
    <w:p>
      <w:pPr>
        <w:ind w:left="1500" w:right="40" w:firstLine="754"/>
        <w:spacing w:after="0" w:line="258" w:lineRule="auto"/>
        <w:tabs>
          <w:tab w:leader="none" w:pos="2681" w:val="left"/>
        </w:tabs>
        <w:numPr>
          <w:ilvl w:val="2"/>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Interest Coverage Ratio (and setting forth the percentage required to satisfy each Interest Coverage Test);</w:t>
      </w:r>
    </w:p>
    <w:p>
      <w:pPr>
        <w:spacing w:after="0" w:line="158" w:lineRule="exact"/>
        <w:rPr>
          <w:rFonts w:ascii="Times New Roman" w:cs="Times New Roman" w:eastAsia="Times New Roman" w:hAnsi="Times New Roman"/>
          <w:sz w:val="22"/>
          <w:szCs w:val="22"/>
          <w:color w:val="auto"/>
        </w:rPr>
      </w:pPr>
    </w:p>
    <w:p>
      <w:pPr>
        <w:ind w:left="1500" w:right="60" w:firstLine="754"/>
        <w:spacing w:after="0" w:line="258" w:lineRule="auto"/>
        <w:tabs>
          <w:tab w:leader="none" w:pos="2681" w:val="left"/>
        </w:tabs>
        <w:numPr>
          <w:ilvl w:val="2"/>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Overcollateralization Ratio (and setting forth the percentage required to satisfy each Overcollateralization Ratio Test);</w:t>
      </w:r>
    </w:p>
    <w:p>
      <w:pPr>
        <w:spacing w:after="0" w:line="158" w:lineRule="exact"/>
        <w:rPr>
          <w:rFonts w:ascii="Times New Roman" w:cs="Times New Roman" w:eastAsia="Times New Roman" w:hAnsi="Times New Roman"/>
          <w:sz w:val="22"/>
          <w:szCs w:val="22"/>
          <w:color w:val="auto"/>
        </w:rPr>
      </w:pPr>
    </w:p>
    <w:p>
      <w:pPr>
        <w:ind w:left="2640" w:hanging="865"/>
        <w:spacing w:after="0"/>
        <w:tabs>
          <w:tab w:leader="none" w:pos="2640"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calculation specified in </w:t>
      </w:r>
      <w:r>
        <w:rPr>
          <w:rFonts w:ascii="Times New Roman" w:cs="Times New Roman" w:eastAsia="Times New Roman" w:hAnsi="Times New Roman"/>
          <w:sz w:val="22"/>
          <w:szCs w:val="22"/>
          <w:u w:val="single" w:color="auto"/>
          <w:color w:val="auto"/>
        </w:rPr>
        <w:t>Section 5.1(e)</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85" w:lineRule="exact"/>
        <w:rPr>
          <w:sz w:val="20"/>
          <w:szCs w:val="20"/>
          <w:color w:val="auto"/>
        </w:rPr>
      </w:pPr>
    </w:p>
    <w:p>
      <w:pPr>
        <w:ind w:left="760" w:firstLine="1015"/>
        <w:spacing w:after="0" w:line="258" w:lineRule="auto"/>
        <w:tabs>
          <w:tab w:leader="none" w:pos="221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Account, a schedule showing the beginning balance, each credit or debit specifying the nature, source and amount, and the ending balance.</w:t>
      </w:r>
    </w:p>
    <w:p>
      <w:pPr>
        <w:spacing w:after="0" w:line="158" w:lineRule="exact"/>
        <w:rPr>
          <w:rFonts w:ascii="Times New Roman" w:cs="Times New Roman" w:eastAsia="Times New Roman" w:hAnsi="Times New Roman"/>
          <w:sz w:val="22"/>
          <w:szCs w:val="22"/>
          <w:color w:val="auto"/>
        </w:rPr>
      </w:pPr>
    </w:p>
    <w:p>
      <w:pPr>
        <w:jc w:val="both"/>
        <w:ind w:left="760" w:right="20" w:firstLine="1015"/>
        <w:spacing w:after="0" w:line="244" w:lineRule="auto"/>
        <w:tabs>
          <w:tab w:leader="none" w:pos="221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schedule showing for each of the following the beginning balance, the amount of Interest Proceeds received from the immediately preceding Monthly Report Determination Date, and the ending balance for the current Monthly Report Determination Date:</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Proceeds from Collateral Obligations; and</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Proceeds from Eligible Investments.</w:t>
      </w:r>
    </w:p>
    <w:p>
      <w:pPr>
        <w:spacing w:after="0" w:line="206"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prepayments, and sales:</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49" w:lineRule="auto"/>
        <w:tabs>
          <w:tab w:leader="none" w:pos="2681"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identity, Principal Balance (other than any accrued interest that was purchased with Principal Proceeds), unfunded commitment (if any), capitalized interest (if any), Principal Proceeds and Interest Proceeds received, and date for (X) each Collateral Obligation that was released for sale or disposition pursuant to </w:t>
      </w:r>
      <w:r>
        <w:rPr>
          <w:rFonts w:ascii="Times New Roman" w:cs="Times New Roman" w:eastAsia="Times New Roman" w:hAnsi="Times New Roman"/>
          <w:sz w:val="21"/>
          <w:szCs w:val="21"/>
          <w:u w:val="single" w:color="auto"/>
          <w:color w:val="auto"/>
        </w:rPr>
        <w:t>Section 12.1</w:t>
      </w:r>
      <w:r>
        <w:rPr>
          <w:rFonts w:ascii="Times New Roman" w:cs="Times New Roman" w:eastAsia="Times New Roman" w:hAnsi="Times New Roman"/>
          <w:sz w:val="21"/>
          <w:szCs w:val="21"/>
          <w:color w:val="auto"/>
        </w:rPr>
        <w:t xml:space="preserve"> since the last Monthly Report Determination Date and (Y) each prepayment or redemption of a Collateral Obligation, and in the case of (X), whether such Collateral Obligation was a Credit Risk Obligation or a Credit Improved Obligation, whether the sale of such Collateral Obligation was a discretionary sale;</w:t>
      </w:r>
    </w:p>
    <w:p>
      <w:pPr>
        <w:spacing w:after="0" w:line="170" w:lineRule="exact"/>
        <w:rPr>
          <w:rFonts w:ascii="Times New Roman" w:cs="Times New Roman" w:eastAsia="Times New Roman" w:hAnsi="Times New Roman"/>
          <w:sz w:val="21"/>
          <w:szCs w:val="21"/>
          <w:color w:val="auto"/>
        </w:rPr>
      </w:pPr>
    </w:p>
    <w:p>
      <w:pPr>
        <w:jc w:val="both"/>
        <w:ind w:left="1500" w:firstLine="754"/>
        <w:spacing w:after="0" w:line="239" w:lineRule="auto"/>
        <w:tabs>
          <w:tab w:leader="none" w:pos="2681"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identity, Principal Balance (other than any accrued interest that was purchased with Principal Proceeds), unfunded commitment (if any), capitalized interest (if any) and Principal Proceeds and Interest Proceeds expended to acquire each Collateral Obligation acquired pursuant to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12.3</w:t>
      </w:r>
      <w:r>
        <w:rPr>
          <w:rFonts w:ascii="Times New Roman" w:cs="Times New Roman" w:eastAsia="Times New Roman" w:hAnsi="Times New Roman"/>
          <w:sz w:val="22"/>
          <w:szCs w:val="22"/>
          <w:color w:val="auto"/>
        </w:rPr>
        <w:t xml:space="preserve"> since the last Monthly Report Determination Date;</w:t>
      </w:r>
    </w:p>
    <w:p>
      <w:pPr>
        <w:spacing w:after="0" w:line="180" w:lineRule="exact"/>
        <w:rPr>
          <w:rFonts w:ascii="Times New Roman" w:cs="Times New Roman" w:eastAsia="Times New Roman" w:hAnsi="Times New Roman"/>
          <w:sz w:val="22"/>
          <w:szCs w:val="22"/>
          <w:color w:val="auto"/>
        </w:rPr>
      </w:pPr>
    </w:p>
    <w:p>
      <w:pPr>
        <w:jc w:val="both"/>
        <w:ind w:left="1500" w:firstLine="754"/>
        <w:spacing w:after="0" w:line="235" w:lineRule="auto"/>
        <w:tabs>
          <w:tab w:leader="none" w:pos="2681"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identity, Principal Balance (other than any accrued interest that was purchased with Principal Proceeds), unfunded commitment (if any), Principal Proceeds and Interest Proceeds received, and date for each Collateral Obligation that was substituted pursuant to </w:t>
      </w:r>
      <w:r>
        <w:rPr>
          <w:rFonts w:ascii="Times New Roman" w:cs="Times New Roman" w:eastAsia="Times New Roman" w:hAnsi="Times New Roman"/>
          <w:sz w:val="22"/>
          <w:szCs w:val="22"/>
          <w:u w:val="single" w:color="auto"/>
          <w:color w:val="auto"/>
        </w:rPr>
        <w:t>Section 12.3(a)</w:t>
      </w:r>
      <w:r>
        <w:rPr>
          <w:rFonts w:ascii="Times New Roman" w:cs="Times New Roman" w:eastAsia="Times New Roman" w:hAnsi="Times New Roman"/>
          <w:sz w:val="22"/>
          <w:szCs w:val="22"/>
          <w:color w:val="auto"/>
        </w:rPr>
        <w:t xml:space="preserve"> or repurchased pursuant to </w:t>
      </w:r>
      <w:r>
        <w:rPr>
          <w:rFonts w:ascii="Times New Roman" w:cs="Times New Roman" w:eastAsia="Times New Roman" w:hAnsi="Times New Roman"/>
          <w:sz w:val="22"/>
          <w:szCs w:val="22"/>
          <w:u w:val="single" w:color="auto"/>
          <w:color w:val="auto"/>
        </w:rPr>
        <w:t>Section 12.3(b)</w:t>
      </w:r>
      <w:r>
        <w:rPr>
          <w:rFonts w:ascii="Times New Roman" w:cs="Times New Roman" w:eastAsia="Times New Roman" w:hAnsi="Times New Roman"/>
          <w:sz w:val="22"/>
          <w:szCs w:val="22"/>
          <w:color w:val="auto"/>
        </w:rPr>
        <w:t xml:space="preserve"> (and, in either case, an indication as to whether each such substitution or repurchase was a mandatory substitution or repurchase) since the last Monthly Report Determination Date, all as reported to the Collateral Trustee and the Collateral Administrator by the Collateral Manager at the time of such purchase, repurchase or substitution (or, if no Collateral Obligations were so substituted or repurchased during such period, a statement to that effect); and</w:t>
      </w:r>
    </w:p>
    <w:p>
      <w:pPr>
        <w:spacing w:after="0" w:line="178" w:lineRule="exact"/>
        <w:rPr>
          <w:rFonts w:ascii="Times New Roman" w:cs="Times New Roman" w:eastAsia="Times New Roman" w:hAnsi="Times New Roman"/>
          <w:sz w:val="22"/>
          <w:szCs w:val="22"/>
          <w:color w:val="auto"/>
        </w:rPr>
      </w:pPr>
    </w:p>
    <w:p>
      <w:pPr>
        <w:ind w:left="1500" w:firstLine="754"/>
        <w:spacing w:after="0" w:line="258" w:lineRule="auto"/>
        <w:tabs>
          <w:tab w:leader="none" w:pos="2681"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details of any Trading Plan (including, the proposed acquisitions and dispositions identified by the Collateral Manager as part of such Trading Plan).</w:t>
      </w:r>
    </w:p>
    <w:p>
      <w:pPr>
        <w:spacing w:after="0" w:line="158" w:lineRule="exact"/>
        <w:rPr>
          <w:rFonts w:ascii="Times New Roman" w:cs="Times New Roman" w:eastAsia="Times New Roman" w:hAnsi="Times New Roman"/>
          <w:sz w:val="22"/>
          <w:szCs w:val="22"/>
          <w:color w:val="auto"/>
        </w:rPr>
      </w:pPr>
    </w:p>
    <w:p>
      <w:pPr>
        <w:ind w:left="760" w:right="40" w:firstLine="1015"/>
        <w:spacing w:after="0" w:line="258" w:lineRule="auto"/>
        <w:tabs>
          <w:tab w:leader="none" w:pos="221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each Defaulted Obligation, the S&amp;P Collateral Value and Market Value of each such Defaulted Obligation and date of default thereof.</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85" w:lineRule="exact"/>
        <w:rPr>
          <w:sz w:val="20"/>
          <w:szCs w:val="20"/>
          <w:color w:val="auto"/>
        </w:rPr>
      </w:pPr>
    </w:p>
    <w:p>
      <w:pPr>
        <w:ind w:left="760" w:firstLine="1015"/>
        <w:spacing w:after="0" w:line="258" w:lineRule="auto"/>
        <w:tabs>
          <w:tab w:leader="none" w:pos="2642"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each Collateral Obligation with an S&amp;P Rating of "CCC+" or below and the Market Value of each such Collateral Obligation.</w:t>
      </w:r>
    </w:p>
    <w:p>
      <w:pPr>
        <w:spacing w:after="0" w:line="158" w:lineRule="exact"/>
        <w:rPr>
          <w:rFonts w:ascii="Times New Roman" w:cs="Times New Roman" w:eastAsia="Times New Roman" w:hAnsi="Times New Roman"/>
          <w:sz w:val="22"/>
          <w:szCs w:val="22"/>
          <w:color w:val="auto"/>
        </w:rPr>
      </w:pPr>
    </w:p>
    <w:p>
      <w:pPr>
        <w:ind w:left="760" w:right="40" w:firstLine="1015"/>
        <w:spacing w:after="0" w:line="258" w:lineRule="auto"/>
        <w:tabs>
          <w:tab w:leader="none" w:pos="2642"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each Deferring Obligation, the S&amp;P Collateral Value and Market Value of each Deferring Obligation, and the date on which interest was last paid in full in Cash thereon.</w:t>
      </w:r>
    </w:p>
    <w:p>
      <w:pPr>
        <w:spacing w:after="0" w:line="158" w:lineRule="exact"/>
        <w:rPr>
          <w:rFonts w:ascii="Times New Roman" w:cs="Times New Roman" w:eastAsia="Times New Roman" w:hAnsi="Times New Roman"/>
          <w:sz w:val="22"/>
          <w:szCs w:val="22"/>
          <w:color w:val="auto"/>
        </w:rPr>
      </w:pPr>
    </w:p>
    <w:p>
      <w:pPr>
        <w:ind w:left="760" w:right="20" w:firstLine="1015"/>
        <w:spacing w:after="0" w:line="258" w:lineRule="auto"/>
        <w:tabs>
          <w:tab w:leader="none" w:pos="221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each Current Pay Obligation, the Market Value of each such Current Pay Obligation, and the percentage of the Collateral Principal Amount comprised of Current Pay Obligations.</w:t>
      </w:r>
    </w:p>
    <w:p>
      <w:pPr>
        <w:spacing w:after="0" w:line="158" w:lineRule="exact"/>
        <w:rPr>
          <w:rFonts w:ascii="Times New Roman" w:cs="Times New Roman" w:eastAsia="Times New Roman" w:hAnsi="Times New Roman"/>
          <w:sz w:val="22"/>
          <w:szCs w:val="22"/>
          <w:color w:val="auto"/>
        </w:rPr>
      </w:pPr>
    </w:p>
    <w:p>
      <w:pPr>
        <w:ind w:left="2640" w:hanging="865"/>
        <w:spacing w:after="0"/>
        <w:tabs>
          <w:tab w:leader="none" w:pos="264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each Senior Secured Note.</w:t>
      </w:r>
    </w:p>
    <w:p>
      <w:pPr>
        <w:spacing w:after="0" w:line="206" w:lineRule="exact"/>
        <w:rPr>
          <w:rFonts w:ascii="Times New Roman" w:cs="Times New Roman" w:eastAsia="Times New Roman" w:hAnsi="Times New Roman"/>
          <w:sz w:val="22"/>
          <w:szCs w:val="22"/>
          <w:color w:val="auto"/>
        </w:rPr>
      </w:pPr>
    </w:p>
    <w:p>
      <w:pPr>
        <w:ind w:left="2640" w:hanging="865"/>
        <w:spacing w:after="0"/>
        <w:tabs>
          <w:tab w:leader="none" w:pos="264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each Collateral Restructured Asset, Restructured Asset and Equity Security.</w:t>
      </w:r>
    </w:p>
    <w:p>
      <w:pPr>
        <w:spacing w:after="0" w:line="206"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642"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rating and maturity of each Eligible Investment (including, for the avoidance of doubt, the name of each FDIC-insured depository institution in which the Issuer maintained such Eligible Investment through the Deposit Placement Program).</w:t>
      </w:r>
    </w:p>
    <w:p>
      <w:pPr>
        <w:spacing w:after="0" w:line="173" w:lineRule="exact"/>
        <w:rPr>
          <w:rFonts w:ascii="Times New Roman" w:cs="Times New Roman" w:eastAsia="Times New Roman" w:hAnsi="Times New Roman"/>
          <w:sz w:val="22"/>
          <w:szCs w:val="22"/>
          <w:color w:val="auto"/>
        </w:rPr>
      </w:pPr>
    </w:p>
    <w:p>
      <w:pPr>
        <w:ind w:left="2640" w:hanging="865"/>
        <w:spacing w:after="0"/>
        <w:tabs>
          <w:tab w:leader="none" w:pos="264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Calculation of the S&amp;P Equivalent Weighted Average Rating Factor.</w:t>
      </w:r>
    </w:p>
    <w:p>
      <w:pPr>
        <w:spacing w:after="0" w:line="206"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Calculation of S&amp;P Equivalent Diversity Score.</w:t>
      </w:r>
    </w:p>
    <w:p>
      <w:pPr>
        <w:spacing w:after="0" w:line="206" w:lineRule="exact"/>
        <w:rPr>
          <w:rFonts w:ascii="Times New Roman" w:cs="Times New Roman" w:eastAsia="Times New Roman" w:hAnsi="Times New Roman"/>
          <w:sz w:val="22"/>
          <w:szCs w:val="22"/>
          <w:color w:val="auto"/>
        </w:rPr>
      </w:pPr>
    </w:p>
    <w:p>
      <w:pPr>
        <w:ind w:left="760" w:right="40" w:firstLine="1015"/>
        <w:spacing w:after="0" w:line="258" w:lineRule="auto"/>
        <w:tabs>
          <w:tab w:leader="none" w:pos="2642"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each Account, (i) the name of the financial institution that holds such Account; and (ii) the applicable ratings by S&amp;P required under </w:t>
      </w:r>
      <w:r>
        <w:rPr>
          <w:rFonts w:ascii="Times New Roman" w:cs="Times New Roman" w:eastAsia="Times New Roman" w:hAnsi="Times New Roman"/>
          <w:sz w:val="22"/>
          <w:szCs w:val="22"/>
          <w:u w:val="single" w:color="auto"/>
          <w:color w:val="auto"/>
        </w:rPr>
        <w:t>Section 10.1(a)</w:t>
      </w:r>
      <w:r>
        <w:rPr>
          <w:rFonts w:ascii="Times New Roman" w:cs="Times New Roman" w:eastAsia="Times New Roman" w:hAnsi="Times New Roman"/>
          <w:sz w:val="22"/>
          <w:szCs w:val="22"/>
          <w:color w:val="auto"/>
        </w:rPr>
        <w:t xml:space="preserve"> for such institution.</w:t>
      </w:r>
    </w:p>
    <w:p>
      <w:pPr>
        <w:spacing w:after="0" w:line="158" w:lineRule="exact"/>
        <w:rPr>
          <w:rFonts w:ascii="Times New Roman" w:cs="Times New Roman" w:eastAsia="Times New Roman" w:hAnsi="Times New Roman"/>
          <w:sz w:val="22"/>
          <w:szCs w:val="22"/>
          <w:color w:val="auto"/>
        </w:rPr>
      </w:pPr>
    </w:p>
    <w:p>
      <w:pPr>
        <w:ind w:left="2640" w:hanging="865"/>
        <w:spacing w:after="0"/>
        <w:tabs>
          <w:tab w:leader="none" w:pos="264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information as any Rating Agency or the Collateral Manager may reasonably request.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For each instance in which the Market Value is reported pursuant to the foregoing, the Monthly Report shall also indicate the manner in which such Market Value was determined and the source(s) (if applicable) used in such determination, as provided by the Collateral Manager.</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Upon receipt of each Monthly Report, the Collateral Trustee shall (a) if the relevant Monthly Report Determination Date occurred on or prior to the last day of the Reinvestment Period, notify the Issuer (who shall notify S&amp;P) if such Monthly Report indicates that the S&amp;P CDO Monitor Test has not been satisfied as of the relevant Measurement Date and</w:t>
      </w:r>
    </w:p>
    <w:p>
      <w:pPr>
        <w:jc w:val="both"/>
        <w:ind w:firstLine="8"/>
        <w:spacing w:after="0" w:line="232" w:lineRule="auto"/>
        <w:tabs>
          <w:tab w:leader="none" w:pos="324"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Collateral Trustee is not the same Person as the Collateral Administrator, compare the information contained in such Monthly Report to the information contained in its records with respect to the Assets and shall, within three Business Days after receipt of such Monthly Report, notify the Issuer, the Collateral Administrator, the Rating Agencies and the Collateral Manager if the information contained in the Monthly Report does not conform to the information maintained by the Collateral Trustee with respect to the Assets. If any discrepancy exists, the Collateral Administrator and the Issuer, or the Collateral Manager on behalf of the Issuer, shall attempt to</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resolve the discrepancy. If such discrepancy cannot be promptly resolved, the Collateral Trustee shall within ten (10) Business Days notify the Collateral Manager who shall, on behalf of the Issuer, request that the Independent accountants appointed by the Issuer pursuant to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review such Monthly Report and the Collateral Trustee's records to determine the cause of such discrepancy. If such review reveals an error in the Monthly Report or the Bank's records, the Monthly Report or the Collateral Trustee's records shall be revised accordingly and, as so revised, shall be utilized in making all calculations pursuant to this Indenture and notice of any error in the Monthly Report shall be sent as soon as practicable by the Issuer to all recipients of such report which may be accomplished by making a notation of such error in the subsequent Monthly Report.</w:t>
      </w:r>
    </w:p>
    <w:p>
      <w:pPr>
        <w:spacing w:after="0" w:line="183" w:lineRule="exact"/>
        <w:rPr>
          <w:sz w:val="20"/>
          <w:szCs w:val="20"/>
          <w:color w:val="auto"/>
        </w:rPr>
      </w:pPr>
    </w:p>
    <w:p>
      <w:pPr>
        <w:jc w:val="both"/>
        <w:ind w:firstLine="1505"/>
        <w:spacing w:after="0" w:line="236" w:lineRule="auto"/>
        <w:tabs>
          <w:tab w:leader="none" w:pos="1983"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Date Accounting</w:t>
      </w:r>
      <w:r>
        <w:rPr>
          <w:rFonts w:ascii="Times New Roman" w:cs="Times New Roman" w:eastAsia="Times New Roman" w:hAnsi="Times New Roman"/>
          <w:sz w:val="22"/>
          <w:szCs w:val="22"/>
          <w:color w:val="auto"/>
        </w:rPr>
        <w:t>. The Issuer shall render an accounting (each a "</w:t>
      </w:r>
      <w:r>
        <w:rPr>
          <w:rFonts w:ascii="Times New Roman" w:cs="Times New Roman" w:eastAsia="Times New Roman" w:hAnsi="Times New Roman"/>
          <w:sz w:val="22"/>
          <w:szCs w:val="22"/>
          <w:u w:val="single" w:color="auto"/>
          <w:color w:val="auto"/>
        </w:rPr>
        <w:t>Distribution Report</w:t>
      </w:r>
      <w:r>
        <w:rPr>
          <w:rFonts w:ascii="Times New Roman" w:cs="Times New Roman" w:eastAsia="Times New Roman" w:hAnsi="Times New Roman"/>
          <w:sz w:val="22"/>
          <w:szCs w:val="22"/>
          <w:color w:val="auto"/>
        </w:rPr>
        <w:t>"), determined as of the close of business on each Determination Date preceding a Payment Date, and shall make available such Distribution Report to the Collateral Trustee, the Loan Agent the Collateral Manager, the Placement Agent, each Rating Agency, any Class A-1 Lender listed on the Loan Register, any Holder listed on the Note Register and any beneficial owner of a Note who has delivered a Beneficial Ownership Certificate to the Collateral Trustee, not later than the Business Day preceding the related Payment Date. The Distribution Report shall contain the following information:</w:t>
      </w:r>
    </w:p>
    <w:p>
      <w:pPr>
        <w:spacing w:after="0" w:line="181"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information required to be in the Monthly Report pursuant to </w:t>
      </w:r>
      <w:r>
        <w:rPr>
          <w:rFonts w:ascii="Times New Roman" w:cs="Times New Roman" w:eastAsia="Times New Roman" w:hAnsi="Times New Roman"/>
          <w:sz w:val="22"/>
          <w:szCs w:val="22"/>
          <w:u w:val="single" w:color="auto"/>
          <w:color w:val="auto"/>
        </w:rPr>
        <w:t>Section 10.7(a)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1015"/>
        <w:spacing w:after="0" w:line="235" w:lineRule="auto"/>
        <w:tabs>
          <w:tab w:leader="none" w:pos="2210"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Aggregate Outstanding Amount of each Class of Secured Debt at the beginning of the Interest Accrual Period and such amount as a percentage of the original Aggregate Outstanding Amount of such Class, (b) the amount of principal payments to be made on each Class of Secured Debt on the next Payment Date, the amount of any Deferred Interest on the Deferrable Notes and the Aggregate Outstanding Amount of each Class of Secured Debt after giving effect to the principal payments, if any, on the next Payment Date and such amount as a percentage of the original Aggregate Outstanding Amount of such Class and (c) the amount of distributions to be paid on the Subordinated Notes on the next Payment Date, the Aggregate Outstanding Amount of the Subordinated Notes on the next Payment Date and the amount of Permitted RIC Distributions, if any, made since the prior Distribution Report;</w:t>
      </w:r>
    </w:p>
    <w:p>
      <w:pPr>
        <w:spacing w:after="0" w:line="178"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1"/>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Interest Rate and accrued interest for each applicable Class of Secured Debt for such Payment Date;</w:t>
      </w:r>
    </w:p>
    <w:p>
      <w:pPr>
        <w:spacing w:after="0" w:line="217" w:lineRule="exact"/>
        <w:rPr>
          <w:rFonts w:ascii="Times New Roman" w:cs="Times New Roman" w:eastAsia="Times New Roman" w:hAnsi="Times New Roman"/>
          <w:sz w:val="21"/>
          <w:szCs w:val="21"/>
          <w:color w:val="auto"/>
        </w:rPr>
      </w:pPr>
    </w:p>
    <w:p>
      <w:pPr>
        <w:ind w:left="760" w:firstLine="1015"/>
        <w:spacing w:after="0" w:line="282" w:lineRule="auto"/>
        <w:tabs>
          <w:tab w:leader="none" w:pos="2210" w:val="left"/>
        </w:tabs>
        <w:numPr>
          <w:ilvl w:val="1"/>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amounts payable pursuant to each clause of </w:t>
      </w:r>
      <w:r>
        <w:rPr>
          <w:rFonts w:ascii="Times New Roman" w:cs="Times New Roman" w:eastAsia="Times New Roman" w:hAnsi="Times New Roman"/>
          <w:sz w:val="21"/>
          <w:szCs w:val="21"/>
          <w:u w:val="single" w:color="auto"/>
          <w:color w:val="auto"/>
        </w:rPr>
        <w:t>Section 11.1(a)(i)</w:t>
      </w:r>
      <w:r>
        <w:rPr>
          <w:rFonts w:ascii="Times New Roman" w:cs="Times New Roman" w:eastAsia="Times New Roman" w:hAnsi="Times New Roman"/>
          <w:sz w:val="21"/>
          <w:szCs w:val="21"/>
          <w:color w:val="auto"/>
        </w:rPr>
        <w:t xml:space="preserve"> and each clause of </w:t>
      </w:r>
      <w:r>
        <w:rPr>
          <w:rFonts w:ascii="Times New Roman" w:cs="Times New Roman" w:eastAsia="Times New Roman" w:hAnsi="Times New Roman"/>
          <w:sz w:val="21"/>
          <w:szCs w:val="21"/>
          <w:u w:val="single" w:color="auto"/>
          <w:color w:val="auto"/>
        </w:rPr>
        <w:t>Section 11.1(a)(ii)</w:t>
      </w:r>
      <w:r>
        <w:rPr>
          <w:rFonts w:ascii="Times New Roman" w:cs="Times New Roman" w:eastAsia="Times New Roman" w:hAnsi="Times New Roman"/>
          <w:sz w:val="21"/>
          <w:szCs w:val="21"/>
          <w:color w:val="auto"/>
        </w:rPr>
        <w:t xml:space="preserve"> or each clause of </w:t>
      </w:r>
      <w:r>
        <w:rPr>
          <w:rFonts w:ascii="Times New Roman" w:cs="Times New Roman" w:eastAsia="Times New Roman" w:hAnsi="Times New Roman"/>
          <w:sz w:val="21"/>
          <w:szCs w:val="21"/>
          <w:u w:val="single" w:color="auto"/>
          <w:color w:val="auto"/>
        </w:rPr>
        <w:t>Section 11.1(a)(iii)</w:t>
      </w:r>
      <w:r>
        <w:rPr>
          <w:rFonts w:ascii="Times New Roman" w:cs="Times New Roman" w:eastAsia="Times New Roman" w:hAnsi="Times New Roman"/>
          <w:sz w:val="21"/>
          <w:szCs w:val="21"/>
          <w:color w:val="auto"/>
        </w:rPr>
        <w:t xml:space="preserve"> or each clause of </w:t>
      </w:r>
      <w:r>
        <w:rPr>
          <w:rFonts w:ascii="Times New Roman" w:cs="Times New Roman" w:eastAsia="Times New Roman" w:hAnsi="Times New Roman"/>
          <w:sz w:val="21"/>
          <w:szCs w:val="21"/>
          <w:u w:val="single" w:color="auto"/>
          <w:color w:val="auto"/>
        </w:rPr>
        <w:t>Section 11.1(a)(iv)</w:t>
      </w:r>
      <w:r>
        <w:rPr>
          <w:rFonts w:ascii="Times New Roman" w:cs="Times New Roman" w:eastAsia="Times New Roman" w:hAnsi="Times New Roman"/>
          <w:sz w:val="21"/>
          <w:szCs w:val="21"/>
          <w:color w:val="auto"/>
        </w:rPr>
        <w:t>, as applicable, on the related Payment Date;</w:t>
      </w:r>
    </w:p>
    <w:p>
      <w:pPr>
        <w:spacing w:after="0" w:line="134" w:lineRule="exact"/>
        <w:rPr>
          <w:rFonts w:ascii="Times New Roman" w:cs="Times New Roman" w:eastAsia="Times New Roman" w:hAnsi="Times New Roman"/>
          <w:sz w:val="21"/>
          <w:szCs w:val="21"/>
          <w:color w:val="auto"/>
        </w:rPr>
      </w:pPr>
    </w:p>
    <w:p>
      <w:pPr>
        <w:ind w:left="2200" w:hanging="425"/>
        <w:spacing w:after="0"/>
        <w:tabs>
          <w:tab w:leader="none" w:pos="2200"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Collection Account:</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Balance on deposit in the Collection Account at the end of the related Collection Period;</w:t>
      </w:r>
    </w:p>
    <w:p>
      <w:pPr>
        <w:spacing w:after="0" w:line="206" w:lineRule="exact"/>
        <w:rPr>
          <w:rFonts w:ascii="Times New Roman" w:cs="Times New Roman" w:eastAsia="Times New Roman" w:hAnsi="Times New Roman"/>
          <w:sz w:val="22"/>
          <w:szCs w:val="22"/>
          <w:color w:val="auto"/>
        </w:rPr>
      </w:pPr>
    </w:p>
    <w:p>
      <w:pPr>
        <w:ind w:left="1500" w:firstLine="754"/>
        <w:spacing w:after="0" w:line="258" w:lineRule="auto"/>
        <w:tabs>
          <w:tab w:leader="none" w:pos="2681" w:val="left"/>
        </w:tabs>
        <w:numPr>
          <w:ilvl w:val="2"/>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amounts payable from the Collection Account to the Payment Account, in order to make payments pursuant to </w:t>
      </w:r>
      <w:r>
        <w:rPr>
          <w:rFonts w:ascii="Times New Roman" w:cs="Times New Roman" w:eastAsia="Times New Roman" w:hAnsi="Times New Roman"/>
          <w:sz w:val="22"/>
          <w:szCs w:val="22"/>
          <w:u w:val="single" w:color="auto"/>
          <w:color w:val="auto"/>
        </w:rPr>
        <w:t>Section 11.1(a)(i)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85" w:lineRule="exact"/>
        <w:rPr>
          <w:sz w:val="20"/>
          <w:szCs w:val="20"/>
          <w:color w:val="auto"/>
        </w:rPr>
      </w:pPr>
    </w:p>
    <w:p>
      <w:pPr>
        <w:jc w:val="both"/>
        <w:ind w:left="1500"/>
        <w:spacing w:after="0" w:line="261" w:lineRule="exact"/>
        <w:rPr>
          <w:sz w:val="20"/>
          <w:szCs w:val="20"/>
          <w:color w:val="auto"/>
        </w:rPr>
      </w:pPr>
      <w:r>
        <w:rPr>
          <w:rFonts w:ascii="Times New Roman" w:cs="Times New Roman" w:eastAsia="Times New Roman" w:hAnsi="Times New Roman"/>
          <w:sz w:val="22"/>
          <w:szCs w:val="22"/>
          <w:u w:val="single" w:color="auto"/>
          <w:color w:val="auto"/>
        </w:rPr>
        <w:t>11.1(a)(ii),</w:t>
      </w:r>
      <w:r>
        <w:rPr>
          <w:rFonts w:ascii="Times New Roman" w:cs="Times New Roman" w:eastAsia="Times New Roman" w:hAnsi="Times New Roman"/>
          <w:sz w:val="22"/>
          <w:szCs w:val="22"/>
          <w:color w:val="auto"/>
        </w:rPr>
        <w:t xml:space="preserve"> or each clause of </w:t>
      </w:r>
      <w:r>
        <w:rPr>
          <w:rFonts w:ascii="Times New Roman" w:cs="Times New Roman" w:eastAsia="Times New Roman" w:hAnsi="Times New Roman"/>
          <w:sz w:val="22"/>
          <w:szCs w:val="22"/>
          <w:u w:val="single" w:color="auto"/>
          <w:color w:val="auto"/>
        </w:rPr>
        <w:t>Section 11.1(a)(iii)</w:t>
      </w:r>
      <w:r>
        <w:rPr>
          <w:rFonts w:ascii="Times New Roman" w:cs="Times New Roman" w:eastAsia="Times New Roman" w:hAnsi="Times New Roman"/>
          <w:sz w:val="22"/>
          <w:szCs w:val="22"/>
          <w:color w:val="auto"/>
        </w:rPr>
        <w:t xml:space="preserve"> or each clause of </w:t>
      </w:r>
      <w:r>
        <w:rPr>
          <w:rFonts w:ascii="Times New Roman" w:cs="Times New Roman" w:eastAsia="Times New Roman" w:hAnsi="Times New Roman"/>
          <w:sz w:val="22"/>
          <w:szCs w:val="22"/>
          <w:u w:val="single" w:color="auto"/>
          <w:color w:val="auto"/>
        </w:rPr>
        <w:t>Section 11.1(a)(iv)</w:t>
      </w:r>
      <w:r>
        <w:rPr>
          <w:rFonts w:ascii="Times New Roman" w:cs="Times New Roman" w:eastAsia="Times New Roman" w:hAnsi="Times New Roman"/>
          <w:sz w:val="22"/>
          <w:szCs w:val="22"/>
          <w:color w:val="auto"/>
        </w:rPr>
        <w:t>, as applicable, on the next Payment Date (net of amounts which the Collateral Manager intends to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invest in additional Collateral Obligations pursuant to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and</w:t>
      </w:r>
    </w:p>
    <w:p>
      <w:pPr>
        <w:spacing w:after="0" w:line="177" w:lineRule="exact"/>
        <w:rPr>
          <w:sz w:val="20"/>
          <w:szCs w:val="20"/>
          <w:color w:val="auto"/>
        </w:rPr>
      </w:pPr>
    </w:p>
    <w:p>
      <w:pPr>
        <w:ind w:left="2680" w:hanging="426"/>
        <w:spacing w:after="0"/>
        <w:tabs>
          <w:tab w:leader="none" w:pos="2680"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payments and deposits to be made on such Payment Date; and</w:t>
      </w:r>
    </w:p>
    <w:p>
      <w:pPr>
        <w:spacing w:after="0" w:line="206"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information as the Collateral Manager may reasonably request.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Each Distribution Report shall constitute instructions to the Collateral Trustee to withdraw funds from the Payment Account and pay or transfer such amounts set forth in such Distribution Report in the manner specified and in accordance with the priorities established in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firstLine="1505"/>
        <w:spacing w:after="0" w:line="258" w:lineRule="auto"/>
        <w:tabs>
          <w:tab w:leader="none" w:pos="1943"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Rate Notice</w:t>
      </w:r>
      <w:r>
        <w:rPr>
          <w:rFonts w:ascii="Times New Roman" w:cs="Times New Roman" w:eastAsia="Times New Roman" w:hAnsi="Times New Roman"/>
          <w:sz w:val="22"/>
          <w:szCs w:val="22"/>
          <w:color w:val="auto"/>
        </w:rPr>
        <w:t>. The Monthly Report shall include a notice setting forth the Interest Rate for each Class of Secured Debt for the Interest Accrual Period preceding the next Payment Date.</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43"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Provide Accounting</w:t>
      </w:r>
      <w:r>
        <w:rPr>
          <w:rFonts w:ascii="Times New Roman" w:cs="Times New Roman" w:eastAsia="Times New Roman" w:hAnsi="Times New Roman"/>
          <w:sz w:val="22"/>
          <w:szCs w:val="22"/>
          <w:color w:val="auto"/>
        </w:rPr>
        <w:t xml:space="preserve">. If the Collateral Trustee shall not have received any accounting provided for in this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on the first Business Day after the date on which such accounting is due to the Collateral Trustee, the Collateral Trustee shall notify the Collateral Manager who shall use all reasonable efforts to obtain such accounting by the applicable Payment Date. To the extent the Collateral Manager is required to provide any information or reports pursuant to this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as a result of the failure of the Issuer to provide such information or reports, the Collateral Manager shall be entitled to retain an Independent certified public accountant in connection therewith and the reasonable costs incurred by the Collateral Manager for such Independent certified public accountant shall be paid by the Issuer.</w:t>
      </w:r>
    </w:p>
    <w:p>
      <w:pPr>
        <w:spacing w:after="0" w:line="183" w:lineRule="exact"/>
        <w:rPr>
          <w:rFonts w:ascii="Times New Roman" w:cs="Times New Roman" w:eastAsia="Times New Roman" w:hAnsi="Times New Roman"/>
          <w:sz w:val="22"/>
          <w:szCs w:val="22"/>
          <w:color w:val="auto"/>
        </w:rPr>
      </w:pPr>
    </w:p>
    <w:p>
      <w:pPr>
        <w:ind w:firstLine="1505"/>
        <w:spacing w:after="0" w:line="258" w:lineRule="auto"/>
        <w:tabs>
          <w:tab w:leader="none" w:pos="1956"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Content of Certain Reports</w:t>
      </w:r>
      <w:r>
        <w:rPr>
          <w:rFonts w:ascii="Times New Roman" w:cs="Times New Roman" w:eastAsia="Times New Roman" w:hAnsi="Times New Roman"/>
          <w:sz w:val="22"/>
          <w:szCs w:val="22"/>
          <w:color w:val="auto"/>
        </w:rPr>
        <w:t>. Each Monthly Report and each Distribution Report sent to any Holder or beneficial owner of an interest in a Note shall contain, or be accompanied by, the following notices:</w:t>
      </w:r>
    </w:p>
    <w:p>
      <w:pPr>
        <w:spacing w:after="0" w:line="158"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color w:val="auto"/>
        </w:rPr>
        <w:t>"The Notes may be beneficially owned only by Persons that are Qualified Purchasers or corporations, partnerships, limited liability companies or other entities (other than trusts) of which each shareholder, partner, member or other equity owner is either a Qualified Purchaser and (a) in the case of the Secured Notes only, Persons that are not "U.S. persons" (as defined in Regulation S) and are purchasing their beneficial interest outside of the United States in reliance on Regulation S or</w:t>
      </w:r>
    </w:p>
    <w:p>
      <w:pPr>
        <w:spacing w:after="0" w:line="2" w:lineRule="exact"/>
        <w:rPr>
          <w:sz w:val="20"/>
          <w:szCs w:val="20"/>
          <w:color w:val="auto"/>
        </w:rPr>
      </w:pPr>
    </w:p>
    <w:p>
      <w:pPr>
        <w:jc w:val="both"/>
        <w:ind w:firstLine="8"/>
        <w:spacing w:after="0" w:line="234" w:lineRule="auto"/>
        <w:tabs>
          <w:tab w:leader="none" w:pos="319"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Qualified Institutional Buyers or, solely in the case of Notes issued as Certificated Notes, Institutional Accredited Investors. The Issuer has the right to compel any beneficial owner of an interest in Global Notes that does not meet the qualifications set forth in the preceding sentence to sell its interest in such Notes, or may sell such interest on behalf of such owner, pursuant to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of the Indenture."</w:t>
      </w:r>
    </w:p>
    <w:p>
      <w:pPr>
        <w:spacing w:after="0" w:line="143" w:lineRule="exact"/>
        <w:rPr>
          <w:sz w:val="20"/>
          <w:szCs w:val="20"/>
          <w:color w:val="auto"/>
        </w:rPr>
      </w:pPr>
    </w:p>
    <w:p>
      <w:pPr>
        <w:jc w:val="both"/>
        <w:ind w:firstLine="1497"/>
        <w:spacing w:after="0" w:line="272" w:lineRule="exact"/>
        <w:rPr>
          <w:sz w:val="20"/>
          <w:szCs w:val="20"/>
          <w:color w:val="auto"/>
        </w:rPr>
      </w:pPr>
      <w:r>
        <w:rPr>
          <w:rFonts w:ascii="Times New Roman" w:cs="Times New Roman" w:eastAsia="Times New Roman" w:hAnsi="Times New Roman"/>
          <w:sz w:val="21"/>
          <w:szCs w:val="21"/>
          <w:color w:val="auto"/>
        </w:rPr>
        <w:t>"Each holder receiving this report agrees to keep all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public information herein confidential and not to use such information for any purpose other than its evaluation of its investment in the Notes;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holder may provide such information on a confidential basis to any prospective purchaser of such holder's Notes that is permitted by the terms of this</w:t>
      </w:r>
    </w:p>
    <w:p>
      <w:pPr>
        <w:spacing w:after="0" w:line="15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Indenture to acquire such holder's Notes and that agrees to keep such information confidential in accordance with the terms of the Indenture."</w:t>
      </w:r>
    </w:p>
    <w:p>
      <w:pPr>
        <w:spacing w:after="0" w:line="158" w:lineRule="exact"/>
        <w:rPr>
          <w:sz w:val="20"/>
          <w:szCs w:val="20"/>
          <w:color w:val="auto"/>
        </w:rPr>
      </w:pPr>
    </w:p>
    <w:p>
      <w:pPr>
        <w:jc w:val="both"/>
        <w:ind w:firstLine="1505"/>
        <w:spacing w:after="0" w:line="261" w:lineRule="exact"/>
        <w:tabs>
          <w:tab w:leader="none" w:pos="1943"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Placement Agent Information</w:t>
      </w:r>
      <w:r>
        <w:rPr>
          <w:rFonts w:ascii="Times New Roman" w:cs="Times New Roman" w:eastAsia="Times New Roman" w:hAnsi="Times New Roman"/>
          <w:sz w:val="22"/>
          <w:szCs w:val="22"/>
          <w:color w:val="auto"/>
        </w:rPr>
        <w:t>. The Issuer and the Placement Agent, or any successor to the Placement Agent, may post the information contained in a Monthly Report or Distribution Report to a password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protected internet site accessible only to the Holders of the Notes and to the Collateral Manager.</w:t>
      </w:r>
    </w:p>
    <w:p>
      <w:pPr>
        <w:spacing w:after="0" w:line="17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Distribution of Reports</w:t>
      </w:r>
      <w:r>
        <w:rPr>
          <w:rFonts w:ascii="Times New Roman" w:cs="Times New Roman" w:eastAsia="Times New Roman" w:hAnsi="Times New Roman"/>
          <w:sz w:val="21"/>
          <w:szCs w:val="21"/>
          <w:color w:val="auto"/>
        </w:rPr>
        <w:t>. The Collateral Trustee will make the Monthly Report and the Distribution Report</w:t>
      </w:r>
    </w:p>
    <w:p>
      <w:pPr>
        <w:spacing w:after="0" w:line="25" w:lineRule="exact"/>
        <w:rPr>
          <w:rFonts w:ascii="Times New Roman" w:cs="Times New Roman" w:eastAsia="Times New Roman" w:hAnsi="Times New Roman"/>
          <w:sz w:val="21"/>
          <w:szCs w:val="21"/>
          <w:color w:val="auto"/>
        </w:rPr>
      </w:pPr>
    </w:p>
    <w:p>
      <w:pPr>
        <w:jc w:val="both"/>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available via its website. The Collateral Trustee's website shall initially be located at https://WATCDirect.westernalliancetrust.com/. The Collateral Trustee may change the way such statements are distributed. As a condition to access to the Collateral Trustee's website, the Collateral Trustee may require registration and the acceptance of a disclaimer. The Collateral Trustee shall be entitled to rely on but shall not be responsible for the content or accuracy of any information provided in the Monthly Report and the Distribution Report which the Collateral Trustee disseminates in accordance with this Indenture and may affix thereto any disclaimer it deems appropriate in its reasonable discretion. On the Closing Date, the Issuer shall cause a schedule of the Assets owned by the Issuer (on a trade date basis) as of the Closing Date to be supplied to Moody's Analytics, Inc.</w:t>
      </w:r>
    </w:p>
    <w:p>
      <w:pPr>
        <w:spacing w:after="0" w:line="179" w:lineRule="exact"/>
        <w:rPr>
          <w:rFonts w:ascii="Times New Roman" w:cs="Times New Roman" w:eastAsia="Times New Roman" w:hAnsi="Times New Roman"/>
          <w:sz w:val="21"/>
          <w:szCs w:val="21"/>
          <w:color w:val="auto"/>
        </w:rPr>
      </w:pPr>
    </w:p>
    <w:p>
      <w:pPr>
        <w:jc w:val="both"/>
        <w:ind w:firstLine="1505"/>
        <w:spacing w:after="0" w:line="236" w:lineRule="auto"/>
        <w:tabs>
          <w:tab w:leader="none" w:pos="1943"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Investor Information Services</w:t>
      </w:r>
      <w:r>
        <w:rPr>
          <w:rFonts w:ascii="Times New Roman" w:cs="Times New Roman" w:eastAsia="Times New Roman" w:hAnsi="Times New Roman"/>
          <w:sz w:val="22"/>
          <w:szCs w:val="22"/>
          <w:color w:val="auto"/>
        </w:rPr>
        <w:t xml:space="preserve">. The Collateral Trustee shall cause an electronic copy of the information from each Monthly Report and Distribution Report to be delivered to Intex Solutions, Inc., Bloomberg LP and Moody's Analytics, Inc. and shall grant each of them access to the Collateral Trustee's website;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Collateral Trustee shall have no liability for providing such reports to Intex Solutions, Inc., Bloomberg LP or Moody's Analytics, Inc. by granting access to the Collateral Trustee's website, including for granting such access or for use of such reports by Intex Solutions, Inc., Bloomberg LP, Moody's Analytics, Inc. or their subscribers.</w:t>
      </w:r>
    </w:p>
    <w:p>
      <w:pPr>
        <w:spacing w:after="0" w:line="181"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43"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 Report</w:t>
      </w:r>
      <w:r>
        <w:rPr>
          <w:rFonts w:ascii="Times New Roman" w:cs="Times New Roman" w:eastAsia="Times New Roman" w:hAnsi="Times New Roman"/>
          <w:sz w:val="22"/>
          <w:szCs w:val="22"/>
          <w:color w:val="auto"/>
        </w:rPr>
        <w:t>. The Issuer shall compile and make available (or cause to be compiled and made available) to S&amp;P the Effective Date Report based solely on information contained in the Monthly Reports or provided by the Collateral Manager to the Collateral Administrator. The Collateral Manager shall cooperate with the Issuer and the Collateral Administrator in connection with the preparation of the Effective Date Report. Without limiting the generality of the foregoing, the Collateral Manager shall supply in a timely fashion any information maintained by it that the Issuer and the Collateral Administrator may from time to time request with respect to the Assets and reasonably need to complete the Effective Date Report or required to permit the Issuer and the Collateral Administrator to perform their obligations hereunder. The Collateral Manager shall review and verify the contents of the aforesaid reports, instructions, statements and certificates and shall send such reports, instructions, statements and certificates to the Issuer for execution.</w:t>
      </w:r>
    </w:p>
    <w:p>
      <w:pPr>
        <w:spacing w:after="0" w:line="183"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to Moody’s Analytics</w:t>
      </w:r>
      <w:r>
        <w:rPr>
          <w:rFonts w:ascii="Times New Roman" w:cs="Times New Roman" w:eastAsia="Times New Roman" w:hAnsi="Times New Roman"/>
          <w:sz w:val="22"/>
          <w:szCs w:val="22"/>
          <w:color w:val="auto"/>
        </w:rPr>
        <w:t>. The Collateral Manager or the Collateral Trustee (in each case, on behalf of the Issuer) shall provide or make available copies of this Indenture and the Offering Circular to Moody's Analytics, Inc.</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85" w:lineRule="exact"/>
        <w:rPr>
          <w:sz w:val="20"/>
          <w:szCs w:val="20"/>
          <w:color w:val="auto"/>
        </w:rPr>
      </w:pPr>
    </w:p>
    <w:p>
      <w:pPr>
        <w:jc w:val="both"/>
        <w:ind w:firstLine="1505"/>
        <w:spacing w:after="0" w:line="235" w:lineRule="auto"/>
        <w:tabs>
          <w:tab w:leader="none" w:pos="1956"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Deposit Placement Program Statement</w:t>
      </w:r>
      <w:r>
        <w:rPr>
          <w:rFonts w:ascii="Times New Roman" w:cs="Times New Roman" w:eastAsia="Times New Roman" w:hAnsi="Times New Roman"/>
          <w:sz w:val="22"/>
          <w:szCs w:val="22"/>
          <w:color w:val="auto"/>
        </w:rPr>
        <w:t xml:space="preserve">. On each day a Monthly Report or Distribution Report is made available pursuant to this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the Issuer shall compile and make available (or cause to be compiled and made available) to each Rating Agency, the Collateral Trustee, the Collateral Manager and the Placement Agent, a monthly statement (the "</w:t>
      </w:r>
      <w:r>
        <w:rPr>
          <w:rFonts w:ascii="Times New Roman" w:cs="Times New Roman" w:eastAsia="Times New Roman" w:hAnsi="Times New Roman"/>
          <w:sz w:val="22"/>
          <w:szCs w:val="22"/>
          <w:u w:val="single" w:color="auto"/>
          <w:color w:val="auto"/>
        </w:rPr>
        <w:t>Deposit Placement Program Statement</w:t>
      </w:r>
      <w:r>
        <w:rPr>
          <w:rFonts w:ascii="Times New Roman" w:cs="Times New Roman" w:eastAsia="Times New Roman" w:hAnsi="Times New Roman"/>
          <w:sz w:val="22"/>
          <w:szCs w:val="22"/>
          <w:color w:val="auto"/>
        </w:rPr>
        <w:t>"), listing the name of each FDIC-insured depository institution in which the Issuer maintained an Eligible Investment through the Deposit Placement Program, the Balance of such Eligible Investment and any other information reasonably requested by the Collateral Manager or any Rating Agency. The Deposit Placement Program Statement shall be determined as of the close of business on the Monthly Report Determination Date or the Determination Date, as the case may be, for the related calendar month.</w:t>
      </w:r>
    </w:p>
    <w:p>
      <w:pPr>
        <w:spacing w:after="0" w:line="17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u w:val="single" w:color="auto"/>
          <w:color w:val="auto"/>
        </w:rPr>
        <w:t>Section 10.8 Release of Assets</w:t>
      </w:r>
      <w:r>
        <w:rPr>
          <w:rFonts w:ascii="Times New Roman" w:cs="Times New Roman" w:eastAsia="Times New Roman" w:hAnsi="Times New Roman"/>
          <w:sz w:val="21"/>
          <w:szCs w:val="21"/>
          <w:color w:val="auto"/>
        </w:rPr>
        <w:t xml:space="preserve"> . (a) Subject to </w:t>
      </w:r>
      <w:r>
        <w:rPr>
          <w:rFonts w:ascii="Times New Roman" w:cs="Times New Roman" w:eastAsia="Times New Roman" w:hAnsi="Times New Roman"/>
          <w:sz w:val="21"/>
          <w:szCs w:val="21"/>
          <w:u w:val="single" w:color="auto"/>
          <w:color w:val="auto"/>
        </w:rPr>
        <w:t>Article XII</w:t>
      </w:r>
      <w:r>
        <w:rPr>
          <w:rFonts w:ascii="Times New Roman" w:cs="Times New Roman" w:eastAsia="Times New Roman" w:hAnsi="Times New Roman"/>
          <w:sz w:val="21"/>
          <w:szCs w:val="21"/>
          <w:color w:val="auto"/>
        </w:rPr>
        <w:t xml:space="preserve">, the Issuer may, by Issuer Order executed by an Officer of the Collateral Manager, delivered to the Collateral Trustee at least one Business Day prior to the settlement date for any sale of an Asset certifying that the sale, repurchase or substitution of such Asset is being made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12.3</w:t>
      </w:r>
      <w:r>
        <w:rPr>
          <w:rFonts w:ascii="Times New Roman" w:cs="Times New Roman" w:eastAsia="Times New Roman" w:hAnsi="Times New Roman"/>
          <w:sz w:val="21"/>
          <w:szCs w:val="21"/>
          <w:color w:val="auto"/>
        </w:rPr>
        <w:t xml:space="preserve"> hereof or Section 2.07 of the Master Loan Sale Agreement, as applicable, and such sale, repurchase or substitution complies with all applicable requirements of </w:t>
      </w:r>
      <w:r>
        <w:rPr>
          <w:rFonts w:ascii="Times New Roman" w:cs="Times New Roman" w:eastAsia="Times New Roman" w:hAnsi="Times New Roman"/>
          <w:sz w:val="21"/>
          <w:szCs w:val="21"/>
          <w:u w:val="single" w:color="auto"/>
          <w:color w:val="auto"/>
        </w:rPr>
        <w:t>Section 12.1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12.3</w:t>
      </w:r>
      <w:r>
        <w:rPr>
          <w:rFonts w:ascii="Times New Roman" w:cs="Times New Roman" w:eastAsia="Times New Roman" w:hAnsi="Times New Roman"/>
          <w:sz w:val="21"/>
          <w:szCs w:val="21"/>
          <w:color w:val="auto"/>
        </w:rPr>
        <w:t xml:space="preserve"> hereof or Section 2.07 of the Master Loan Sale Agreement, as applicable (which certification shall be deemed to have been provided by the Collateral Manager upon delivery by the Collateral Manager of an Issuer Order or other written instruction of a Responsible Officer of the Collateral Manager to the Collateral Trustee to sell any such Asset)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 Event of Default has occurred and is continuing, neither the Issuer nor the Collateral Manager (on behalf of the Issuer) may direct the Collateral Trustee to release or cause to be released such Asset from the lien of this Indenture pursuant to a sale under </w:t>
      </w:r>
      <w:r>
        <w:rPr>
          <w:rFonts w:ascii="Times New Roman" w:cs="Times New Roman" w:eastAsia="Times New Roman" w:hAnsi="Times New Roman"/>
          <w:sz w:val="21"/>
          <w:szCs w:val="21"/>
          <w:u w:val="single" w:color="auto"/>
          <w:color w:val="auto"/>
        </w:rPr>
        <w:t>Section 12.1(e)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12.1(f)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12.1(g)</w:t>
      </w:r>
      <w:r>
        <w:rPr>
          <w:rFonts w:ascii="Times New Roman" w:cs="Times New Roman" w:eastAsia="Times New Roman" w:hAnsi="Times New Roman"/>
          <w:sz w:val="21"/>
          <w:szCs w:val="21"/>
          <w:color w:val="auto"/>
        </w:rPr>
        <w:t xml:space="preserve">), direct the Collateral Trustee to release or cause to be released such Asset from the lien of this Indenture and, upon receipt of such Issuer Order, the Collateral Trustee shall deliver any such Asset, if in physical form, duly endorsed to the broker or purchaser designated in such Issuer Order or, if such Asset is a Clearing Corporation Security, cause an appropriate transfer thereof to be made, in each case against receipt of the sales price therefor as specified by the Collateral Manager in such Issuer Order;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Collateral Trustee may deliver any such Asset in physical form for examination in accordance with industry custom.</w:t>
      </w:r>
    </w:p>
    <w:p>
      <w:pPr>
        <w:spacing w:after="0" w:line="178" w:lineRule="exact"/>
        <w:rPr>
          <w:sz w:val="20"/>
          <w:szCs w:val="20"/>
          <w:color w:val="auto"/>
        </w:rPr>
      </w:pPr>
    </w:p>
    <w:p>
      <w:pPr>
        <w:jc w:val="both"/>
        <w:ind w:firstLine="1505"/>
        <w:spacing w:after="0" w:line="238" w:lineRule="auto"/>
        <w:tabs>
          <w:tab w:leader="none" w:pos="1929"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this Indenture, the Collateral Trustee shall upon an Issuer Order (i) deliver any Asset, and release or cause to be released such Asset from the lien of this Indenture, which is set for any mandatory call or redemption or payment in full to the appropriate payor or paying agent, as applicable, on or before the date set for such call, redemption or payment, in each case against receipt of the call or redemption price or payment in full thereof and (ii) provide notice thereof to the Collateral Manager.</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Trust Officer receiving actual notice of any Offer or any request for a waiver, direction, consent, amendment or other modification or action with respect to any Asset, the Collateral Trustee on behalf of the Issuer shall notify the Collateral Manager of any Asset that is subject to a tender offer, voluntary redemption, exchange offer, conversion or other similar action (an "</w:t>
      </w:r>
      <w:r>
        <w:rPr>
          <w:rFonts w:ascii="Times New Roman" w:cs="Times New Roman" w:eastAsia="Times New Roman" w:hAnsi="Times New Roman"/>
          <w:sz w:val="22"/>
          <w:szCs w:val="22"/>
          <w:u w:val="single" w:color="auto"/>
          <w:color w:val="auto"/>
        </w:rPr>
        <w:t>Offer</w:t>
      </w:r>
      <w:r>
        <w:rPr>
          <w:rFonts w:ascii="Times New Roman" w:cs="Times New Roman" w:eastAsia="Times New Roman" w:hAnsi="Times New Roman"/>
          <w:sz w:val="22"/>
          <w:szCs w:val="22"/>
          <w:color w:val="auto"/>
        </w:rPr>
        <w:t>") or such request. Unless the Secured Debt has been accelerated following an Event of Default, the Collateral Manager may, by Issuer Order, direct (x) the Collateral Trustee and the Issuer to accept or participate in or decline or refuse to participate in such Offer and, in the case of acceptance or participation, to release from the lien of this Indenture such Asset in</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accordance with the terms of the Offer against receipt of payment therefor, or (y) the Issuer or the Collateral Trustee to agree to or otherwise act with respect to such consent, direction, waiver, amendment, modification or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absence of any such direction, the Collateral Trustee shall not respond or react to such Offer or request.</w:t>
      </w:r>
    </w:p>
    <w:p>
      <w:pPr>
        <w:spacing w:after="0" w:line="173" w:lineRule="exact"/>
        <w:rPr>
          <w:sz w:val="20"/>
          <w:szCs w:val="20"/>
          <w:color w:val="auto"/>
        </w:rPr>
      </w:pPr>
    </w:p>
    <w:p>
      <w:pPr>
        <w:jc w:val="both"/>
        <w:ind w:firstLine="1505"/>
        <w:spacing w:after="0" w:line="239" w:lineRule="auto"/>
        <w:tabs>
          <w:tab w:leader="none" w:pos="1929"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provided in </w:t>
      </w:r>
      <w:r>
        <w:rPr>
          <w:rFonts w:ascii="Times New Roman" w:cs="Times New Roman" w:eastAsia="Times New Roman" w:hAnsi="Times New Roman"/>
          <w:sz w:val="22"/>
          <w:szCs w:val="22"/>
          <w:u w:val="single" w:color="auto"/>
          <w:color w:val="auto"/>
        </w:rPr>
        <w:t>Section 10.2(a)</w:t>
      </w:r>
      <w:r>
        <w:rPr>
          <w:rFonts w:ascii="Times New Roman" w:cs="Times New Roman" w:eastAsia="Times New Roman" w:hAnsi="Times New Roman"/>
          <w:sz w:val="22"/>
          <w:szCs w:val="22"/>
          <w:color w:val="auto"/>
        </w:rPr>
        <w:t xml:space="preserve">, the Collateral Trustee shall deposit any proceeds received by it from the disposition or replacement of an Asset in the applicable subaccount of the Collection Account, unless simultaneously applied to the purchase of additional Collateral Obligations or Eligible Investments as permitted under and in accordance with the requirements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upon receipt of an Issuer Order at such time as there is no Debt Outstanding and all obligations of the Issuer hereunder have been satisfied, release any remaining Assets from the lien of this Indenture.</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security, Collateral Obligation or amounts that are released pursuant to </w:t>
      </w:r>
      <w:r>
        <w:rPr>
          <w:rFonts w:ascii="Times New Roman" w:cs="Times New Roman" w:eastAsia="Times New Roman" w:hAnsi="Times New Roman"/>
          <w:sz w:val="22"/>
          <w:szCs w:val="22"/>
          <w:u w:val="single" w:color="auto"/>
          <w:color w:val="auto"/>
        </w:rPr>
        <w:t>Section 10.8(a)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shall be released from the lien of this Indenture.</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paid from the Payment Account to the Holders of the Subordinated Notes in accordance with the Priority of Payments will be released from the lien of this Indenture.</w:t>
      </w:r>
    </w:p>
    <w:p>
      <w:pPr>
        <w:spacing w:after="0" w:line="158"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10.9 Reports by Independent Accountants</w:t>
      </w:r>
      <w:r>
        <w:rPr>
          <w:rFonts w:ascii="Times New Roman" w:cs="Times New Roman" w:eastAsia="Times New Roman" w:hAnsi="Times New Roman"/>
          <w:sz w:val="22"/>
          <w:szCs w:val="22"/>
          <w:color w:val="auto"/>
        </w:rPr>
        <w:t xml:space="preserve"> . (a) At the Closing Date, the Issuer shall appoint one or more firms of Independent certified public accountants of recognized international reputation for purposes of reviewing and delivering the reports or certificates of such accountants required by this Indenture, which may be the firm of Independent certified public accountants that performs accounting services for the Issuer or the Collateral Manager. The Issuer may remove any firm of Independent certified public accountants at any time without the consent of any Holder. Upon any resignation by such firm or removal of such firm by the Issuer, the Issuer (or the Collateral Manager on behalf of the Issuer) shall promptly appoint by Issuer Order delivered to the Collateral Trustee, the Collateral Administrator, the Loan Agent and each Rating Agency a successor thereto that shall also be a firm of Independent certified public accountants of recognized international reputation, which may be a firm of Independent certified public accountants that performs accounting services for the Issuer or the Collateral Manager. If the Issuer shall fail to appoint a successor to a firm of Independent certified public accountants which has resigned within 30 days after such resignation, the Issuer shall promptly notify the Collateral Trustee of such failure in writing. If the Issuer shall not have appointed a successor within ten days thereafter, the Collateral Trustee shall promptly notify the Collateral Manager, who shall appoint a successor firm of Independent certified public accountants of recognized international reputation. The fees of such Independent certified public accountants and its successor shall be payable by the Issuer. In the event such firm requires the Collateral Trustee and/or the Collateral Administrator to agree to the procedures performed by such firm or execute an access letter or any agreement in order to access its reports, which may contain a release of any claims, liabilities and expenses arising out of or relating to such accountant's engagement, agreed-upon procedures or any report issued by such accountants under any such agreement, the Issuer hereby directs the Collateral Trustee or the Collateral Administrator, as the case may be, to so agree or execute any such access letter or agreement; it being understood and agreed that the Collateral Trustee and the Collateral</w:t>
      </w:r>
    </w:p>
    <w:p>
      <w:pPr>
        <w:spacing w:after="0" w:line="164"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Administrator, as the case may be, shall deliver such letter of agreement in conclusive reliance on the foregoing direction of the Issuer and neither the Collateral Trustee nor the Collateral Administrator shall have any responsibility to make any inquiry or investigation as to, and shall have no obligation in respect of, the sufficiency, validity, or correctness of such procedures. In addition, the Bank, the Collateral Trustee, the Loan Agent and the Collateral Administrator are hereby instructed and authorized, without liability on its part, to execute and deliver any acknowledgement, access letter, or other agreement with such firm of Independent accountants required for the Collateral Trustee (or Collateral Administrator, as applicable) to receive any of the certificates, reports or instructions provided for herein, which acknowledgement, access letter, or agreement may include, among other things, (i) acknowledgement that the Issuer has agreed that the procedures to be performed by the Independent accountants are sufficient for relevant purposes, (ii) releases by the Collateral Trustee (on behalf of itself and/or the Holders) and the Collateral Administrator of any claims, liabilities, and expenses arising out of or relating to such Independent accountant's engagement, agreed-upon procedures or any report issued by such Independent accountants under any such engagement and acknowledgement of other limitations of liability in favor of the Independent accountants, (iii) restrictions or prohibitions on the disclosure of any such certificates, reports or other information or documents provided to it by such firm of Independent accountants (including to the Holders) and (iv) such other terms and conditions that the Issuer has determined are necessary or desirable. Notwithstanding the foregoing, in no event shall the Collateral Trustee or Collateral Administrator be required to execute any agreement, acknowledgement or access letter in respect of the Independent accountants that the Collateral Trustee or the Collateral Administrator, as the case may be, reasonably determines may subject it to risk of expenses or liability for which it is not adequately indemnified or otherwise adversely affects it.</w:t>
      </w:r>
    </w:p>
    <w:p>
      <w:pPr>
        <w:spacing w:after="0" w:line="188" w:lineRule="exact"/>
        <w:rPr>
          <w:sz w:val="20"/>
          <w:szCs w:val="20"/>
          <w:color w:val="auto"/>
        </w:rPr>
      </w:pPr>
    </w:p>
    <w:p>
      <w:pPr>
        <w:jc w:val="both"/>
        <w:ind w:firstLine="1505"/>
        <w:spacing w:after="0" w:line="246" w:lineRule="auto"/>
        <w:tabs>
          <w:tab w:leader="none" w:pos="1929"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or before the date which is 30 days after the Payment Date occurring in July of each year commencing in 2025, the Issuer shall cause to be delivered to the Collateral Trustee, the Loan Agent (for delivery to the Class A-1 Lenders), the Collateral Manager, each Holder upon written request therefor and each Rating Agency a statement from a firm of Independent certified public accountants for each Distribution Report prepared in April and October of the prior year (i) indicating that the calculations within those Distribution Reports (excluding the S&amp;P CDO Monitor Test) have been performed in accordance with the applicable provisions of this Indenture and (ii) listing the Aggregate Principal Balance of the Assets and the Aggregate Principal Balance of the Collateral Obligations securing the Secured Debt as of the relevant Determination Dates;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of a conflict between such firm of Independent certified public accountants and the Issuer with respect to any matter in this </w:t>
      </w:r>
      <w:r>
        <w:rPr>
          <w:rFonts w:ascii="Times New Roman" w:cs="Times New Roman" w:eastAsia="Times New Roman" w:hAnsi="Times New Roman"/>
          <w:sz w:val="21"/>
          <w:szCs w:val="21"/>
          <w:u w:val="single" w:color="auto"/>
          <w:color w:val="auto"/>
        </w:rPr>
        <w:t>Section 10.9</w:t>
      </w:r>
      <w:r>
        <w:rPr>
          <w:rFonts w:ascii="Times New Roman" w:cs="Times New Roman" w:eastAsia="Times New Roman" w:hAnsi="Times New Roman"/>
          <w:sz w:val="21"/>
          <w:szCs w:val="21"/>
          <w:color w:val="auto"/>
        </w:rPr>
        <w:t>, the determination by such firm of Independent public accountants shall be conclusive.</w:t>
      </w:r>
    </w:p>
    <w:p>
      <w:pPr>
        <w:spacing w:after="0" w:line="175" w:lineRule="exact"/>
        <w:rPr>
          <w:rFonts w:ascii="Times New Roman" w:cs="Times New Roman" w:eastAsia="Times New Roman" w:hAnsi="Times New Roman"/>
          <w:sz w:val="21"/>
          <w:szCs w:val="21"/>
          <w:color w:val="auto"/>
        </w:rPr>
      </w:pPr>
    </w:p>
    <w:p>
      <w:pPr>
        <w:jc w:val="both"/>
        <w:ind w:firstLine="1505"/>
        <w:spacing w:after="0" w:line="239" w:lineRule="auto"/>
        <w:tabs>
          <w:tab w:leader="none" w:pos="1929"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written request of the Collateral Trustee (at the request of a Holder of Subordinated Notes) or any Holder of a Subordinated Note, the Issuer will cause the firm of Independent certified public accountants appointed pursuant to </w:t>
      </w:r>
      <w:r>
        <w:rPr>
          <w:rFonts w:ascii="Times New Roman" w:cs="Times New Roman" w:eastAsia="Times New Roman" w:hAnsi="Times New Roman"/>
          <w:sz w:val="22"/>
          <w:szCs w:val="22"/>
          <w:u w:val="single" w:color="auto"/>
          <w:color w:val="auto"/>
        </w:rPr>
        <w:t>Section 10.9(a)</w:t>
      </w:r>
      <w:r>
        <w:rPr>
          <w:rFonts w:ascii="Times New Roman" w:cs="Times New Roman" w:eastAsia="Times New Roman" w:hAnsi="Times New Roman"/>
          <w:sz w:val="22"/>
          <w:szCs w:val="22"/>
          <w:color w:val="auto"/>
        </w:rPr>
        <w:t xml:space="preserve"> to provide any Holder of Subordinated Notes with all of the information required to be provided by the Issuer or pursuant to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 xml:space="preserve"> or assist the Issuer in the preparation thereof.</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10.10 Reports to Rating Agencies and Additional Recipients</w:t>
      </w:r>
      <w:r>
        <w:rPr>
          <w:rFonts w:ascii="Times New Roman" w:cs="Times New Roman" w:eastAsia="Times New Roman" w:hAnsi="Times New Roman"/>
          <w:sz w:val="22"/>
          <w:szCs w:val="22"/>
          <w:color w:val="auto"/>
        </w:rPr>
        <w:t>. In addition to the information and reports specifically required to be provided to each Rating Agency pursuant to the terms of this Indenture, the Issuer shall provide each Rating Agency with all information or</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85" w:lineRule="exact"/>
        <w:rPr>
          <w:sz w:val="20"/>
          <w:szCs w:val="20"/>
          <w:color w:val="auto"/>
        </w:rPr>
      </w:pPr>
    </w:p>
    <w:p>
      <w:pPr>
        <w:jc w:val="both"/>
        <w:spacing w:after="0" w:line="247" w:lineRule="exact"/>
        <w:rPr>
          <w:sz w:val="20"/>
          <w:szCs w:val="20"/>
          <w:color w:val="auto"/>
        </w:rPr>
      </w:pPr>
      <w:r>
        <w:rPr>
          <w:rFonts w:ascii="Times New Roman" w:cs="Times New Roman" w:eastAsia="Times New Roman" w:hAnsi="Times New Roman"/>
          <w:sz w:val="21"/>
          <w:szCs w:val="21"/>
          <w:color w:val="auto"/>
        </w:rPr>
        <w:t xml:space="preserve">reports delivered to the Collateral Trustee hereunder, and such additional information as a Rating Agency may from time to time reasonably request (including notification to S&amp;P of (i) any Specified Amendment, which notice shall include (x) a copy of such Specified Amendment, (y) a brief summary of its purpose and (z) which criteria under the definition of "Collateral Obligation" are no longer satisfied with respect to such Collateral Obligation after giving effect to the Specified Amendment, if any), and (ii) of the occurrence of (x) an event with respect to a Collateral Obligation that has a credit estimate from S&amp;P and which in the reasonable business judgment of the Collateral Manager would require such notification to S&amp;P under S&amp;P's Credit Estimate Guidelines, and (y) to the extent not reported pursuant to the foregoing clauses, any other material event that is known to the Issuer or the Collateral Manager with respect to any Collateral Obligation if the Collateral Manager determines that such event is a material event as described in S&amp;P's published criteria for credit estimates titled "Credit FAQ: Anatomy Of A Credit Estimate: What It Means And How We Do It " dated January 2021 (as the same may be amended or updated from time to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notification to S&amp;P shall be delivered to creditestimates@spglobal.com. Within 10 Business Days after the Effective Date, together with each Monthly Report and on each Payment Date, the Issuer shall provide to S&amp;P, via 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mail in accordance with </w:t>
      </w:r>
      <w:r>
        <w:rPr>
          <w:rFonts w:ascii="Times New Roman" w:cs="Times New Roman" w:eastAsia="Times New Roman" w:hAnsi="Times New Roman"/>
          <w:sz w:val="21"/>
          <w:szCs w:val="21"/>
          <w:u w:val="single" w:color="auto"/>
          <w:color w:val="auto"/>
        </w:rPr>
        <w:t>Section 14.3(a)</w:t>
      </w:r>
      <w:r>
        <w:rPr>
          <w:rFonts w:ascii="Times New Roman" w:cs="Times New Roman" w:eastAsia="Times New Roman" w:hAnsi="Times New Roman"/>
          <w:sz w:val="21"/>
          <w:szCs w:val="21"/>
          <w:color w:val="auto"/>
        </w:rPr>
        <w:t>, a Microsoft Excel file of the Excel Default Model Input File and, with respect to each Collateral Obligation, the name of each obligor thereof, the CUSIP number thereof (if applicable) and the Priority Category thereof.</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10.11 Securitization Regulations</w:t>
      </w:r>
      <w:r>
        <w:rPr>
          <w:rFonts w:ascii="Times New Roman" w:cs="Times New Roman" w:eastAsia="Times New Roman" w:hAnsi="Times New Roman"/>
          <w:sz w:val="22"/>
          <w:szCs w:val="22"/>
          <w:color w:val="auto"/>
        </w:rPr>
        <w:t xml:space="preserve"> . The Issuer shall (with the assistance of the Collateral Manager and the Collateral Trustee) promptly notify the Collateral Manager, the Retention Holder, the Collateral Trustee and the Noteholders upon becoming aware of the occurrence of any of the events specified in Article 7(1)(g) of the EU Securitization Regulation and in the UK Transparency Requirements and without undue delay ensure (with the assistance of the Collateral Manager and Collateral Trustee) the dissemination of such information as required by the EU/UK Transparency Requirements.</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10.12 Procedures Relating to the Establishment of Accounts Controlled by the Collateral Trustee . Notwithstanding anything else contained herein, the Collateral Trustee agrees that with respect to each of the Accounts, it will require each Securities Intermediary establishing such accounts to enter into a securities account control agreement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 The Collateral Trustee shall have the right to open such subaccounts of any such account as it deems necessary or appropriate for convenience of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-649605</wp:posOffset>
            </wp:positionV>
            <wp:extent cx="61442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144260" cy="8255"/>
                    </a:xfrm>
                    <a:prstGeom prst="rect">
                      <a:avLst/>
                    </a:prstGeom>
                    <a:noFill/>
                  </pic:spPr>
                </pic:pic>
              </a:graphicData>
            </a:graphic>
          </wp:anchor>
        </w:drawing>
      </w:r>
    </w:p>
    <w:p>
      <w:pPr>
        <w:spacing w:after="0" w:line="157" w:lineRule="exact"/>
        <w:rPr>
          <w:sz w:val="20"/>
          <w:szCs w:val="20"/>
          <w:color w:val="auto"/>
        </w:rPr>
      </w:pPr>
    </w:p>
    <w:p>
      <w:pPr>
        <w:ind w:left="1500"/>
        <w:spacing w:after="0"/>
        <w:tabs>
          <w:tab w:leader="none" w:pos="5440" w:val="left"/>
        </w:tabs>
        <w:rPr>
          <w:sz w:val="20"/>
          <w:szCs w:val="20"/>
          <w:color w:val="auto"/>
        </w:rPr>
      </w:pPr>
      <w:r>
        <w:rPr>
          <w:rFonts w:ascii="Times New Roman" w:cs="Times New Roman" w:eastAsia="Times New Roman" w:hAnsi="Times New Roman"/>
          <w:sz w:val="22"/>
          <w:szCs w:val="22"/>
          <w:u w:val="single" w:color="auto"/>
          <w:color w:val="auto"/>
        </w:rPr>
        <w:t>Section 10.13 Section 3(c)(7) Procedures</w:t>
      </w:r>
      <w:r>
        <w:rPr>
          <w:rFonts w:ascii="Times New Roman" w:cs="Times New Roman" w:eastAsia="Times New Roman" w:hAnsi="Times New Roman"/>
          <w:sz w:val="22"/>
          <w:szCs w:val="22"/>
          <w:color w:val="auto"/>
        </w:rPr>
        <w:t xml:space="preserve"> .</w:t>
      </w:r>
      <w:r>
        <w:rPr>
          <w:sz w:val="20"/>
          <w:szCs w:val="20"/>
          <w:color w:val="auto"/>
        </w:rPr>
        <w:tab/>
      </w:r>
      <w:r>
        <w:rPr>
          <w:rFonts w:ascii="Times New Roman" w:cs="Times New Roman" w:eastAsia="Times New Roman" w:hAnsi="Times New Roman"/>
          <w:sz w:val="22"/>
          <w:szCs w:val="22"/>
          <w:color w:val="auto"/>
        </w:rPr>
        <w:t>For so long as any Debt is Outstanding, the Issuer shall do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w:t>
      </w:r>
    </w:p>
    <w:p>
      <w:pPr>
        <w:spacing w:after="0" w:line="182" w:lineRule="exact"/>
        <w:rPr>
          <w:sz w:val="20"/>
          <w:szCs w:val="20"/>
          <w:color w:val="auto"/>
        </w:rPr>
      </w:pPr>
    </w:p>
    <w:p>
      <w:pPr>
        <w:ind w:firstLine="1505"/>
        <w:spacing w:after="0" w:line="258" w:lineRule="auto"/>
        <w:tabs>
          <w:tab w:leader="none" w:pos="1943"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w:t>
      </w:r>
      <w:r>
        <w:rPr>
          <w:rFonts w:ascii="Times New Roman" w:cs="Times New Roman" w:eastAsia="Times New Roman" w:hAnsi="Times New Roman"/>
          <w:sz w:val="22"/>
          <w:szCs w:val="22"/>
          <w:color w:val="auto"/>
        </w:rPr>
        <w:t>. Each Monthly Report sent or caused to be sent by the Issuer to the Holders will include a notice to the following effect:</w:t>
      </w:r>
    </w:p>
    <w:p>
      <w:pPr>
        <w:spacing w:after="0" w:line="15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"The Investment Company Act of 1940, as amended (the "1940 Act"), requires that ALL holders of the outstanding securities of the Issuer be "Qualified Purchasers" (" </w:t>
      </w:r>
      <w:r>
        <w:rPr>
          <w:rFonts w:ascii="Times New Roman" w:cs="Times New Roman" w:eastAsia="Times New Roman" w:hAnsi="Times New Roman"/>
          <w:sz w:val="22"/>
          <w:szCs w:val="22"/>
          <w:u w:val="single" w:color="auto"/>
          <w:color w:val="auto"/>
        </w:rPr>
        <w:t>Qualified Purchasers</w:t>
      </w:r>
      <w:r>
        <w:rPr>
          <w:rFonts w:ascii="Times New Roman" w:cs="Times New Roman" w:eastAsia="Times New Roman" w:hAnsi="Times New Roman"/>
          <w:sz w:val="22"/>
          <w:szCs w:val="22"/>
          <w:color w:val="auto"/>
        </w:rPr>
        <w:t>") as defined in Section 2(a)(51)(A) of the 1940 Act and related rules. Under the rules, the Issuer must have a "reasonable belief" that all holders of its outstanding securities, including transferees, are Qualified Purchasers. Consequently, all sales and resales of the Notes must be</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209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0" w:name="page221"/>
    <w:bookmarkEnd w:id="220"/>
    <w:p>
      <w:pPr>
        <w:jc w:val="both"/>
        <w:spacing w:after="0" w:line="233" w:lineRule="auto"/>
        <w:rPr>
          <w:sz w:val="20"/>
          <w:szCs w:val="20"/>
          <w:color w:val="auto"/>
        </w:rPr>
      </w:pPr>
      <w:r>
        <w:rPr>
          <w:rFonts w:ascii="Times New Roman" w:cs="Times New Roman" w:eastAsia="Times New Roman" w:hAnsi="Times New Roman"/>
          <w:sz w:val="22"/>
          <w:szCs w:val="22"/>
          <w:color w:val="auto"/>
        </w:rPr>
        <w:t>made solely to purchasers that are Qualified Purchasers. Each purchaser of a Note will be deemed (or required, as the case may be) to represent at the time of purchase that: (i) the purchaser is a Qualified Purchaser who is either (x) solely in the case of Notes issued as Certificated Notes, an institutional accredited investor ("</w:t>
      </w:r>
      <w:r>
        <w:rPr>
          <w:rFonts w:ascii="Times New Roman" w:cs="Times New Roman" w:eastAsia="Times New Roman" w:hAnsi="Times New Roman"/>
          <w:sz w:val="22"/>
          <w:szCs w:val="22"/>
          <w:u w:val="single" w:color="auto"/>
          <w:color w:val="auto"/>
        </w:rPr>
        <w:t>IAI</w:t>
      </w:r>
      <w:r>
        <w:rPr>
          <w:rFonts w:ascii="Times New Roman" w:cs="Times New Roman" w:eastAsia="Times New Roman" w:hAnsi="Times New Roman"/>
          <w:sz w:val="22"/>
          <w:szCs w:val="22"/>
          <w:color w:val="auto"/>
        </w:rPr>
        <w:t>") within the meaning of Rule 501(a)(1), (2), (3) or (7) under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(y) a qualified institutional buyer as defined in Rule 144A under the Securities Act ("</w:t>
      </w:r>
      <w:r>
        <w:rPr>
          <w:rFonts w:ascii="Times New Roman" w:cs="Times New Roman" w:eastAsia="Times New Roman" w:hAnsi="Times New Roman"/>
          <w:sz w:val="22"/>
          <w:szCs w:val="22"/>
          <w:u w:val="single" w:color="auto"/>
          <w:color w:val="auto"/>
        </w:rPr>
        <w:t>QIB</w:t>
      </w:r>
      <w:r>
        <w:rPr>
          <w:rFonts w:ascii="Times New Roman" w:cs="Times New Roman" w:eastAsia="Times New Roman" w:hAnsi="Times New Roman"/>
          <w:sz w:val="22"/>
          <w:szCs w:val="22"/>
          <w:color w:val="auto"/>
        </w:rPr>
        <w:t>") or (z) not a "U.S. persons"(as defined in Regulation S) and purchased its Note outside of the United States in reliance on Regulation S; (ii) the purchaser is acting for its own account or the account of another Qualified Purchaser and QIB/IAI (as applicable); (iii) the purchaser is not formed for the purpose of investing in the Issuer; (iv) the purchaser, and each account for which it is purchasing, will hold and transfer at least the Minimum Denomination of the Notes specified herein; (v) the purchaser understands that the Issuer may receive a list of participants holding positions in securities from one or more book-entry depositories; and (vi) the purchaser will provide written notice of the foregoing, and of any applicable restrictions on transfer, to any subsequent transferees. The Notes may only be transferred to another Qualified Purchaser and QIB/IAI (as applicable) and all subsequent transferees are deemed to have made representations (i) through (vi) above."</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"The Issuer directs that the recipient of this notice, and any recipient of a copy of this notice, provide a copy to any Person having an interest in this Note as indicated on the books of DTC or on the books of a participant in DTC or on the books of an indirect participant for which such participant in DTC acts as agent."</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"The Indenture provides that if, notwithstanding the restrictions on transfer contained therein, the Issuer determines that any Person who is a holder of, or beneficial owner of an interest in, a Note is determined not to have been a Qualified Purchaser at the time of acquisition of such Note or beneficial interest therein, the Issuer may require, by notice to such Holder or beneficial owner, that such Holder or beneficial owner sell all of its right, title and interest to such Note (or any interest therein) to a Person that is a Qualified Purchaser that is either (x) in the case of the Secured Notes only, a non-"U.S. person" (as defined in Regulation S) acquiring the Notes in outside the United States in reliance on the exemption from registration provided by Regulation S, or (y) either a QIB or (solely in the case of a Note issued as a Certificated Note) an IAI, with such sale to be effected within 30 days after notice of such sale requirement is given. If such holder or beneficial owner fails to effect the transfer required within such 30-day period, (i) the Issuer or the Collateral Manager acting for the Issuer, without further notice to such holder, shall and is hereby irrevocably authorized by such holder or beneficial owner, to cause its Note, or beneficial interest therein to be transferred in a commercially reasonable sale (conducted by the Collateral Manager in accordance with Article 9 of the UCC as in effect in the State of New York as applied to securities that are sold on a recognized market or that may decline speedily in value) to a Person that certifies to the Collateral Trustee, the Issuer and the Collateral Manager, in connection with such transfer, that such Person meets the qualifications set forth in clauses (x) and (y) above and (ii) pending such transfer, no further payments will be made in respect of such Note, or beneficial interest therein held by such holder or beneficial owner."</w:t>
      </w:r>
    </w:p>
    <w:p>
      <w:pPr>
        <w:spacing w:after="0" w:line="178"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u w:val="single" w:color="auto"/>
          <w:color w:val="auto"/>
        </w:rPr>
        <w:t>DTC Actions</w:t>
      </w:r>
      <w:r>
        <w:rPr>
          <w:rFonts w:ascii="Times New Roman" w:cs="Times New Roman" w:eastAsia="Times New Roman" w:hAnsi="Times New Roman"/>
          <w:sz w:val="21"/>
          <w:szCs w:val="21"/>
          <w:color w:val="auto"/>
        </w:rPr>
        <w:t>. The Issuer will direct DTC to take the following steps in connection with the Global Notes:</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210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1" w:name="page222"/>
    <w:bookmarkEnd w:id="221"/>
    <w:p>
      <w:pPr>
        <w:spacing w:after="0" w:line="150" w:lineRule="exact"/>
        <w:rPr>
          <w:sz w:val="20"/>
          <w:szCs w:val="20"/>
          <w:color w:val="auto"/>
        </w:rPr>
      </w:pPr>
    </w:p>
    <w:p>
      <w:pPr>
        <w:jc w:val="both"/>
        <w:ind w:left="760" w:firstLine="1015"/>
        <w:spacing w:after="0" w:line="277" w:lineRule="exact"/>
        <w:tabs>
          <w:tab w:leader="none" w:pos="2210"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will direct DTC to include the marker "3c7" in the DTC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character security descriptor and the 48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character additional descriptor for the Global Notes in order to indicate that sales are limited to Qualified Purchasers.</w:t>
      </w:r>
    </w:p>
    <w:p>
      <w:pPr>
        <w:spacing w:after="0" w:line="177" w:lineRule="exact"/>
        <w:rPr>
          <w:rFonts w:ascii="Times New Roman" w:cs="Times New Roman" w:eastAsia="Times New Roman" w:hAnsi="Times New Roman"/>
          <w:sz w:val="22"/>
          <w:szCs w:val="22"/>
          <w:color w:val="auto"/>
        </w:rPr>
      </w:pPr>
    </w:p>
    <w:p>
      <w:pPr>
        <w:jc w:val="both"/>
        <w:ind w:left="760" w:firstLine="1015"/>
        <w:spacing w:after="0" w:line="257" w:lineRule="exact"/>
        <w:tabs>
          <w:tab w:leader="none" w:pos="2210"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will direct DTC to cause each physical deliver order ticket that is delivered by DTC to purchasers to contain the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character security descriptor. The Issuer will direct DTC to cause each deliver order ticket that is delivered by DTC to purchasers in electronic form to contain a "3c7" indicator and a related user manual for participants. Such user manual will contain a description of the relevant restrictions imposed by Section 3(c)(7).</w:t>
      </w:r>
    </w:p>
    <w:p>
      <w:pPr>
        <w:spacing w:after="0" w:line="176" w:lineRule="exact"/>
        <w:rPr>
          <w:rFonts w:ascii="Times New Roman" w:cs="Times New Roman" w:eastAsia="Times New Roman" w:hAnsi="Times New Roman"/>
          <w:sz w:val="22"/>
          <w:szCs w:val="22"/>
          <w:color w:val="auto"/>
        </w:rPr>
      </w:pPr>
    </w:p>
    <w:p>
      <w:pPr>
        <w:ind w:left="760" w:firstLine="1015"/>
        <w:spacing w:after="0" w:line="258" w:lineRule="auto"/>
        <w:tabs>
          <w:tab w:leader="none" w:pos="2210"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the Issuer will instruct DTC to send a Section 3(c)(7) Notice to all DTC participants in connection with the offering of the Global Notes.</w:t>
      </w:r>
    </w:p>
    <w:p>
      <w:pPr>
        <w:spacing w:after="0" w:line="158"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obligations of the Note Registrar set forth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the Issuer will from time to time (upon the request of the Collateral Trustee) make a request to DTC to deliver to the Issuer a list of all DTC participants holding an interest in the Global Notes.</w:t>
      </w:r>
    </w:p>
    <w:p>
      <w:pPr>
        <w:spacing w:after="0" w:line="173" w:lineRule="exact"/>
        <w:rPr>
          <w:rFonts w:ascii="Times New Roman" w:cs="Times New Roman" w:eastAsia="Times New Roman" w:hAnsi="Times New Roman"/>
          <w:sz w:val="22"/>
          <w:szCs w:val="22"/>
          <w:color w:val="auto"/>
        </w:rPr>
      </w:pPr>
    </w:p>
    <w:p>
      <w:pPr>
        <w:ind w:left="760" w:right="20" w:firstLine="1015"/>
        <w:spacing w:after="0" w:line="258" w:lineRule="auto"/>
        <w:tabs>
          <w:tab w:leader="none" w:pos="2210"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will cause each CUSIP number obtained for a Global Note to have a fixed field containing "3c7" and "144A" indicators, as applicable, attached to such CUSIP number.</w:t>
      </w:r>
    </w:p>
    <w:p>
      <w:pPr>
        <w:spacing w:after="0" w:line="123" w:lineRule="exact"/>
        <w:rPr>
          <w:rFonts w:ascii="Times New Roman" w:cs="Times New Roman" w:eastAsia="Times New Roman" w:hAnsi="Times New Roman"/>
          <w:sz w:val="22"/>
          <w:szCs w:val="22"/>
          <w:color w:val="auto"/>
        </w:rPr>
      </w:pPr>
    </w:p>
    <w:p>
      <w:pPr>
        <w:jc w:val="both"/>
        <w:ind w:firstLine="1505"/>
        <w:spacing w:after="0" w:line="268" w:lineRule="exact"/>
        <w:tabs>
          <w:tab w:leader="none" w:pos="1943"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Bloomberg Screens, Etc</w:t>
      </w:r>
      <w:r>
        <w:rPr>
          <w:rFonts w:ascii="Times New Roman" w:cs="Times New Roman" w:eastAsia="Times New Roman" w:hAnsi="Times New Roman"/>
          <w:sz w:val="22"/>
          <w:szCs w:val="22"/>
          <w:color w:val="auto"/>
        </w:rPr>
        <w:t>. The Issuer will from time to time request all third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party vendors to include on screens maintained by such vendors appropriate legends regarding Rule 144A and Section 3(c)(7) under the 1940 Act restrictions on the Global Notes. Without limiting the foregoing, the Placement Agent will request that each third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party vendor include the following legends on each screen containing information about the Notes:</w:t>
      </w:r>
    </w:p>
    <w:p>
      <w:pPr>
        <w:spacing w:after="0" w:line="178"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Bloomberg.</w:t>
      </w:r>
    </w:p>
    <w:p>
      <w:pPr>
        <w:spacing w:after="0" w:line="206"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2"/>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"Iss'd Under 144A/3c7," to be stated in the "Note Box" on the bottom of the "Security Display" page describing the Global Notes;</w:t>
      </w:r>
    </w:p>
    <w:p>
      <w:pPr>
        <w:spacing w:after="0" w:line="158" w:lineRule="exact"/>
        <w:rPr>
          <w:rFonts w:ascii="Times New Roman" w:cs="Times New Roman" w:eastAsia="Times New Roman" w:hAnsi="Times New Roman"/>
          <w:sz w:val="22"/>
          <w:szCs w:val="22"/>
          <w:color w:val="auto"/>
        </w:rPr>
      </w:pPr>
    </w:p>
    <w:p>
      <w:pPr>
        <w:ind w:left="1500" w:right="60" w:firstLine="754"/>
        <w:spacing w:after="0" w:line="258" w:lineRule="auto"/>
        <w:tabs>
          <w:tab w:leader="none" w:pos="2681" w:val="left"/>
        </w:tabs>
        <w:numPr>
          <w:ilvl w:val="2"/>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flashing red indicator stating "See Other Available Information" located on the "Security Display" page;</w:t>
      </w:r>
    </w:p>
    <w:p>
      <w:pPr>
        <w:spacing w:after="0" w:line="158" w:lineRule="exact"/>
        <w:rPr>
          <w:rFonts w:ascii="Times New Roman" w:cs="Times New Roman" w:eastAsia="Times New Roman" w:hAnsi="Times New Roman"/>
          <w:sz w:val="22"/>
          <w:szCs w:val="22"/>
          <w:color w:val="auto"/>
        </w:rPr>
      </w:pPr>
    </w:p>
    <w:p>
      <w:pPr>
        <w:jc w:val="both"/>
        <w:ind w:left="1500" w:firstLine="754"/>
        <w:spacing w:after="0" w:line="255" w:lineRule="auto"/>
        <w:tabs>
          <w:tab w:leader="none" w:pos="2681" w:val="left"/>
        </w:tabs>
        <w:numPr>
          <w:ilvl w:val="2"/>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link to an "Additional Security Information" page on such indicator stating that the Global Notes are being offered in reliance on the exception from registration under Rule 144A under the Securities Act of 1933 to Persons that are both (i) "Qualified Institutional Buyers" as defined in Rule 144A under the Securities Act and (ii) "Qualified Purchasers" as defined under Section 2(a)(51) of the 1940 Act, as amended; and</w:t>
      </w:r>
    </w:p>
    <w:p>
      <w:pPr>
        <w:spacing w:after="0" w:line="161" w:lineRule="exact"/>
        <w:rPr>
          <w:rFonts w:ascii="Times New Roman" w:cs="Times New Roman" w:eastAsia="Times New Roman" w:hAnsi="Times New Roman"/>
          <w:sz w:val="21"/>
          <w:szCs w:val="21"/>
          <w:color w:val="auto"/>
        </w:rPr>
      </w:pPr>
    </w:p>
    <w:p>
      <w:pPr>
        <w:jc w:val="both"/>
        <w:ind w:left="1500" w:firstLine="754"/>
        <w:spacing w:after="0" w:line="244" w:lineRule="auto"/>
        <w:tabs>
          <w:tab w:leader="none" w:pos="2681" w:val="left"/>
        </w:tabs>
        <w:numPr>
          <w:ilvl w:val="2"/>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on the "Disclaimer" page for the Global Notes that the Notes will not be and have not been registered under the Securities Act, as amended, that the Issuer has not been registered under the 1940 Act, as amended,</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211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and that the Global Notes may only be offered or sold in accordance with Section 3(c)(7) of the 1940 Act.</w:t>
      </w:r>
    </w:p>
    <w:p>
      <w:pPr>
        <w:spacing w:after="0" w:line="206" w:lineRule="exact"/>
        <w:rPr>
          <w:sz w:val="20"/>
          <w:szCs w:val="20"/>
          <w:color w:val="auto"/>
        </w:rPr>
      </w:pPr>
    </w:p>
    <w:p>
      <w:pPr>
        <w:ind w:left="2200" w:hanging="425"/>
        <w:spacing w:after="0"/>
        <w:tabs>
          <w:tab w:leader="none" w:pos="220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Reuters.</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"144A – 3c7" notation included in the security name field at the top of the Reuters Instrument</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screen;</w:t>
      </w:r>
    </w:p>
    <w:p>
      <w:pPr>
        <w:spacing w:after="0" w:line="182"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"144A–3c7Disclaimer" indicator appearing on the right side of the Reuters Instrument Code</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screen; and</w:t>
      </w:r>
    </w:p>
    <w:p>
      <w:pPr>
        <w:spacing w:after="0" w:line="182" w:lineRule="exact"/>
        <w:rPr>
          <w:rFonts w:ascii="Times New Roman" w:cs="Times New Roman" w:eastAsia="Times New Roman" w:hAnsi="Times New Roman"/>
          <w:sz w:val="22"/>
          <w:szCs w:val="22"/>
          <w:color w:val="auto"/>
        </w:rPr>
      </w:pPr>
    </w:p>
    <w:p>
      <w:pPr>
        <w:jc w:val="both"/>
        <w:ind w:left="1500" w:right="20" w:firstLine="754"/>
        <w:spacing w:after="0" w:line="239" w:lineRule="auto"/>
        <w:tabs>
          <w:tab w:leader="none" w:pos="2681"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link from such "144A–3c7Disclaimer" indicator to a disclaimer screen containing the following language: "These Notes may be sold or transferred only to Persons who are both (i) Qualified Institutional Buyers, as defined in Rule 144A under the Securities Act, and (ii) Qualified Purchasers, as defined under Section 3(c)(7) under the U.S. Investment Company Act of 1940."</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APPLICATION OF MONIES</w:t>
      </w:r>
    </w:p>
    <w:p>
      <w:pPr>
        <w:spacing w:after="0" w:line="210"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u w:val="single" w:color="auto"/>
          <w:color w:val="auto"/>
        </w:rPr>
        <w:t>Section 11.1 Disbursements of Monies from Payment Account</w:t>
      </w:r>
      <w:r>
        <w:rPr>
          <w:rFonts w:ascii="Times New Roman" w:cs="Times New Roman" w:eastAsia="Times New Roman" w:hAnsi="Times New Roman"/>
          <w:sz w:val="21"/>
          <w:szCs w:val="21"/>
          <w:color w:val="auto"/>
        </w:rPr>
        <w:t xml:space="preserve"> . (a) Notwithstanding any other provision herein, but subject to the other subsections of this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and to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on each Payment Date, the Collateral Trustee shall disburse amounts transferred from the Collection Account to the Payment Account pursuant to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in accordance with the following priorities (the "</w:t>
      </w:r>
      <w:r>
        <w:rPr>
          <w:rFonts w:ascii="Times New Roman" w:cs="Times New Roman" w:eastAsia="Times New Roman" w:hAnsi="Times New Roman"/>
          <w:sz w:val="21"/>
          <w:szCs w:val="21"/>
          <w:u w:val="single" w:color="auto"/>
          <w:color w:val="auto"/>
        </w:rPr>
        <w:t>Priority of Payments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unless an Enforcement Event has occurred and is continuing and other than as provided in </w:t>
      </w:r>
      <w:r>
        <w:rPr>
          <w:rFonts w:ascii="Times New Roman" w:cs="Times New Roman" w:eastAsia="Times New Roman" w:hAnsi="Times New Roman"/>
          <w:sz w:val="21"/>
          <w:szCs w:val="21"/>
          <w:u w:val="single" w:color="auto"/>
          <w:color w:val="auto"/>
        </w:rPr>
        <w:t>Section 11.1(a)(iv)</w:t>
      </w:r>
      <w:r>
        <w:rPr>
          <w:rFonts w:ascii="Times New Roman" w:cs="Times New Roman" w:eastAsia="Times New Roman" w:hAnsi="Times New Roman"/>
          <w:sz w:val="21"/>
          <w:szCs w:val="21"/>
          <w:color w:val="auto"/>
        </w:rPr>
        <w:t xml:space="preserve"> on any Redemption Date in part but not in whole that is not also a Payment Date, (x) amounts transferred from the Interest Collection Subaccount shall be applied solely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11.1(a)(i)</w:t>
      </w:r>
      <w:r>
        <w:rPr>
          <w:rFonts w:ascii="Times New Roman" w:cs="Times New Roman" w:eastAsia="Times New Roman" w:hAnsi="Times New Roman"/>
          <w:sz w:val="21"/>
          <w:szCs w:val="21"/>
          <w:color w:val="auto"/>
        </w:rPr>
        <w:t xml:space="preserve">; and (y) amounts transferred from the Principal Collection Subaccount shall be applied solely in accordance with </w:t>
      </w:r>
      <w:r>
        <w:rPr>
          <w:rFonts w:ascii="Times New Roman" w:cs="Times New Roman" w:eastAsia="Times New Roman" w:hAnsi="Times New Roman"/>
          <w:sz w:val="21"/>
          <w:szCs w:val="21"/>
          <w:u w:val="single" w:color="auto"/>
          <w:color w:val="auto"/>
        </w:rPr>
        <w:t>Section 11.1(a)(ii)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all payments on the Class A-1 Loans shall be made to the Loan Agent for distribution to the Class A-1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for so long as the Bank is the Collateral Trustee and the Loan Agent, such payments may (but shall not be required to) be made under this Indenture from the Payment Account to the Class A-1 Lenders and in such event shall be deemed to have been made first to the Loan Agent and then distributed to the Class A-1 Lenders.</w:t>
      </w:r>
    </w:p>
    <w:p>
      <w:pPr>
        <w:spacing w:after="0" w:line="177" w:lineRule="exact"/>
        <w:rPr>
          <w:sz w:val="20"/>
          <w:szCs w:val="20"/>
          <w:color w:val="auto"/>
        </w:rPr>
      </w:pPr>
    </w:p>
    <w:p>
      <w:pPr>
        <w:jc w:val="both"/>
        <w:ind w:left="760" w:firstLine="1015"/>
        <w:spacing w:after="0" w:line="261" w:lineRule="auto"/>
        <w:tabs>
          <w:tab w:leader="none" w:pos="2210"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each Payment Date other than the Stated Maturity, unless an Enforcement Event has occurred and is continuing, Interest Proceeds on deposit in the Collection Account, to the extent received on or before the related Determination Date and that are transferred into the Payment Account, shall be applied in the following order of priority:</w:t>
      </w:r>
    </w:p>
    <w:p>
      <w:pPr>
        <w:spacing w:after="0" w:line="153" w:lineRule="exact"/>
        <w:rPr>
          <w:rFonts w:ascii="Times New Roman" w:cs="Times New Roman" w:eastAsia="Times New Roman" w:hAnsi="Times New Roman"/>
          <w:sz w:val="21"/>
          <w:szCs w:val="21"/>
          <w:color w:val="auto"/>
        </w:rPr>
      </w:pPr>
    </w:p>
    <w:p>
      <w:pPr>
        <w:jc w:val="both"/>
        <w:ind w:left="1500" w:firstLine="754"/>
        <w:spacing w:after="0" w:line="246" w:lineRule="auto"/>
        <w:tabs>
          <w:tab w:leader="none" w:pos="2681"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payment of (1)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taxes and governmental fees owing by the Issuer, if any and (2)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accrued and unpaid Administrative Expenses, in the priority stated in the definition thereof, up to the Administrative Expense Cap</w:t>
      </w:r>
    </w:p>
    <w:p>
      <w:pPr>
        <w:spacing w:after="0" w:line="150"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212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85" w:lineRule="exact"/>
        <w:rPr>
          <w:sz w:val="20"/>
          <w:szCs w:val="20"/>
          <w:color w:val="auto"/>
        </w:rPr>
      </w:pPr>
    </w:p>
    <w:p>
      <w:pPr>
        <w:ind w:left="1500" w:right="20"/>
        <w:spacing w:after="0" w:line="258" w:lineRule="auto"/>
        <w:rPr>
          <w:sz w:val="20"/>
          <w:szCs w:val="20"/>
          <w:color w:val="auto"/>
        </w:rPr>
      </w:pPr>
      <w:r>
        <w:rPr>
          <w:rFonts w:ascii="Times New Roman" w:cs="Times New Roman" w:eastAsia="Times New Roman" w:hAnsi="Times New Roman"/>
          <w:sz w:val="22"/>
          <w:szCs w:val="22"/>
          <w:color w:val="auto"/>
        </w:rPr>
        <w:t>(except as otherwise expressly provided in connection with any Optional Redemption, Clean-Up Call Redemption or Tax Redemption);</w:t>
      </w:r>
    </w:p>
    <w:p>
      <w:pPr>
        <w:spacing w:after="0" w:line="158" w:lineRule="exact"/>
        <w:rPr>
          <w:sz w:val="20"/>
          <w:szCs w:val="20"/>
          <w:color w:val="auto"/>
        </w:rPr>
      </w:pPr>
    </w:p>
    <w:p>
      <w:pPr>
        <w:ind w:left="1500" w:firstLine="754"/>
        <w:spacing w:after="0" w:line="235" w:lineRule="auto"/>
        <w:tabs>
          <w:tab w:leader="none" w:pos="2681"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payment to the Collateral Manager of first (i) any accrued and unpaid Collateral Management Fee due on such Payment Date (including any interest accrued on any Collateral Management Fee Shortfall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amount of any Current Deferred Management Fee, if any, and then (ii) any Cumulative Deferred Management Fee, requested to be paid at the option of the Collateral Manager;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Interest Proceeds are needed to satisfy any of the Coverage Tests such Interest Proceeds shall not be used to pay such portion of the Cumulative Deferred Management Fee requested to be paid pursuant to this subclause (ii);</w:t>
      </w:r>
    </w:p>
    <w:p>
      <w:pPr>
        <w:spacing w:after="0" w:line="179" w:lineRule="exact"/>
        <w:rPr>
          <w:rFonts w:ascii="Times New Roman" w:cs="Times New Roman" w:eastAsia="Times New Roman" w:hAnsi="Times New Roman"/>
          <w:sz w:val="22"/>
          <w:szCs w:val="22"/>
          <w:color w:val="auto"/>
        </w:rPr>
      </w:pPr>
    </w:p>
    <w:p>
      <w:pPr>
        <w:jc w:val="both"/>
        <w:ind w:left="1500" w:firstLine="754"/>
        <w:spacing w:after="0" w:line="246" w:lineRule="auto"/>
        <w:tabs>
          <w:tab w:leader="none" w:pos="2681"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payment,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based on amounts due, of accrued and unpaid interest (including any defaulted interest) on the Class A-1 Notes, the Class A-1L-A Loans and the Class A-1L-B Loans;</w:t>
      </w:r>
    </w:p>
    <w:p>
      <w:pPr>
        <w:spacing w:after="0" w:line="171"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accrued and unpaid interest (including any defaulted interest) on the Class A-2</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w:t>
      </w:r>
    </w:p>
    <w:p>
      <w:pPr>
        <w:spacing w:after="0" w:line="182"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accrued and unpaid interest (including any defaulted interest) on the Class B</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w:t>
      </w:r>
    </w:p>
    <w:p>
      <w:pPr>
        <w:spacing w:after="0" w:line="182"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Class A/B Overcollateralization Ratio Test or, with respect to the second Determination Date and each Determination Date thereafter, the Class A/B Interest Coverage Test, is not satisfied on the related Determination Date, to make payments in accordance with the Debt Payment Sequence to the extent necessary to cause all Class A/B Coverage Tests that are applicable on such Payment Date to be satisfied on a </w:t>
      </w:r>
      <w:r>
        <w:rPr>
          <w:rFonts w:ascii="Times New Roman" w:cs="Times New Roman" w:eastAsia="Times New Roman" w:hAnsi="Times New Roman"/>
          <w:sz w:val="22"/>
          <w:szCs w:val="22"/>
          <w:i w:val="1"/>
          <w:iCs w:val="1"/>
          <w:color w:val="auto"/>
        </w:rPr>
        <w:t xml:space="preserve">pro forma </w:t>
      </w:r>
      <w:r>
        <w:rPr>
          <w:rFonts w:ascii="Times New Roman" w:cs="Times New Roman" w:eastAsia="Times New Roman" w:hAnsi="Times New Roman"/>
          <w:sz w:val="22"/>
          <w:szCs w:val="22"/>
          <w:color w:val="auto"/>
        </w:rPr>
        <w:t>basis after giving effect to all payments pursuant to this clause (F);</w:t>
      </w:r>
    </w:p>
    <w:p>
      <w:pPr>
        <w:spacing w:after="0" w:line="172" w:lineRule="exact"/>
        <w:rPr>
          <w:rFonts w:ascii="Times New Roman" w:cs="Times New Roman" w:eastAsia="Times New Roman" w:hAnsi="Times New Roman"/>
          <w:sz w:val="22"/>
          <w:szCs w:val="22"/>
          <w:color w:val="auto"/>
        </w:rPr>
      </w:pPr>
    </w:p>
    <w:p>
      <w:pPr>
        <w:ind w:left="1500" w:firstLine="754"/>
        <w:spacing w:after="0" w:line="286" w:lineRule="auto"/>
        <w:tabs>
          <w:tab w:leader="none" w:pos="2681"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payment of (1)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accrued and unpaid interest (excluding Deferred Interest but including interest on Deferred Interest) on the Class C Notes and (2)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any Deferred Interest on the Class C Notes;</w:t>
      </w:r>
    </w:p>
    <w:p>
      <w:pPr>
        <w:spacing w:after="0" w:line="130" w:lineRule="exact"/>
        <w:rPr>
          <w:rFonts w:ascii="Times New Roman" w:cs="Times New Roman" w:eastAsia="Times New Roman" w:hAnsi="Times New Roman"/>
          <w:sz w:val="21"/>
          <w:szCs w:val="21"/>
          <w:color w:val="auto"/>
        </w:rPr>
      </w:pPr>
    </w:p>
    <w:p>
      <w:pPr>
        <w:jc w:val="both"/>
        <w:ind w:left="1500" w:firstLine="754"/>
        <w:spacing w:after="0" w:line="238" w:lineRule="auto"/>
        <w:tabs>
          <w:tab w:leader="none" w:pos="2681"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Class C Overcollateralization Ratio Test or, with respect to the second Determination Date and each Determination Date thereafter, the Class C Interest Coverage Test, is not satisfied on the related Determination Date, to make payments in accordance with the Debt Payment Sequence to the extent necessary to cause all Class C Coverage Tests that are applicable on such Payment Date to be satisfied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after giving effect to all payments pursuant to this clause (H);</w:t>
      </w:r>
    </w:p>
    <w:p>
      <w:pPr>
        <w:spacing w:after="0" w:line="172" w:lineRule="exact"/>
        <w:rPr>
          <w:rFonts w:ascii="Times New Roman" w:cs="Times New Roman" w:eastAsia="Times New Roman" w:hAnsi="Times New Roman"/>
          <w:sz w:val="22"/>
          <w:szCs w:val="22"/>
          <w:color w:val="auto"/>
        </w:rPr>
      </w:pPr>
    </w:p>
    <w:p>
      <w:pPr>
        <w:ind w:left="1500" w:firstLine="754"/>
        <w:spacing w:after="0" w:line="286" w:lineRule="auto"/>
        <w:tabs>
          <w:tab w:leader="none" w:pos="2681"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payment of (1)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accrued and unpaid interest (excluding Deferred Interest but including interest on Deferred Interest) on the Class D Notes and (2)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any Deferred Interest on the Class D Notes;</w:t>
      </w:r>
    </w:p>
    <w:p>
      <w:pPr>
        <w:spacing w:after="0" w:line="10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213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85" w:lineRule="exact"/>
        <w:rPr>
          <w:sz w:val="20"/>
          <w:szCs w:val="20"/>
          <w:color w:val="auto"/>
        </w:rPr>
      </w:pPr>
    </w:p>
    <w:p>
      <w:pPr>
        <w:jc w:val="both"/>
        <w:ind w:left="1500" w:firstLine="754"/>
        <w:spacing w:after="0" w:line="238" w:lineRule="auto"/>
        <w:tabs>
          <w:tab w:leader="none" w:pos="2681"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Class D Overcollateralization Ratio Test or, with respect to the second Determination Date and each Determination Date thereafter, the Class D Interest Coverage Test, is not satisfied on the related Determination Date, to make payments in accordance with the Debt Payment Sequence to the extent necessary to cause all Class D Coverage Tests that are applicable on such Payment Date to be satisfied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after giving effect to all payments pursuant to this clause (J);</w:t>
      </w:r>
    </w:p>
    <w:p>
      <w:pPr>
        <w:spacing w:after="0" w:line="176" w:lineRule="exact"/>
        <w:rPr>
          <w:rFonts w:ascii="Times New Roman" w:cs="Times New Roman" w:eastAsia="Times New Roman" w:hAnsi="Times New Roman"/>
          <w:sz w:val="22"/>
          <w:szCs w:val="22"/>
          <w:color w:val="auto"/>
        </w:rPr>
      </w:pPr>
    </w:p>
    <w:p>
      <w:pPr>
        <w:jc w:val="both"/>
        <w:ind w:left="1500" w:firstLine="754"/>
        <w:spacing w:after="0" w:line="234" w:lineRule="auto"/>
        <w:tabs>
          <w:tab w:leader="none" w:pos="2681"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if such Payment Date occurs prior to the Effective Date, amounts available for distribution pursuant to this </w:t>
      </w:r>
      <w:r>
        <w:rPr>
          <w:rFonts w:ascii="Times New Roman" w:cs="Times New Roman" w:eastAsia="Times New Roman" w:hAnsi="Times New Roman"/>
          <w:sz w:val="22"/>
          <w:szCs w:val="22"/>
          <w:u w:val="single" w:color="auto"/>
          <w:color w:val="auto"/>
        </w:rPr>
        <w:t>Section 11.1(a)(i)(K)</w:t>
      </w:r>
      <w:r>
        <w:rPr>
          <w:rFonts w:ascii="Times New Roman" w:cs="Times New Roman" w:eastAsia="Times New Roman" w:hAnsi="Times New Roman"/>
          <w:sz w:val="22"/>
          <w:szCs w:val="22"/>
          <w:color w:val="auto"/>
        </w:rPr>
        <w:t xml:space="preserve"> shall be deposited in the Collection Account for application as Interest Proceeds and (II) if, with respect to any Payment Date following the Effective Date, S&amp;P has not yet confirmed its Initial Ratings of the Secured Debt and no S&amp;P Deemed Rating Confirmation has occurred pursuant to </w:t>
      </w:r>
      <w:r>
        <w:rPr>
          <w:rFonts w:ascii="Times New Roman" w:cs="Times New Roman" w:eastAsia="Times New Roman" w:hAnsi="Times New Roman"/>
          <w:sz w:val="22"/>
          <w:szCs w:val="22"/>
          <w:u w:val="single" w:color="auto"/>
          <w:color w:val="auto"/>
        </w:rPr>
        <w:t>Section 7.18(e)</w:t>
      </w:r>
      <w:r>
        <w:rPr>
          <w:rFonts w:ascii="Times New Roman" w:cs="Times New Roman" w:eastAsia="Times New Roman" w:hAnsi="Times New Roman"/>
          <w:sz w:val="22"/>
          <w:szCs w:val="22"/>
          <w:color w:val="auto"/>
        </w:rPr>
        <w:t>, amounts available for distribution pursuant to this clause (K) shall be used for one or both of the following alternatives, as directed by the Collateral Manager: (i) for application in accordance with the Debt Payment Sequence on such Payment Date, or (ii) for application as Principal Proceeds and transferred to the Collection Account to invest in Eligible Investments (pending the purchase of additional Collateral Obligations) and/or to purchase additional Collateral Obligations, in each case in an amount sufficient to satisfy the S&amp;P Rating Condition;</w:t>
      </w:r>
    </w:p>
    <w:p>
      <w:pPr>
        <w:spacing w:after="0" w:line="175" w:lineRule="exact"/>
        <w:rPr>
          <w:rFonts w:ascii="Times New Roman" w:cs="Times New Roman" w:eastAsia="Times New Roman" w:hAnsi="Times New Roman"/>
          <w:sz w:val="22"/>
          <w:szCs w:val="22"/>
          <w:color w:val="auto"/>
        </w:rPr>
      </w:pPr>
    </w:p>
    <w:p>
      <w:pPr>
        <w:jc w:val="both"/>
        <w:ind w:left="1500" w:firstLine="754"/>
        <w:spacing w:after="0" w:line="272" w:lineRule="exact"/>
        <w:tabs>
          <w:tab w:leader="none" w:pos="2681"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payment of (1)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(in the same manner and order of priority stated therein) any Administrative Expenses not paid pursuant to </w:t>
      </w:r>
      <w:r>
        <w:rPr>
          <w:rFonts w:ascii="Times New Roman" w:cs="Times New Roman" w:eastAsia="Times New Roman" w:hAnsi="Times New Roman"/>
          <w:sz w:val="22"/>
          <w:szCs w:val="22"/>
          <w:u w:val="single" w:color="auto"/>
          <w:color w:val="auto"/>
        </w:rPr>
        <w:t>Section 11.1(a)(i)(A)(2)</w:t>
      </w:r>
      <w:r>
        <w:rPr>
          <w:rFonts w:ascii="Times New Roman" w:cs="Times New Roman" w:eastAsia="Times New Roman" w:hAnsi="Times New Roman"/>
          <w:sz w:val="22"/>
          <w:szCs w:val="22"/>
          <w:color w:val="auto"/>
        </w:rPr>
        <w:t xml:space="preserve"> due to the limitation contained therein, and (2)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any expenses related to a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Pricing;</w:t>
      </w:r>
    </w:p>
    <w:p>
      <w:pPr>
        <w:spacing w:after="0" w:line="146"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any obligations of the Issuer or for deposit into the Expense Reserve Account in such amounts as determined by the Collateral Manager; and</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remaining Interest Proceeds to the Holders of the Subordinated Notes.</w:t>
      </w:r>
    </w:p>
    <w:p>
      <w:pPr>
        <w:spacing w:after="0" w:line="206" w:lineRule="exact"/>
        <w:rPr>
          <w:rFonts w:ascii="Times New Roman" w:cs="Times New Roman" w:eastAsia="Times New Roman" w:hAnsi="Times New Roman"/>
          <w:sz w:val="22"/>
          <w:szCs w:val="22"/>
          <w:color w:val="auto"/>
        </w:rPr>
      </w:pPr>
    </w:p>
    <w:p>
      <w:pPr>
        <w:jc w:val="both"/>
        <w:ind w:left="760" w:firstLine="1015"/>
        <w:spacing w:after="0" w:line="235" w:lineRule="auto"/>
        <w:tabs>
          <w:tab w:leader="none" w:pos="2210"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Payment Date other than the Stated Maturity, unless an Enforcement Event has occurred and is continuing, Principal Proceeds on deposit in the Collection Account that are received on or before the related Determination Date and that are transferred to the Payment Account (which will not include (i) amounts required to meet funding requirements with respect to Delayed Funding Restructured Assets, Delayed Drawdown Collateral Obligations and Revolving Collateral Obligations that are deposited in the Revolver Funding Account or (ii) Principal Proceeds which the Issuer has entered into any commitment to reinvest in Collateral Obligations) shall be applied in the following order of priority:</w:t>
      </w:r>
    </w:p>
    <w:p>
      <w:pPr>
        <w:spacing w:after="0" w:line="183" w:lineRule="exact"/>
        <w:rPr>
          <w:rFonts w:ascii="Times New Roman" w:cs="Times New Roman" w:eastAsia="Times New Roman" w:hAnsi="Times New Roman"/>
          <w:sz w:val="22"/>
          <w:szCs w:val="22"/>
          <w:color w:val="auto"/>
        </w:rPr>
      </w:pPr>
    </w:p>
    <w:p>
      <w:pPr>
        <w:ind w:left="1500" w:firstLine="754"/>
        <w:spacing w:after="0" w:line="258" w:lineRule="auto"/>
        <w:tabs>
          <w:tab w:leader="none" w:pos="2681"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pay the amounts referred to in clauses (A) through (E) of </w:t>
      </w:r>
      <w:r>
        <w:rPr>
          <w:rFonts w:ascii="Times New Roman" w:cs="Times New Roman" w:eastAsia="Times New Roman" w:hAnsi="Times New Roman"/>
          <w:sz w:val="22"/>
          <w:szCs w:val="22"/>
          <w:u w:val="single" w:color="auto"/>
          <w:color w:val="auto"/>
        </w:rPr>
        <w:t>Section 11.1(a)(i)</w:t>
      </w:r>
      <w:r>
        <w:rPr>
          <w:rFonts w:ascii="Times New Roman" w:cs="Times New Roman" w:eastAsia="Times New Roman" w:hAnsi="Times New Roman"/>
          <w:sz w:val="22"/>
          <w:szCs w:val="22"/>
          <w:color w:val="auto"/>
        </w:rPr>
        <w:t xml:space="preserve"> (and in the same manner and order of priority stated therein), but only to the extent not paid in full thereunder;</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214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85" w:lineRule="exact"/>
        <w:rPr>
          <w:sz w:val="20"/>
          <w:szCs w:val="20"/>
          <w:color w:val="auto"/>
        </w:rPr>
      </w:pPr>
    </w:p>
    <w:p>
      <w:pPr>
        <w:jc w:val="both"/>
        <w:ind w:left="1500" w:firstLine="754"/>
        <w:spacing w:after="0" w:line="239" w:lineRule="auto"/>
        <w:tabs>
          <w:tab w:leader="none" w:pos="2681"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pay the amounts referred to in clause (F) of </w:t>
      </w:r>
      <w:r>
        <w:rPr>
          <w:rFonts w:ascii="Times New Roman" w:cs="Times New Roman" w:eastAsia="Times New Roman" w:hAnsi="Times New Roman"/>
          <w:sz w:val="22"/>
          <w:szCs w:val="22"/>
          <w:u w:val="single" w:color="auto"/>
          <w:color w:val="auto"/>
        </w:rPr>
        <w:t>Section 11.1(a)(i)</w:t>
      </w:r>
      <w:r>
        <w:rPr>
          <w:rFonts w:ascii="Times New Roman" w:cs="Times New Roman" w:eastAsia="Times New Roman" w:hAnsi="Times New Roman"/>
          <w:sz w:val="22"/>
          <w:szCs w:val="22"/>
          <w:color w:val="auto"/>
        </w:rPr>
        <w:t xml:space="preserve">, but only to the extent not paid in full thereunder and to the extent necessary to cause the Class A/B Coverage Tests that are applicable on such Payment Date to be met as of the related Determination Date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after giving effect to any payments made through this clause (B);</w:t>
      </w:r>
    </w:p>
    <w:p>
      <w:pPr>
        <w:spacing w:after="0" w:line="180"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principal amounts of the Class A-1 Debt, the Class A-2 Notes and the Class B Notes have been paid in full, to pay the amounts referred to in clause (G) of </w:t>
      </w:r>
      <w:r>
        <w:rPr>
          <w:rFonts w:ascii="Times New Roman" w:cs="Times New Roman" w:eastAsia="Times New Roman" w:hAnsi="Times New Roman"/>
          <w:sz w:val="22"/>
          <w:szCs w:val="22"/>
          <w:u w:val="single" w:color="auto"/>
          <w:color w:val="auto"/>
        </w:rPr>
        <w:t>Section 11.1(a)(i)</w:t>
      </w:r>
      <w:r>
        <w:rPr>
          <w:rFonts w:ascii="Times New Roman" w:cs="Times New Roman" w:eastAsia="Times New Roman" w:hAnsi="Times New Roman"/>
          <w:sz w:val="22"/>
          <w:szCs w:val="22"/>
          <w:color w:val="auto"/>
        </w:rPr>
        <w:t xml:space="preserve"> (and in the same manner and order of priority stated therein), but only to the extent not paid in full thereunder;</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pay the amounts referred to in clause (H) of </w:t>
      </w:r>
      <w:r>
        <w:rPr>
          <w:rFonts w:ascii="Times New Roman" w:cs="Times New Roman" w:eastAsia="Times New Roman" w:hAnsi="Times New Roman"/>
          <w:sz w:val="22"/>
          <w:szCs w:val="22"/>
          <w:u w:val="single" w:color="auto"/>
          <w:color w:val="auto"/>
        </w:rPr>
        <w:t>Section 11.1(a)(i)</w:t>
      </w:r>
      <w:r>
        <w:rPr>
          <w:rFonts w:ascii="Times New Roman" w:cs="Times New Roman" w:eastAsia="Times New Roman" w:hAnsi="Times New Roman"/>
          <w:sz w:val="22"/>
          <w:szCs w:val="22"/>
          <w:color w:val="auto"/>
        </w:rPr>
        <w:t>, but only to the extent not paid in full thereunder and to the extent necessary to cause the Class C Coverage Tests that are applicable on such Payment Date to be met as of the related Determination Date;</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principal amounts of the Class A-1 Debt, the Class A-2 Notes, the Class B Notes, and the Class C Notes have been paid in full, to pay the amounts referred to in clause (I) of </w:t>
      </w:r>
      <w:r>
        <w:rPr>
          <w:rFonts w:ascii="Times New Roman" w:cs="Times New Roman" w:eastAsia="Times New Roman" w:hAnsi="Times New Roman"/>
          <w:sz w:val="22"/>
          <w:szCs w:val="22"/>
          <w:u w:val="single" w:color="auto"/>
          <w:color w:val="auto"/>
        </w:rPr>
        <w:t>Section 11.1(a)(i)</w:t>
      </w:r>
      <w:r>
        <w:rPr>
          <w:rFonts w:ascii="Times New Roman" w:cs="Times New Roman" w:eastAsia="Times New Roman" w:hAnsi="Times New Roman"/>
          <w:sz w:val="22"/>
          <w:szCs w:val="22"/>
          <w:color w:val="auto"/>
        </w:rPr>
        <w:t xml:space="preserve"> (and in the same manner and order of priority stated therein), but only to the extent not paid in full thereunder;</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pay the amounts referred to in clause (J) of </w:t>
      </w:r>
      <w:r>
        <w:rPr>
          <w:rFonts w:ascii="Times New Roman" w:cs="Times New Roman" w:eastAsia="Times New Roman" w:hAnsi="Times New Roman"/>
          <w:sz w:val="22"/>
          <w:szCs w:val="22"/>
          <w:u w:val="single" w:color="auto"/>
          <w:color w:val="auto"/>
        </w:rPr>
        <w:t>Section 11.1(a)(i)</w:t>
      </w:r>
      <w:r>
        <w:rPr>
          <w:rFonts w:ascii="Times New Roman" w:cs="Times New Roman" w:eastAsia="Times New Roman" w:hAnsi="Times New Roman"/>
          <w:sz w:val="22"/>
          <w:szCs w:val="22"/>
          <w:color w:val="auto"/>
        </w:rPr>
        <w:t>, but only to the extent not paid in full thereunder and to the extent necessary to cause the Class D Coverage Tests that are applicable on such Payment Date to be met as of the related Determination Date;</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Payment Date following the Effective Date, if after the application of Interest Proceeds pursuant to clause (K) of </w:t>
      </w:r>
      <w:r>
        <w:rPr>
          <w:rFonts w:ascii="Times New Roman" w:cs="Times New Roman" w:eastAsia="Times New Roman" w:hAnsi="Times New Roman"/>
          <w:sz w:val="22"/>
          <w:szCs w:val="22"/>
          <w:u w:val="single" w:color="auto"/>
          <w:color w:val="auto"/>
        </w:rPr>
        <w:t>Section 11.1(a)(i)</w:t>
      </w:r>
      <w:r>
        <w:rPr>
          <w:rFonts w:ascii="Times New Roman" w:cs="Times New Roman" w:eastAsia="Times New Roman" w:hAnsi="Times New Roman"/>
          <w:sz w:val="22"/>
          <w:szCs w:val="22"/>
          <w:color w:val="auto"/>
        </w:rPr>
        <w:t xml:space="preserve"> S&amp;P has not yet confirmed its Initial Ratings of the Secured Debt and no S&amp;P Deemed Rating Confirmation has occurred pursuant to </w:t>
      </w:r>
      <w:r>
        <w:rPr>
          <w:rFonts w:ascii="Times New Roman" w:cs="Times New Roman" w:eastAsia="Times New Roman" w:hAnsi="Times New Roman"/>
          <w:sz w:val="22"/>
          <w:szCs w:val="22"/>
          <w:u w:val="single" w:color="auto"/>
          <w:color w:val="auto"/>
        </w:rPr>
        <w:t>Section 7.18(e)</w:t>
      </w:r>
      <w:r>
        <w:rPr>
          <w:rFonts w:ascii="Times New Roman" w:cs="Times New Roman" w:eastAsia="Times New Roman" w:hAnsi="Times New Roman"/>
          <w:sz w:val="22"/>
          <w:szCs w:val="22"/>
          <w:color w:val="auto"/>
        </w:rPr>
        <w:t>, amounts available for distribution pursuant to this clause (G) shall be used for application in accordance with the Debt Payment Sequence on such Payment Date in an amount sufficient to satisfy the S&amp;P Rating Condition;</w:t>
      </w:r>
    </w:p>
    <w:p>
      <w:pPr>
        <w:spacing w:after="0" w:line="176" w:lineRule="exact"/>
        <w:rPr>
          <w:rFonts w:ascii="Times New Roman" w:cs="Times New Roman" w:eastAsia="Times New Roman" w:hAnsi="Times New Roman"/>
          <w:sz w:val="22"/>
          <w:szCs w:val="22"/>
          <w:color w:val="auto"/>
        </w:rPr>
      </w:pPr>
    </w:p>
    <w:p>
      <w:pPr>
        <w:ind w:left="1500" w:right="40" w:firstLine="754"/>
        <w:spacing w:after="0" w:line="258" w:lineRule="auto"/>
        <w:tabs>
          <w:tab w:leader="none" w:pos="2681"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Payment Date is a Redemption Date, to make payments in accordance with the Debt Payment Sequence, to redeem each Class of Secured Debt being redeemed on such Redemption Date;</w:t>
      </w:r>
    </w:p>
    <w:p>
      <w:pPr>
        <w:spacing w:after="0" w:line="158"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Payment Date is a Special Redemption Date occurring in connection with a Special Redemption described in (a) clause (i) of the first sentence of </w:t>
      </w:r>
      <w:r>
        <w:rPr>
          <w:rFonts w:ascii="Times New Roman" w:cs="Times New Roman" w:eastAsia="Times New Roman" w:hAnsi="Times New Roman"/>
          <w:sz w:val="22"/>
          <w:szCs w:val="22"/>
          <w:u w:val="single" w:color="auto"/>
          <w:color w:val="auto"/>
        </w:rPr>
        <w:t>Section 9.6</w:t>
      </w:r>
      <w:r>
        <w:rPr>
          <w:rFonts w:ascii="Times New Roman" w:cs="Times New Roman" w:eastAsia="Times New Roman" w:hAnsi="Times New Roman"/>
          <w:sz w:val="22"/>
          <w:szCs w:val="22"/>
          <w:color w:val="auto"/>
        </w:rPr>
        <w:t xml:space="preserve">, to make payments in the amount of the Special Redemption Amount at the election of the Collateral Manager, or (b) clause (iii) of the first sentence of </w:t>
      </w:r>
      <w:r>
        <w:rPr>
          <w:rFonts w:ascii="Times New Roman" w:cs="Times New Roman" w:eastAsia="Times New Roman" w:hAnsi="Times New Roman"/>
          <w:sz w:val="22"/>
          <w:szCs w:val="22"/>
          <w:u w:val="single" w:color="auto"/>
          <w:color w:val="auto"/>
        </w:rPr>
        <w:t>Section 9.6</w:t>
      </w:r>
      <w:r>
        <w:rPr>
          <w:rFonts w:ascii="Times New Roman" w:cs="Times New Roman" w:eastAsia="Times New Roman" w:hAnsi="Times New Roman"/>
          <w:sz w:val="22"/>
          <w:szCs w:val="22"/>
          <w:color w:val="auto"/>
        </w:rPr>
        <w:t>, to make payments in an amount necessary to reduce the outstanding Retention Deficiency to zero, in each such case in accordance with the Debt Payment Sequence;</w:t>
      </w:r>
    </w:p>
    <w:p>
      <w:pPr>
        <w:spacing w:after="0" w:line="176" w:lineRule="exact"/>
        <w:rPr>
          <w:rFonts w:ascii="Times New Roman" w:cs="Times New Roman" w:eastAsia="Times New Roman" w:hAnsi="Times New Roman"/>
          <w:sz w:val="22"/>
          <w:szCs w:val="22"/>
          <w:color w:val="auto"/>
        </w:rPr>
      </w:pPr>
    </w:p>
    <w:p>
      <w:pPr>
        <w:ind w:left="1500" w:right="40" w:firstLine="754"/>
        <w:spacing w:after="0" w:line="258" w:lineRule="auto"/>
        <w:tabs>
          <w:tab w:leader="none" w:pos="2681"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Reinvestment Period, to the Collection Account as Principal Proceeds to invest in Eligible Investments (pending the purchase of</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215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additional Collateral Obligations) and/or to the purchase of additional Collateral Obligations;</w:t>
      </w:r>
    </w:p>
    <w:p>
      <w:pPr>
        <w:spacing w:after="0" w:line="206" w:lineRule="exact"/>
        <w:rPr>
          <w:sz w:val="20"/>
          <w:szCs w:val="20"/>
          <w:color w:val="auto"/>
        </w:rPr>
      </w:pPr>
    </w:p>
    <w:p>
      <w:pPr>
        <w:ind w:left="2680" w:hanging="426"/>
        <w:spacing w:after="0"/>
        <w:tabs>
          <w:tab w:leader="none" w:pos="2680"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the Reinvestment Period, to make payments in accordance with the Debt Payment Sequence;</w:t>
      </w:r>
    </w:p>
    <w:p>
      <w:pPr>
        <w:spacing w:after="0" w:line="217" w:lineRule="exact"/>
        <w:rPr>
          <w:rFonts w:ascii="Times New Roman" w:cs="Times New Roman" w:eastAsia="Times New Roman" w:hAnsi="Times New Roman"/>
          <w:sz w:val="21"/>
          <w:szCs w:val="21"/>
          <w:color w:val="auto"/>
        </w:rPr>
      </w:pPr>
    </w:p>
    <w:p>
      <w:pPr>
        <w:ind w:left="1500" w:firstLine="754"/>
        <w:spacing w:after="0" w:line="258" w:lineRule="auto"/>
        <w:tabs>
          <w:tab w:leader="none" w:pos="2681"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the Reinvestment Period, to pay the amounts referred to in clause (L) of </w:t>
      </w:r>
      <w:r>
        <w:rPr>
          <w:rFonts w:ascii="Times New Roman" w:cs="Times New Roman" w:eastAsia="Times New Roman" w:hAnsi="Times New Roman"/>
          <w:sz w:val="22"/>
          <w:szCs w:val="22"/>
          <w:u w:val="single" w:color="auto"/>
          <w:color w:val="auto"/>
        </w:rPr>
        <w:t>Section 11.1(a)(i)</w:t>
      </w:r>
      <w:r>
        <w:rPr>
          <w:rFonts w:ascii="Times New Roman" w:cs="Times New Roman" w:eastAsia="Times New Roman" w:hAnsi="Times New Roman"/>
          <w:sz w:val="22"/>
          <w:szCs w:val="22"/>
          <w:color w:val="auto"/>
        </w:rPr>
        <w:t xml:space="preserve"> only to the extent not already paid (in the same manner and order of priority stated therein);</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the Reinvestment Period, to pay any Cumulative Deferred Management Fee to the extent not</w:t>
      </w:r>
    </w:p>
    <w:p>
      <w:pPr>
        <w:spacing w:after="0" w:line="25" w:lineRule="exact"/>
        <w:rPr>
          <w:rFonts w:ascii="Times New Roman" w:cs="Times New Roman" w:eastAsia="Times New Roman" w:hAnsi="Times New Roman"/>
          <w:sz w:val="21"/>
          <w:szCs w:val="21"/>
          <w:color w:val="auto"/>
        </w:rPr>
      </w:pPr>
    </w:p>
    <w:p>
      <w:pPr>
        <w:ind w:left="1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already paid;</w:t>
      </w:r>
    </w:p>
    <w:p>
      <w:pPr>
        <w:spacing w:after="0" w:line="182" w:lineRule="exact"/>
        <w:rPr>
          <w:rFonts w:ascii="Times New Roman" w:cs="Times New Roman" w:eastAsia="Times New Roman" w:hAnsi="Times New Roman"/>
          <w:sz w:val="21"/>
          <w:szCs w:val="21"/>
          <w:color w:val="auto"/>
        </w:rPr>
      </w:pPr>
    </w:p>
    <w:p>
      <w:pPr>
        <w:ind w:left="1500" w:right="20" w:firstLine="754"/>
        <w:spacing w:after="0" w:line="258" w:lineRule="auto"/>
        <w:tabs>
          <w:tab w:leader="none" w:pos="2681"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any obligations of the Issuer or for deposit into the Expense Reserve Account in such amounts as determined by the Collateral Manager; and</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remaining proceeds to the Holders of the Subordinated Notes.</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clause (A) of </w:t>
      </w:r>
      <w:r>
        <w:rPr>
          <w:rFonts w:ascii="Times New Roman" w:cs="Times New Roman" w:eastAsia="Times New Roman" w:hAnsi="Times New Roman"/>
          <w:sz w:val="22"/>
          <w:szCs w:val="22"/>
          <w:u w:val="single" w:color="auto"/>
          <w:color w:val="auto"/>
        </w:rPr>
        <w:t>Section 11.1(a)(ii)</w:t>
      </w:r>
      <w:r>
        <w:rPr>
          <w:rFonts w:ascii="Times New Roman" w:cs="Times New Roman" w:eastAsia="Times New Roman" w:hAnsi="Times New Roman"/>
          <w:sz w:val="22"/>
          <w:szCs w:val="22"/>
          <w:color w:val="auto"/>
        </w:rPr>
        <w:t xml:space="preserve">, if the Issuer is prohibited under subclause (ii) of clause (B) of </w:t>
      </w:r>
      <w:r>
        <w:rPr>
          <w:rFonts w:ascii="Times New Roman" w:cs="Times New Roman" w:eastAsia="Times New Roman" w:hAnsi="Times New Roman"/>
          <w:sz w:val="22"/>
          <w:szCs w:val="22"/>
          <w:u w:val="single" w:color="auto"/>
          <w:color w:val="auto"/>
        </w:rPr>
        <w:t>Section 11.1(a)(i)</w:t>
      </w:r>
      <w:r>
        <w:rPr>
          <w:rFonts w:ascii="Times New Roman" w:cs="Times New Roman" w:eastAsia="Times New Roman" w:hAnsi="Times New Roman"/>
          <w:sz w:val="22"/>
          <w:szCs w:val="22"/>
          <w:color w:val="auto"/>
        </w:rPr>
        <w:t xml:space="preserve"> from using Interest Proceeds on a Payment Date to pay a portion of the Cumulative Deferred Management Fee requested to be paid on such Payment Date pursuant to such subclause (ii), the Issuer may not use Principal Proceeds to pay such portion of the Cumulative Deferred Management Fee.</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On the Stated Maturity of the Debt, the Collateral Trustee shall pay the net proceeds from the liquidation of the Assets and all available Cash, but only after the payment of (or establishment of a reserve for) all Administrative Expenses (in the same manner and order of priority stated in the definition thereof), Aggregate Collateral Management Fees, and interest and principal on the Secured Debt, to the Holders of the Subordinated Notes pursuant to the Priority of Payments in final payment of the Subordinated Notes.</w:t>
      </w:r>
    </w:p>
    <w:p>
      <w:pPr>
        <w:spacing w:after="0" w:line="177" w:lineRule="exact"/>
        <w:rPr>
          <w:sz w:val="20"/>
          <w:szCs w:val="20"/>
          <w:color w:val="auto"/>
        </w:rPr>
      </w:pPr>
    </w:p>
    <w:p>
      <w:pPr>
        <w:jc w:val="both"/>
        <w:ind w:left="760" w:firstLine="1015"/>
        <w:spacing w:after="0" w:line="236" w:lineRule="auto"/>
        <w:tabs>
          <w:tab w:leader="none" w:pos="221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provisions of the foregoing </w:t>
      </w:r>
      <w:r>
        <w:rPr>
          <w:rFonts w:ascii="Times New Roman" w:cs="Times New Roman" w:eastAsia="Times New Roman" w:hAnsi="Times New Roman"/>
          <w:sz w:val="22"/>
          <w:szCs w:val="22"/>
          <w:u w:val="single" w:color="auto"/>
          <w:color w:val="auto"/>
        </w:rPr>
        <w:t>Sections 11.1(a)(i)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11.1(a)(ii)</w:t>
      </w:r>
      <w:r>
        <w:rPr>
          <w:rFonts w:ascii="Times New Roman" w:cs="Times New Roman" w:eastAsia="Times New Roman" w:hAnsi="Times New Roman"/>
          <w:sz w:val="22"/>
          <w:szCs w:val="22"/>
          <w:color w:val="auto"/>
        </w:rPr>
        <w:t xml:space="preserve"> (other than the last paragraph thereof), (i) on the Stated Maturity of the Secured Debt, (ii) on a Redemption Date occurring with respect to a Failed Optional Redemption, (iii) or if the maturity of the Secured Debt has been accelerated following an Event of Default and has not been rescinded in accordance with the terms herein (clauses (ii) and (iii), an "</w:t>
      </w:r>
      <w:r>
        <w:rPr>
          <w:rFonts w:ascii="Times New Roman" w:cs="Times New Roman" w:eastAsia="Times New Roman" w:hAnsi="Times New Roman"/>
          <w:sz w:val="22"/>
          <w:szCs w:val="22"/>
          <w:u w:val="single" w:color="auto"/>
          <w:color w:val="auto"/>
        </w:rPr>
        <w:t>Enforcement Event</w:t>
      </w:r>
      <w:r>
        <w:rPr>
          <w:rFonts w:ascii="Times New Roman" w:cs="Times New Roman" w:eastAsia="Times New Roman" w:hAnsi="Times New Roman"/>
          <w:sz w:val="22"/>
          <w:szCs w:val="22"/>
          <w:color w:val="auto"/>
        </w:rPr>
        <w:t xml:space="preserve">"), pursuant to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distributions and proceeds in respect of the Assets will be applied at the date or dates fixed by the Collateral Trustee in the following order of priority:</w:t>
      </w:r>
    </w:p>
    <w:p>
      <w:pPr>
        <w:spacing w:after="0" w:line="177"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1"/>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payment of (1)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taxes and governmental fees owing by the Issuer, if any, and (2)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the accrued and unpaid Administrative Expenses, in the priority stated in the definition thereof, up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Administrative Expense Cap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following the commencement of any sales of Collateral Obligations or other Assets in connection with an Enforcement Event, the Administrative Expense Cap shall be disregarded);</w:t>
      </w:r>
    </w:p>
    <w:p>
      <w:pPr>
        <w:spacing w:after="0" w:line="160"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216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85" w:lineRule="exact"/>
        <w:rPr>
          <w:sz w:val="20"/>
          <w:szCs w:val="20"/>
          <w:color w:val="auto"/>
        </w:rPr>
      </w:pPr>
    </w:p>
    <w:p>
      <w:pPr>
        <w:jc w:val="both"/>
        <w:ind w:left="1500" w:firstLine="754"/>
        <w:spacing w:after="0" w:line="244" w:lineRule="auto"/>
        <w:tabs>
          <w:tab w:leader="none" w:pos="2681"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the Aggregate Collateral Management Fee due and payable (including any accrued and unpaid interest thereon) to the Collateral Manager until such amount has been paid in full, other than any Cumulative Deferred Management Fee, to the extent not already paid;</w:t>
      </w:r>
    </w:p>
    <w:p>
      <w:pPr>
        <w:spacing w:after="0" w:line="169" w:lineRule="exact"/>
        <w:rPr>
          <w:rFonts w:ascii="Times New Roman" w:cs="Times New Roman" w:eastAsia="Times New Roman" w:hAnsi="Times New Roman"/>
          <w:sz w:val="22"/>
          <w:szCs w:val="22"/>
          <w:color w:val="auto"/>
        </w:rPr>
      </w:pPr>
    </w:p>
    <w:p>
      <w:pPr>
        <w:jc w:val="both"/>
        <w:ind w:left="1500" w:firstLine="754"/>
        <w:spacing w:after="0" w:line="246" w:lineRule="auto"/>
        <w:tabs>
          <w:tab w:leader="none" w:pos="2681"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payment,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based on amounts due, of accrued and unpaid interest (including any defaulted interest) on the Class A-1 Notes, the Class A-1L-A Loans and the Class A-1L-B Loans;</w:t>
      </w:r>
    </w:p>
    <w:p>
      <w:pPr>
        <w:spacing w:after="0" w:line="167" w:lineRule="exact"/>
        <w:rPr>
          <w:rFonts w:ascii="Times New Roman" w:cs="Times New Roman" w:eastAsia="Times New Roman" w:hAnsi="Times New Roman"/>
          <w:sz w:val="22"/>
          <w:szCs w:val="22"/>
          <w:color w:val="auto"/>
        </w:rPr>
      </w:pPr>
    </w:p>
    <w:p>
      <w:pPr>
        <w:jc w:val="both"/>
        <w:ind w:left="1500" w:firstLine="754"/>
        <w:spacing w:after="0" w:line="246" w:lineRule="auto"/>
        <w:tabs>
          <w:tab w:leader="none" w:pos="2681"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payment,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based on their respective Aggregate Outstanding Amounts, of principal of the Class A-1 Notes, the Class A-1L-A Loans and the Class A-1L-B Loans until the Class A-1 Notes, the Class A-1L-A Loans and the Class A-1L-B Loans have been paid in full;</w:t>
      </w:r>
    </w:p>
    <w:p>
      <w:pPr>
        <w:spacing w:after="0" w:line="171"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accrued and unpaid interest (including any defaulted interest) on the Class A-2</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w:t>
      </w:r>
    </w:p>
    <w:p>
      <w:pPr>
        <w:spacing w:after="0" w:line="182"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principal of the Class A-2 Notes until the Class A-2 Notes have been paid in</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w:t>
      </w:r>
    </w:p>
    <w:p>
      <w:pPr>
        <w:spacing w:after="0" w:line="182"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accrued and unpaid interest (including any defaulted interest) on the Class B</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w:t>
      </w:r>
    </w:p>
    <w:p>
      <w:pPr>
        <w:spacing w:after="0" w:line="182"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principal of the Class B Notes until the Class B Notes have been paid in full;</w:t>
      </w:r>
    </w:p>
    <w:p>
      <w:pPr>
        <w:spacing w:after="0" w:line="206"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accrued and unpaid interest (excluding Deferred Interest but including interest on Deferred Interest) on the Class C Notes;</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any Deferred Interest on the Class C Notes;</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principal of the Class C Notes, until the Class C Notes have been paid in full;</w:t>
      </w:r>
    </w:p>
    <w:p>
      <w:pPr>
        <w:spacing w:after="0" w:line="206"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accrued and unpaid interest (excluding Deferred Interest but including interest on Deferred Interest) on the Class D Notes;</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any Deferred Interest on the Class D Notes;</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principal of the Class D Notes, until the Class D Notes have been paid in full;</w:t>
      </w:r>
    </w:p>
    <w:p>
      <w:pPr>
        <w:spacing w:after="0" w:line="206" w:lineRule="exact"/>
        <w:rPr>
          <w:rFonts w:ascii="Times New Roman" w:cs="Times New Roman" w:eastAsia="Times New Roman" w:hAnsi="Times New Roman"/>
          <w:sz w:val="22"/>
          <w:szCs w:val="22"/>
          <w:color w:val="auto"/>
        </w:rPr>
      </w:pPr>
    </w:p>
    <w:p>
      <w:pPr>
        <w:ind w:left="1500" w:right="40" w:firstLine="754"/>
        <w:spacing w:after="0" w:line="258" w:lineRule="auto"/>
        <w:tabs>
          <w:tab w:leader="none" w:pos="2681"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(in the same manner and order of priority stated therein) any Administrative Expenses not paid pursuant to clause (A)(2) above due to the limitation contained therein;</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Cumulative Deferred Management Fee to the extent not already paid;</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217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85" w:lineRule="exact"/>
        <w:rPr>
          <w:sz w:val="20"/>
          <w:szCs w:val="20"/>
          <w:color w:val="auto"/>
        </w:rPr>
      </w:pPr>
    </w:p>
    <w:p>
      <w:pPr>
        <w:ind w:left="1500" w:right="20" w:firstLine="754"/>
        <w:spacing w:after="0" w:line="258" w:lineRule="auto"/>
        <w:tabs>
          <w:tab w:leader="none" w:pos="2681"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payment of any obligations of the Issuer or for deposit into the Expense Reserve Account in such amounts as determined by the Collateral Manager; and</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remaining proceeds to the Holders of the Subordinated Notes.</w:t>
      </w:r>
    </w:p>
    <w:p>
      <w:pPr>
        <w:spacing w:after="0" w:line="206"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If any declaration of acceleration has been rescinded in accordance with the provisions herein, proceeds in respect of the Assets will be applied in accordance with </w:t>
      </w:r>
      <w:r>
        <w:rPr>
          <w:rFonts w:ascii="Times New Roman" w:cs="Times New Roman" w:eastAsia="Times New Roman" w:hAnsi="Times New Roman"/>
          <w:sz w:val="22"/>
          <w:szCs w:val="22"/>
          <w:u w:val="single" w:color="auto"/>
          <w:color w:val="auto"/>
        </w:rPr>
        <w:t>Section 11.1(a)(i)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as applicable.</w:t>
      </w:r>
    </w:p>
    <w:p>
      <w:pPr>
        <w:spacing w:after="0" w:line="158" w:lineRule="exact"/>
        <w:rPr>
          <w:sz w:val="20"/>
          <w:szCs w:val="20"/>
          <w:color w:val="auto"/>
        </w:rPr>
      </w:pPr>
    </w:p>
    <w:p>
      <w:pPr>
        <w:jc w:val="both"/>
        <w:ind w:left="760" w:firstLine="1015"/>
        <w:spacing w:after="0" w:line="244" w:lineRule="auto"/>
        <w:tabs>
          <w:tab w:leader="none" w:pos="2210"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Redemption Date (other than a Redemption Date that is also a Payment Date) in connection with a redemption by Refinancing in part but not in whole, Refinancing Proceeds, Partial Refinancing Interest Proceeds and Cash Contributions designated for such purpose will be distributed in the following order of priority:</w:t>
      </w:r>
    </w:p>
    <w:p>
      <w:pPr>
        <w:spacing w:after="0" w:line="173" w:lineRule="exact"/>
        <w:rPr>
          <w:rFonts w:ascii="Times New Roman" w:cs="Times New Roman" w:eastAsia="Times New Roman" w:hAnsi="Times New Roman"/>
          <w:sz w:val="22"/>
          <w:szCs w:val="22"/>
          <w:color w:val="auto"/>
        </w:rPr>
      </w:pPr>
    </w:p>
    <w:p>
      <w:pPr>
        <w:ind w:left="1500" w:right="40" w:firstLine="754"/>
        <w:spacing w:after="0" w:line="258" w:lineRule="auto"/>
        <w:tabs>
          <w:tab w:leader="none" w:pos="2681"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the Redemption Price of the Secured Debt being redeemed in accordance with the Debt Payment Sequence;</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any Administrative Expenses related to such redemption by Refinancing; and</w:t>
      </w:r>
    </w:p>
    <w:p>
      <w:pPr>
        <w:spacing w:after="0" w:line="206" w:lineRule="exact"/>
        <w:rPr>
          <w:rFonts w:ascii="Times New Roman" w:cs="Times New Roman" w:eastAsia="Times New Roman" w:hAnsi="Times New Roman"/>
          <w:sz w:val="22"/>
          <w:szCs w:val="22"/>
          <w:color w:val="auto"/>
        </w:rPr>
      </w:pPr>
    </w:p>
    <w:p>
      <w:pPr>
        <w:ind w:left="1500" w:right="40" w:firstLine="754"/>
        <w:spacing w:after="0" w:line="258" w:lineRule="auto"/>
        <w:tabs>
          <w:tab w:leader="none" w:pos="2681"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remaining Refinancing Proceeds will be deposited in the Interest Collection Subaccount as Interest Proceeds.</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on any Payment Date the amount available in the Payment Account is insufficient to make the full amount of the disbursements required by the Distribution Report, the Collateral Trustee shall make the disbursements called for in the order and according to the priority set forth under </w:t>
      </w:r>
      <w:r>
        <w:rPr>
          <w:rFonts w:ascii="Times New Roman" w:cs="Times New Roman" w:eastAsia="Times New Roman" w:hAnsi="Times New Roman"/>
          <w:sz w:val="22"/>
          <w:szCs w:val="22"/>
          <w:u w:val="single" w:color="auto"/>
          <w:color w:val="auto"/>
        </w:rPr>
        <w:t>Section 11.1(a)</w:t>
      </w:r>
      <w:r>
        <w:rPr>
          <w:rFonts w:ascii="Times New Roman" w:cs="Times New Roman" w:eastAsia="Times New Roman" w:hAnsi="Times New Roman"/>
          <w:sz w:val="22"/>
          <w:szCs w:val="22"/>
          <w:color w:val="auto"/>
        </w:rPr>
        <w:t xml:space="preserve"> above, subject to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to the extent funds are available therefor.</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the application of funds to pay Administrative Expenses of the Issuer in accordance with </w:t>
      </w:r>
      <w:r>
        <w:rPr>
          <w:rFonts w:ascii="Times New Roman" w:cs="Times New Roman" w:eastAsia="Times New Roman" w:hAnsi="Times New Roman"/>
          <w:sz w:val="22"/>
          <w:szCs w:val="22"/>
          <w:u w:val="single" w:color="auto"/>
          <w:color w:val="auto"/>
        </w:rPr>
        <w:t>Section 11.1(a)(i)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11.1(a)(ii)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11.1(a)(iii)</w:t>
      </w:r>
      <w:r>
        <w:rPr>
          <w:rFonts w:ascii="Times New Roman" w:cs="Times New Roman" w:eastAsia="Times New Roman" w:hAnsi="Times New Roman"/>
          <w:sz w:val="22"/>
          <w:szCs w:val="22"/>
          <w:color w:val="auto"/>
        </w:rPr>
        <w:t>, the Collateral Trustee shall remit such funds, to the extent available (and subject to the order of priority set forth in the definition of "</w:t>
      </w:r>
      <w:r>
        <w:rPr>
          <w:rFonts w:ascii="Times New Roman" w:cs="Times New Roman" w:eastAsia="Times New Roman" w:hAnsi="Times New Roman"/>
          <w:sz w:val="22"/>
          <w:szCs w:val="22"/>
          <w:u w:val="single" w:color="auto"/>
          <w:color w:val="auto"/>
        </w:rPr>
        <w:t>Administrative Expenses</w:t>
      </w:r>
      <w:r>
        <w:rPr>
          <w:rFonts w:ascii="Times New Roman" w:cs="Times New Roman" w:eastAsia="Times New Roman" w:hAnsi="Times New Roman"/>
          <w:sz w:val="22"/>
          <w:szCs w:val="22"/>
          <w:color w:val="auto"/>
        </w:rPr>
        <w:t>"), as directed and designated in an Issuer Order (which may be in the form of standing instructions, including standing instructions to pay Administrative Expenses in such amounts and to such entities as indicated in the Distribution Report in respect of such Payment Date) delivered to the Collateral Trustee no later than the Business Day prior to each Payment Date.</w:t>
      </w:r>
    </w:p>
    <w:p>
      <w:pPr>
        <w:spacing w:after="0" w:line="181"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may, in its sole discretion in accordance with Section 8 of the Collateral Management Agreement, elect to irrevocably waive the payment of or distribution in respect of all or any portion of the Collateral Management Fee and/or the Aggregate Collateral Management Fee otherwise payable or distributable and available to be paid or distributed to it on any Payment Date pursuant to the Priority of Payments (the "</w:t>
      </w:r>
      <w:r>
        <w:rPr>
          <w:rFonts w:ascii="Times New Roman" w:cs="Times New Roman" w:eastAsia="Times New Roman" w:hAnsi="Times New Roman"/>
          <w:sz w:val="22"/>
          <w:szCs w:val="22"/>
          <w:u w:val="single" w:color="auto"/>
          <w:color w:val="auto"/>
        </w:rPr>
        <w:t>Waived Collateral Management Fee</w:t>
      </w:r>
      <w:r>
        <w:rPr>
          <w:rFonts w:ascii="Times New Roman" w:cs="Times New Roman" w:eastAsia="Times New Roman" w:hAnsi="Times New Roman"/>
          <w:sz w:val="22"/>
          <w:szCs w:val="22"/>
          <w:color w:val="auto"/>
        </w:rPr>
        <w:t>") by written notice to the Issuer, the Collateral Trustee, the Collateral Administrator and the Loan Agent delivered not later than the Determination Date immediately preceding such Payment Date. Any such Waived Collateral Management Fee will not thereafter become due and payable and any claim of the Collateral Manager therein will be extinguished.</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218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85" w:lineRule="exact"/>
        <w:rPr>
          <w:sz w:val="20"/>
          <w:szCs w:val="20"/>
          <w:color w:val="auto"/>
        </w:rPr>
      </w:pPr>
    </w:p>
    <w:p>
      <w:pPr>
        <w:ind w:left="1940" w:hanging="435"/>
        <w:spacing w:after="0"/>
        <w:tabs>
          <w:tab w:leader="none" w:pos="194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Priority of Payments to the contrary, Permitted RIC Distributions may be paid to Holders of Subordinated Notes irrespective of the Priority of Payments as long as the conditions to such distributions in the definition of "Permitted RIC Distributions" are satisfied.</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SALE OF COLLATERAL OBLIGATIONS;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OF ADDITIONAL COLLATERAL OBLIGATIONS</w:t>
      </w:r>
    </w:p>
    <w:p>
      <w:pPr>
        <w:spacing w:after="0" w:line="182"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u w:val="single" w:color="auto"/>
          <w:color w:val="auto"/>
        </w:rPr>
        <w:t>Section 12.1 Sales of Collateral Obligations</w:t>
      </w:r>
      <w:r>
        <w:rPr>
          <w:rFonts w:ascii="Times New Roman" w:cs="Times New Roman" w:eastAsia="Times New Roman" w:hAnsi="Times New Roman"/>
          <w:sz w:val="21"/>
          <w:szCs w:val="21"/>
          <w:color w:val="auto"/>
        </w:rPr>
        <w:t xml:space="preserve">. Subject to the satisfaction of the conditions specified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12.4</w:t>
      </w:r>
      <w:r>
        <w:rPr>
          <w:rFonts w:ascii="Times New Roman" w:cs="Times New Roman" w:eastAsia="Times New Roman" w:hAnsi="Times New Roman"/>
          <w:sz w:val="21"/>
          <w:szCs w:val="21"/>
          <w:color w:val="auto"/>
        </w:rPr>
        <w:t xml:space="preserve">, the Collateral Manager on behalf of the Issuer may (except as otherwise specified in this </w:t>
      </w:r>
      <w:r>
        <w:rPr>
          <w:rFonts w:ascii="Times New Roman" w:cs="Times New Roman" w:eastAsia="Times New Roman" w:hAnsi="Times New Roman"/>
          <w:sz w:val="21"/>
          <w:szCs w:val="21"/>
          <w:u w:val="single" w:color="auto"/>
          <w:color w:val="auto"/>
        </w:rPr>
        <w:t>Section 12.1</w:t>
      </w:r>
      <w:r>
        <w:rPr>
          <w:rFonts w:ascii="Times New Roman" w:cs="Times New Roman" w:eastAsia="Times New Roman" w:hAnsi="Times New Roman"/>
          <w:sz w:val="21"/>
          <w:szCs w:val="21"/>
          <w:color w:val="auto"/>
        </w:rPr>
        <w:t xml:space="preserve">) direct the Collateral Trustee to sell and the Collateral Trustee shall sell on behalf of the Issuer in the manner directed by the Collateral Manager any Collateral Obligation or Equity Security if, as certified by the Collateral Manager, such sale meets the requirements of any one of paragraphs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(m)</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12.1</w:t>
      </w:r>
      <w:r>
        <w:rPr>
          <w:rFonts w:ascii="Times New Roman" w:cs="Times New Roman" w:eastAsia="Times New Roman" w:hAnsi="Times New Roman"/>
          <w:sz w:val="21"/>
          <w:szCs w:val="21"/>
          <w:color w:val="auto"/>
        </w:rPr>
        <w:t xml:space="preserve"> (which certification shall be deemed to have been provided by the Collateral Manager upon delivery by the Collateral Manager of an Issuer Order or other written instruction (which may be a trade ticket) of a Responsible Officer of the Collateral Manager to the Collateral Trustee to sell any such Collateral Obligation or Equity Security) (subject in each case to any applicable requirement of disposition under </w:t>
      </w:r>
      <w:r>
        <w:rPr>
          <w:rFonts w:ascii="Times New Roman" w:cs="Times New Roman" w:eastAsia="Times New Roman" w:hAnsi="Times New Roman"/>
          <w:sz w:val="21"/>
          <w:szCs w:val="21"/>
          <w:u w:val="single" w:color="auto"/>
          <w:color w:val="auto"/>
        </w:rPr>
        <w:t>Section 12.1(i)</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firstLine="1505"/>
        <w:spacing w:after="0" w:line="258" w:lineRule="auto"/>
        <w:tabs>
          <w:tab w:leader="none" w:pos="1929"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Risk Obligations</w:t>
      </w:r>
      <w:r>
        <w:rPr>
          <w:rFonts w:ascii="Times New Roman" w:cs="Times New Roman" w:eastAsia="Times New Roman" w:hAnsi="Times New Roman"/>
          <w:sz w:val="22"/>
          <w:szCs w:val="22"/>
          <w:color w:val="auto"/>
        </w:rPr>
        <w:t>. The Collateral Manager may direct the Collateral Trustee to sell any Credit Risk Obligation at any time without restriction.</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Improved Obligations</w:t>
      </w:r>
      <w:r>
        <w:rPr>
          <w:rFonts w:ascii="Times New Roman" w:cs="Times New Roman" w:eastAsia="Times New Roman" w:hAnsi="Times New Roman"/>
          <w:sz w:val="22"/>
          <w:szCs w:val="22"/>
          <w:color w:val="auto"/>
        </w:rPr>
        <w:t>. The Collateral Manager may direct the Collateral Trustee to sell any Credit Improved Obligation at any time without restriction.</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Defaulted Obligations</w:t>
      </w:r>
      <w:r>
        <w:rPr>
          <w:rFonts w:ascii="Times New Roman" w:cs="Times New Roman" w:eastAsia="Times New Roman" w:hAnsi="Times New Roman"/>
          <w:sz w:val="22"/>
          <w:szCs w:val="22"/>
          <w:color w:val="auto"/>
        </w:rPr>
        <w:t>. The Collateral Manager may, on behalf of the Issuer, direct the Collateral Trustee to sell any Defaulted Obligation, or to consummate a Bankruptcy Exchange, at any time. With respect to each Defaulted Obligation that has remained a Defaulted Obligation for a continuous period of three years after becoming a Defaulted Obligation and has not been sold or terminated during such three year period, the Market Value and the Principal Balance of such Defaulted Obligation shall be deemed to be zero.</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Securities</w:t>
      </w:r>
      <w:r>
        <w:rPr>
          <w:rFonts w:ascii="Times New Roman" w:cs="Times New Roman" w:eastAsia="Times New Roman" w:hAnsi="Times New Roman"/>
          <w:sz w:val="22"/>
          <w:szCs w:val="22"/>
          <w:color w:val="auto"/>
        </w:rPr>
        <w:t>. The Collateral Manager may, on behalf of the Issuer, direct the Collateral Trustee to sell any Equity Security at any time, and shall use its commercially reasonable efforts to effect the sale of any Margin Stock, regardless of price, within a reasonable period of time.</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43"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Redemption</w:t>
      </w:r>
      <w:r>
        <w:rPr>
          <w:rFonts w:ascii="Times New Roman" w:cs="Times New Roman" w:eastAsia="Times New Roman" w:hAnsi="Times New Roman"/>
          <w:sz w:val="22"/>
          <w:szCs w:val="22"/>
          <w:color w:val="auto"/>
        </w:rPr>
        <w:t xml:space="preserve">. After a Majority of the Subordinated Notes has directed in writing in accordance with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an Optional Redemption of the Secured Debt in accordance with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if necessary to effect such Optional Redemption, the Collateral Manager shall direct the Collateral Trustee to sell (which sale may be through participation or other arrangement) all or a portion of the Collateral Obligations if the requirements of </w:t>
      </w:r>
      <w:r>
        <w:rPr>
          <w:rFonts w:ascii="Times New Roman" w:cs="Times New Roman" w:eastAsia="Times New Roman" w:hAnsi="Times New Roman"/>
          <w:sz w:val="22"/>
          <w:szCs w:val="22"/>
          <w:u w:val="single" w:color="auto"/>
          <w:color w:val="auto"/>
        </w:rPr>
        <w:t>Article IX</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219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85" w:lineRule="exact"/>
        <w:rPr>
          <w:sz w:val="20"/>
          <w:szCs w:val="20"/>
          <w:color w:val="auto"/>
        </w:rPr>
      </w:pPr>
    </w:p>
    <w:p>
      <w:pPr>
        <w:jc w:val="both"/>
        <w:ind w:firstLine="85"/>
        <w:spacing w:after="0" w:line="244" w:lineRule="auto"/>
        <w:rPr>
          <w:sz w:val="20"/>
          <w:szCs w:val="20"/>
          <w:color w:val="auto"/>
        </w:rPr>
      </w:pPr>
      <w:r>
        <w:rPr>
          <w:rFonts w:ascii="Times New Roman" w:cs="Times New Roman" w:eastAsia="Times New Roman" w:hAnsi="Times New Roman"/>
          <w:sz w:val="22"/>
          <w:szCs w:val="22"/>
          <w:color w:val="auto"/>
        </w:rPr>
        <w:t xml:space="preserve">(including the certification requirements of </w:t>
      </w:r>
      <w:r>
        <w:rPr>
          <w:rFonts w:ascii="Times New Roman" w:cs="Times New Roman" w:eastAsia="Times New Roman" w:hAnsi="Times New Roman"/>
          <w:sz w:val="22"/>
          <w:szCs w:val="22"/>
          <w:u w:val="single" w:color="auto"/>
          <w:color w:val="auto"/>
        </w:rPr>
        <w:t>Section 9.4(e)(ii)</w:t>
      </w:r>
      <w:r>
        <w:rPr>
          <w:rFonts w:ascii="Times New Roman" w:cs="Times New Roman" w:eastAsia="Times New Roman" w:hAnsi="Times New Roman"/>
          <w:sz w:val="22"/>
          <w:szCs w:val="22"/>
          <w:color w:val="auto"/>
        </w:rPr>
        <w:t>, if applicable) are satisfied. If any such sale is made through participations, the Issuer shall use reasonable efforts to cause such participations to be converted to assignments within six months after the sale.</w:t>
      </w:r>
    </w:p>
    <w:p>
      <w:pPr>
        <w:spacing w:after="0" w:line="173" w:lineRule="exact"/>
        <w:rPr>
          <w:sz w:val="20"/>
          <w:szCs w:val="20"/>
          <w:color w:val="auto"/>
        </w:rPr>
      </w:pPr>
    </w:p>
    <w:p>
      <w:pPr>
        <w:jc w:val="both"/>
        <w:ind w:firstLine="1505"/>
        <w:spacing w:after="0" w:line="236" w:lineRule="auto"/>
        <w:tabs>
          <w:tab w:leader="none" w:pos="1956"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Redemption</w:t>
      </w:r>
      <w:r>
        <w:rPr>
          <w:rFonts w:ascii="Times New Roman" w:cs="Times New Roman" w:eastAsia="Times New Roman" w:hAnsi="Times New Roman"/>
          <w:sz w:val="22"/>
          <w:szCs w:val="22"/>
          <w:color w:val="auto"/>
        </w:rPr>
        <w:t xml:space="preserve">. After a Majority of an Affected Class or a Majority of the Subordinated Notes has directed (by a written direction delivered to the Collateral Trustee) a Tax Redemption, the Collateral Manager shall, if necessary to effect such Tax Redemption, direct the Collateral Trustee to sell (which sale may be through participation or other arrangement) all or a portion of the Collateral Obligations if the requirements of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(including the certification requirements of </w:t>
      </w:r>
      <w:r>
        <w:rPr>
          <w:rFonts w:ascii="Times New Roman" w:cs="Times New Roman" w:eastAsia="Times New Roman" w:hAnsi="Times New Roman"/>
          <w:sz w:val="22"/>
          <w:szCs w:val="22"/>
          <w:u w:val="single" w:color="auto"/>
          <w:color w:val="auto"/>
        </w:rPr>
        <w:t>Section 9.4(e)(ii)</w:t>
      </w:r>
      <w:r>
        <w:rPr>
          <w:rFonts w:ascii="Times New Roman" w:cs="Times New Roman" w:eastAsia="Times New Roman" w:hAnsi="Times New Roman"/>
          <w:sz w:val="22"/>
          <w:szCs w:val="22"/>
          <w:color w:val="auto"/>
        </w:rPr>
        <w:t>, if applicable) are satisfied. If any such sale is made through participations, the Issuer shall use reasonable efforts to cause such participations to be converted to assignments within six months after the sale.</w:t>
      </w:r>
    </w:p>
    <w:p>
      <w:pPr>
        <w:spacing w:after="0" w:line="181"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7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Clean-Up Call Redemption</w:t>
      </w:r>
      <w:r>
        <w:rPr>
          <w:rFonts w:ascii="Times New Roman" w:cs="Times New Roman" w:eastAsia="Times New Roman" w:hAnsi="Times New Roman"/>
          <w:sz w:val="22"/>
          <w:szCs w:val="22"/>
          <w:color w:val="auto"/>
        </w:rPr>
        <w:t xml:space="preserve">. After a Majority of the Subordinated Notes has directed in writing in accordance </w:t>
      </w:r>
      <w:r>
        <w:rPr>
          <w:rFonts w:ascii="Times New Roman" w:cs="Times New Roman" w:eastAsia="Times New Roman" w:hAnsi="Times New Roman"/>
          <w:sz w:val="22"/>
          <w:szCs w:val="22"/>
          <w:u w:val="single" w:color="auto"/>
          <w:color w:val="auto"/>
        </w:rPr>
        <w:t>Section 9.8</w:t>
      </w:r>
      <w:r>
        <w:rPr>
          <w:rFonts w:ascii="Times New Roman" w:cs="Times New Roman" w:eastAsia="Times New Roman" w:hAnsi="Times New Roman"/>
          <w:sz w:val="22"/>
          <w:szCs w:val="22"/>
          <w:color w:val="auto"/>
        </w:rPr>
        <w:t xml:space="preserve"> a Clean-Up Call Redemption of the Secured Debt, if necessary to effect such Clean-Up Call Redemption, the Collateral Manager shall direct the Collateral Trustee to sell (which sale may be through participation or other arrangement) all or a portion of the Collateral Obligations if the requirements of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(including the certification requirements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9.8(b)(ii)</w:t>
      </w:r>
      <w:r>
        <w:rPr>
          <w:rFonts w:ascii="Times New Roman" w:cs="Times New Roman" w:eastAsia="Times New Roman" w:hAnsi="Times New Roman"/>
          <w:sz w:val="22"/>
          <w:szCs w:val="22"/>
          <w:color w:val="auto"/>
        </w:rPr>
        <w:t>, if applicable) are satisfied. If any such sale is made through participations, the Issuer shall use reasonable efforts to cause such participations to be converted to assignments within six months after the sale.</w:t>
      </w:r>
    </w:p>
    <w:p>
      <w:pPr>
        <w:spacing w:after="0" w:line="181"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Sales</w:t>
      </w:r>
      <w:r>
        <w:rPr>
          <w:rFonts w:ascii="Times New Roman" w:cs="Times New Roman" w:eastAsia="Times New Roman" w:hAnsi="Times New Roman"/>
          <w:sz w:val="22"/>
          <w:szCs w:val="22"/>
          <w:color w:val="auto"/>
        </w:rPr>
        <w:t xml:space="preserve">. The Collateral Manager may, on behalf of the Issuer, direct the Collateral Trustee to sell any Collateral Obligation at any time other than during a Restricted Trading Period if (i)(A) after giving effect to such sale, the Aggregate Principal Balance of all Collateral Obligations sold as described in this </w:t>
      </w:r>
      <w:r>
        <w:rPr>
          <w:rFonts w:ascii="Times New Roman" w:cs="Times New Roman" w:eastAsia="Times New Roman" w:hAnsi="Times New Roman"/>
          <w:sz w:val="22"/>
          <w:szCs w:val="22"/>
          <w:u w:val="single" w:color="auto"/>
          <w:color w:val="auto"/>
        </w:rPr>
        <w:t>Section 12.1(h)</w:t>
      </w:r>
      <w:r>
        <w:rPr>
          <w:rFonts w:ascii="Times New Roman" w:cs="Times New Roman" w:eastAsia="Times New Roman" w:hAnsi="Times New Roman"/>
          <w:sz w:val="22"/>
          <w:szCs w:val="22"/>
          <w:color w:val="auto"/>
        </w:rPr>
        <w:t xml:space="preserve"> during the preceding period of 12 calendar months (or, for the first 12 calendar months after the Closing Date, during the period commencing on the Closing Date) is not greater than 30% of the Collateral Principal Amount as of the first day of such 12 calendar month period (or as of the Closing Date, as the case may be), it being understood that the foregoing limitation shall not apply to any optional or mandatory substitutions or repurchases effected by the Transferor pursuant to the Master Loan Sale Agreement and </w:t>
      </w:r>
      <w:r>
        <w:rPr>
          <w:rFonts w:ascii="Times New Roman" w:cs="Times New Roman" w:eastAsia="Times New Roman" w:hAnsi="Times New Roman"/>
          <w:sz w:val="22"/>
          <w:szCs w:val="22"/>
          <w:u w:val="single" w:color="auto"/>
          <w:color w:val="auto"/>
        </w:rPr>
        <w:t>Section 12.3</w:t>
      </w:r>
      <w:r>
        <w:rPr>
          <w:rFonts w:ascii="Times New Roman" w:cs="Times New Roman" w:eastAsia="Times New Roman" w:hAnsi="Times New Roman"/>
          <w:sz w:val="22"/>
          <w:szCs w:val="22"/>
          <w:color w:val="auto"/>
        </w:rPr>
        <w:t xml:space="preserve">; and (B) if such Collateral Obligation is to be sold to the Collateral Manager, an Affiliate of the Collateral Manager or an Affiliate of the Issuer, the Collateral Manager obtains a valuation of such Collateral Obligation in accordance with </w:t>
      </w:r>
      <w:r>
        <w:rPr>
          <w:rFonts w:ascii="Times New Roman" w:cs="Times New Roman" w:eastAsia="Times New Roman" w:hAnsi="Times New Roman"/>
          <w:sz w:val="22"/>
          <w:szCs w:val="22"/>
          <w:u w:val="single" w:color="auto"/>
          <w:color w:val="auto"/>
        </w:rPr>
        <w:t>Section 12.4(a)</w:t>
      </w:r>
      <w:r>
        <w:rPr>
          <w:rFonts w:ascii="Times New Roman" w:cs="Times New Roman" w:eastAsia="Times New Roman" w:hAnsi="Times New Roman"/>
          <w:sz w:val="22"/>
          <w:szCs w:val="22"/>
          <w:color w:val="auto"/>
        </w:rPr>
        <w:t xml:space="preserve"> and such Person acquires such Collateral Obligation for a price not less than the value so determined; and (ii) either:</w:t>
      </w:r>
    </w:p>
    <w:p>
      <w:pPr>
        <w:spacing w:after="0" w:line="179" w:lineRule="exact"/>
        <w:rPr>
          <w:rFonts w:ascii="Times New Roman" w:cs="Times New Roman" w:eastAsia="Times New Roman" w:hAnsi="Times New Roman"/>
          <w:sz w:val="22"/>
          <w:szCs w:val="22"/>
          <w:color w:val="auto"/>
        </w:rPr>
      </w:pPr>
    </w:p>
    <w:p>
      <w:pPr>
        <w:jc w:val="both"/>
        <w:ind w:left="1500" w:firstLine="754"/>
        <w:spacing w:after="0" w:line="235" w:lineRule="auto"/>
        <w:tabs>
          <w:tab w:leader="none" w:pos="2681"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solely during the Reinvestment Period, the Collateral Manager reasonably believes prior to such sale that it will be able to enter into binding commitments to reinvest all or a portion of the proceeds of such sale, together with Eligible Investments constituting Principal Proceeds, in compliance with the Investment Criteria, in one or more additional Collateral Obligations with an Aggregate Principal Balance at least equal to the Principal Balance (or, in the case of any Discount Obligation, the purchase price, excluding accrued interest, expressed as a percentage of par and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the Principal Balance thereof) of such Collateral Obligation within 30 days after such sale; or</w:t>
      </w:r>
    </w:p>
    <w:p>
      <w:pPr>
        <w:spacing w:after="0" w:line="16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220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85" w:lineRule="exact"/>
        <w:rPr>
          <w:sz w:val="20"/>
          <w:szCs w:val="20"/>
          <w:color w:val="auto"/>
        </w:rPr>
      </w:pPr>
    </w:p>
    <w:p>
      <w:pPr>
        <w:jc w:val="both"/>
        <w:ind w:left="1500" w:firstLine="754"/>
        <w:spacing w:after="0" w:line="244" w:lineRule="auto"/>
        <w:tabs>
          <w:tab w:leader="none" w:pos="2681" w:val="left"/>
        </w:tabs>
        <w:numPr>
          <w:ilvl w:val="2"/>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sale, the Adjusted Collateral Principal Amount (excluding the Collateral Obligation being sold but including, without duplication, the anticipated net proceeds of such sale) will be greater than or equal to the Reinvestment Target Par Balance.</w:t>
      </w:r>
    </w:p>
    <w:p>
      <w:pPr>
        <w:spacing w:after="0" w:line="173" w:lineRule="exact"/>
        <w:rPr>
          <w:rFonts w:ascii="Times New Roman" w:cs="Times New Roman" w:eastAsia="Times New Roman" w:hAnsi="Times New Roman"/>
          <w:sz w:val="22"/>
          <w:szCs w:val="22"/>
          <w:color w:val="auto"/>
        </w:rPr>
      </w:pPr>
    </w:p>
    <w:p>
      <w:pPr>
        <w:jc w:val="both"/>
        <w:ind w:firstLine="1505"/>
        <w:spacing w:after="0" w:line="241" w:lineRule="auto"/>
        <w:tabs>
          <w:tab w:leader="none" w:pos="1943"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Sales</w:t>
      </w:r>
      <w:r>
        <w:rPr>
          <w:rFonts w:ascii="Times New Roman" w:cs="Times New Roman" w:eastAsia="Times New Roman" w:hAnsi="Times New Roman"/>
          <w:sz w:val="22"/>
          <w:szCs w:val="22"/>
          <w:color w:val="auto"/>
        </w:rPr>
        <w:t>. The Collateral Manager on behalf of the Issuer shall use its commercially reasonable efforts to effect the sale (regardless of price) of any Collateral Obligation that no longer meets the criteria described in clause</w:t>
      </w:r>
    </w:p>
    <w:p>
      <w:pPr>
        <w:spacing w:after="0" w:line="1" w:lineRule="exact"/>
        <w:rPr>
          <w:rFonts w:ascii="Times New Roman" w:cs="Times New Roman" w:eastAsia="Times New Roman" w:hAnsi="Times New Roman"/>
          <w:sz w:val="22"/>
          <w:szCs w:val="22"/>
          <w:color w:val="auto"/>
        </w:rPr>
      </w:pPr>
    </w:p>
    <w:p>
      <w:pPr>
        <w:ind w:right="20" w:firstLine="8"/>
        <w:spacing w:after="0" w:line="237" w:lineRule="auto"/>
        <w:tabs>
          <w:tab w:leader="none" w:pos="446"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of "Collateral Obligation," within 18 months after the failure of such Collateral Obligation to meet such criteria.</w:t>
      </w:r>
    </w:p>
    <w:p>
      <w:pPr>
        <w:spacing w:after="0" w:line="178" w:lineRule="exact"/>
        <w:rPr>
          <w:sz w:val="20"/>
          <w:szCs w:val="20"/>
          <w:color w:val="auto"/>
        </w:rPr>
      </w:pPr>
    </w:p>
    <w:p>
      <w:pPr>
        <w:ind w:firstLine="1505"/>
        <w:spacing w:after="0" w:line="258" w:lineRule="auto"/>
        <w:tabs>
          <w:tab w:leader="none" w:pos="197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Master Loan Sale Agreement</w:t>
      </w:r>
      <w:r>
        <w:rPr>
          <w:rFonts w:ascii="Times New Roman" w:cs="Times New Roman" w:eastAsia="Times New Roman" w:hAnsi="Times New Roman"/>
          <w:sz w:val="22"/>
          <w:szCs w:val="22"/>
          <w:color w:val="auto"/>
        </w:rPr>
        <w:t>. The Collateral Manager may direct the Collateral Trustee to sell any Collateral Obligation at any time when the Issuer is obligated to do so under the Master Loan Sale Agreement.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Covenant Default</w:t>
      </w:r>
      <w:r>
        <w:rPr>
          <w:rFonts w:ascii="Times New Roman" w:cs="Times New Roman" w:eastAsia="Times New Roman" w:hAnsi="Times New Roman"/>
          <w:sz w:val="22"/>
          <w:szCs w:val="22"/>
          <w:color w:val="auto"/>
        </w:rPr>
        <w:t>. The Collateral Manager may direct the Collateral Trustee at any time without restriction to sell any Collateral Obligation that (i) has had a Material Covenant Default or (ii) becomes subject to a proposed Maturity Amendment.</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1983"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Stated Maturity</w:t>
      </w:r>
      <w:r>
        <w:rPr>
          <w:rFonts w:ascii="Times New Roman" w:cs="Times New Roman" w:eastAsia="Times New Roman" w:hAnsi="Times New Roman"/>
          <w:sz w:val="22"/>
          <w:szCs w:val="22"/>
          <w:color w:val="auto"/>
        </w:rPr>
        <w:t>. The Collateral Manager shall direct the Collateral Trustee to sell any Collateral Obligation in order to repay any Class of Debt at its Stated Maturity.</w:t>
      </w:r>
    </w:p>
    <w:p>
      <w:pPr>
        <w:spacing w:after="0" w:line="158" w:lineRule="exact"/>
        <w:rPr>
          <w:sz w:val="20"/>
          <w:szCs w:val="20"/>
          <w:color w:val="auto"/>
        </w:rPr>
      </w:pPr>
    </w:p>
    <w:p>
      <w:pPr>
        <w:jc w:val="both"/>
        <w:ind w:firstLine="1497"/>
        <w:spacing w:after="0" w:line="249" w:lineRule="exact"/>
        <w:rPr>
          <w:sz w:val="20"/>
          <w:szCs w:val="20"/>
          <w:color w:val="auto"/>
        </w:rPr>
      </w:pPr>
      <w:r>
        <w:rPr>
          <w:rFonts w:ascii="Times New Roman" w:cs="Times New Roman" w:eastAsia="Times New Roman" w:hAnsi="Times New Roman"/>
          <w:sz w:val="22"/>
          <w:szCs w:val="22"/>
          <w:u w:val="single" w:color="auto"/>
          <w:color w:val="auto"/>
        </w:rPr>
        <w:t>Section 12.2 Purchase of Additional Collateral Obligations</w:t>
      </w:r>
      <w:r>
        <w:rPr>
          <w:rFonts w:ascii="Times New Roman" w:cs="Times New Roman" w:eastAsia="Times New Roman" w:hAnsi="Times New Roman"/>
          <w:sz w:val="22"/>
          <w:szCs w:val="22"/>
          <w:color w:val="auto"/>
        </w:rPr>
        <w:t xml:space="preserve">. On any date during the Reinvestment Period, the Collateral Manager on behalf of the Issuer may pursuant to an Issuer Order or trade ticket, subject to the other requirements in this Indenture, direct the Collateral Trustee to invest Principal Proceeds, proceeds of additional Notes issued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3.2</w:t>
      </w:r>
      <w:r>
        <w:rPr>
          <w:rFonts w:ascii="Times New Roman" w:cs="Times New Roman" w:eastAsia="Times New Roman" w:hAnsi="Times New Roman"/>
          <w:sz w:val="22"/>
          <w:szCs w:val="22"/>
          <w:color w:val="auto"/>
        </w:rPr>
        <w:t>, amounts on deposit in the Ramp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Up Account, Principal Financed Accrued Interest and Principal Financed Capitalized Interest, and the Collateral Trustee shall invest such Principal Proceeds and other amounts in accordance with such direction. After the Reinvestment Period, the Collateral Manager shall not direct the Collateral Trustee to invest any amounts on behalf of the Issuer;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accordance with </w:t>
      </w:r>
      <w:r>
        <w:rPr>
          <w:rFonts w:ascii="Times New Roman" w:cs="Times New Roman" w:eastAsia="Times New Roman" w:hAnsi="Times New Roman"/>
          <w:sz w:val="22"/>
          <w:szCs w:val="22"/>
          <w:u w:val="single" w:color="auto"/>
          <w:color w:val="auto"/>
        </w:rPr>
        <w:t>Section 12.2(d)</w:t>
      </w:r>
      <w:r>
        <w:rPr>
          <w:rFonts w:ascii="Times New Roman" w:cs="Times New Roman" w:eastAsia="Times New Roman" w:hAnsi="Times New Roman"/>
          <w:sz w:val="22"/>
          <w:szCs w:val="22"/>
          <w:color w:val="auto"/>
        </w:rPr>
        <w:t>, Cash on deposit in any Account (other than the Payment Account) may be invested in Eligible Investments following the Reinvestment Period.</w:t>
      </w:r>
    </w:p>
    <w:p>
      <w:pPr>
        <w:spacing w:after="0" w:line="183" w:lineRule="exact"/>
        <w:rPr>
          <w:sz w:val="20"/>
          <w:szCs w:val="20"/>
          <w:color w:val="auto"/>
        </w:rPr>
      </w:pPr>
    </w:p>
    <w:p>
      <w:pPr>
        <w:jc w:val="both"/>
        <w:ind w:firstLine="1505"/>
        <w:spacing w:after="0" w:line="238" w:lineRule="auto"/>
        <w:tabs>
          <w:tab w:leader="none" w:pos="1929"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Criteria</w:t>
      </w:r>
      <w:r>
        <w:rPr>
          <w:rFonts w:ascii="Times New Roman" w:cs="Times New Roman" w:eastAsia="Times New Roman" w:hAnsi="Times New Roman"/>
          <w:sz w:val="22"/>
          <w:szCs w:val="22"/>
          <w:color w:val="auto"/>
        </w:rPr>
        <w:t xml:space="preserve">. No obligation may be purchased by the Issuer unless each of the following conditions is satisfied as of the date the Collateral Manager commits on behalf of the Issuer to make such purchase, in each case as determined by the Collateral Manager after giving effect to such purchase and all other sales or purchases previously or simultaneously committed 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conditions set forth in clauses (ii), (iii) and (iv) below need only be satisfied with respect to purchases of Collateral Obligations occurring on or after the Effective Date (the "</w:t>
      </w:r>
      <w:r>
        <w:rPr>
          <w:rFonts w:ascii="Times New Roman" w:cs="Times New Roman" w:eastAsia="Times New Roman" w:hAnsi="Times New Roman"/>
          <w:sz w:val="22"/>
          <w:szCs w:val="22"/>
          <w:u w:val="single" w:color="auto"/>
          <w:color w:val="auto"/>
        </w:rPr>
        <w:t>Investment Criteria</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obligation is a Collateral Obligation;</w:t>
      </w:r>
    </w:p>
    <w:p>
      <w:pPr>
        <w:spacing w:after="0" w:line="206"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Coverage Test will be satisfied, or if not satisfied, will be maintained or improved;</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221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85" w:lineRule="exact"/>
        <w:rPr>
          <w:sz w:val="20"/>
          <w:szCs w:val="20"/>
          <w:color w:val="auto"/>
        </w:rPr>
      </w:pPr>
    </w:p>
    <w:p>
      <w:pPr>
        <w:jc w:val="both"/>
        <w:ind w:left="760" w:firstLine="1015"/>
        <w:spacing w:after="0" w:line="233" w:lineRule="auto"/>
        <w:tabs>
          <w:tab w:leader="none" w:pos="2210"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in the case of an additional Collateral Obligation purchased with the proceeds from the sale of a Credit Risk Obligation or a Defaulted Obligation, either (1) the Aggregate Principal Balance of all additional Collateral Obligations purchased with the proceeds from such sale will at least equal the Sale Proceeds from such sale, (2) the Aggregate Principal Balance of the Collateral Obligations will be maintained or increased (when compared to the Aggregate Principal Balance of the Collateral Obligations immediately prior to such sale) or (3) the Adjusted Collateral Principal Amount (excluding the Collateral Obligation being sold but including, without duplication, the Collateral Obligation being purchased and the anticipated cash proceeds, if any, of such sale that are not applied to the purchase of such additional Collateral Obligation) will be greater than the Reinvestment Target Par Balance and (B) in the case of any other purchase of additional Collateral Obligations purchased with the proceeds from the sale of a Collateral Obligation, either (1) the Aggregate Principal Balance of the Collateral Obligations will be maintained or increased (when compared to the Aggregate Principal Balance of the Collateral Obligations immediately prior to such sale) or (2) the Adjusted Collateral Principal Amount (excluding the Collateral Obligation being sold but including, without duplication, the Collateral Obligation being purchased and the anticipated cash proceeds, if any, of such sale that are not applied to the purchase of such additional Collateral Obligation) will be greater than the Reinvestment Target Par Balance;</w:t>
      </w:r>
    </w:p>
    <w:p>
      <w:pPr>
        <w:spacing w:after="0" w:line="177" w:lineRule="exact"/>
        <w:rPr>
          <w:rFonts w:ascii="Times New Roman" w:cs="Times New Roman" w:eastAsia="Times New Roman" w:hAnsi="Times New Roman"/>
          <w:sz w:val="22"/>
          <w:szCs w:val="22"/>
          <w:color w:val="auto"/>
        </w:rPr>
      </w:pPr>
    </w:p>
    <w:p>
      <w:pPr>
        <w:jc w:val="both"/>
        <w:ind w:left="760" w:firstLine="1015"/>
        <w:spacing w:after="0" w:line="238" w:lineRule="auto"/>
        <w:tabs>
          <w:tab w:leader="none" w:pos="2210"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 each requirement or test, as the case may be, of the Concentration Limitations and the Collateral Quality Test (except, in the case of an additional Collateral Obligation purchased with the proceeds from the sale of a Credit Risk Obligation, a Defaulted Obligation or a Restructured Asset, the S&amp;P CDO Monitor Test) will be satisfied or (B) if any such requirement or test was not satisfied immediately prior to such investment, such requirement or test will be maintained or improved after giving effect to the investment; and</w:t>
      </w:r>
    </w:p>
    <w:p>
      <w:pPr>
        <w:spacing w:after="0" w:line="176" w:lineRule="exact"/>
        <w:rPr>
          <w:rFonts w:ascii="Times New Roman" w:cs="Times New Roman" w:eastAsia="Times New Roman" w:hAnsi="Times New Roman"/>
          <w:sz w:val="22"/>
          <w:szCs w:val="22"/>
          <w:color w:val="auto"/>
        </w:rPr>
      </w:pPr>
    </w:p>
    <w:p>
      <w:pPr>
        <w:ind w:left="760" w:right="60" w:firstLine="1015"/>
        <w:spacing w:after="0" w:line="258" w:lineRule="auto"/>
        <w:tabs>
          <w:tab w:leader="none" w:pos="2210"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Issuer (or the Collateral Manager on its behalf) commits to purchase such Collateral Obligation occurs during the Reinvestment Period.</w:t>
      </w:r>
    </w:p>
    <w:p>
      <w:pPr>
        <w:spacing w:after="0" w:line="158" w:lineRule="exact"/>
        <w:rPr>
          <w:sz w:val="20"/>
          <w:szCs w:val="20"/>
          <w:color w:val="auto"/>
        </w:rPr>
      </w:pPr>
    </w:p>
    <w:p>
      <w:pPr>
        <w:jc w:val="both"/>
        <w:ind w:firstLine="1497"/>
        <w:spacing w:after="0" w:line="248" w:lineRule="exact"/>
        <w:rPr>
          <w:sz w:val="20"/>
          <w:szCs w:val="20"/>
          <w:color w:val="auto"/>
        </w:rPr>
      </w:pPr>
      <w:r>
        <w:rPr>
          <w:rFonts w:ascii="Times New Roman" w:cs="Times New Roman" w:eastAsia="Times New Roman" w:hAnsi="Times New Roman"/>
          <w:sz w:val="22"/>
          <w:szCs w:val="22"/>
          <w:color w:val="auto"/>
        </w:rPr>
        <w:t>If the Issuer has entered into a written trade ticket or other written binding commitment to purchase a Collateral Obligation during the Reinvestment Period which purchase is not scheduled to settle prior to the end of the Reinvestment Period (such Collateral Obligation, a "</w:t>
      </w:r>
      <w:r>
        <w:rPr>
          <w:rFonts w:ascii="Times New Roman" w:cs="Times New Roman" w:eastAsia="Times New Roman" w:hAnsi="Times New Roman"/>
          <w:sz w:val="22"/>
          <w:szCs w:val="22"/>
          <w:u w:val="single" w:color="auto"/>
          <w:color w:val="auto"/>
        </w:rPr>
        <w:t>Post</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Reinvestment Period Settlement Obligation</w:t>
      </w:r>
      <w:r>
        <w:rPr>
          <w:rFonts w:ascii="Times New Roman" w:cs="Times New Roman" w:eastAsia="Times New Roman" w:hAnsi="Times New Roman"/>
          <w:sz w:val="22"/>
          <w:szCs w:val="22"/>
          <w:color w:val="auto"/>
        </w:rPr>
        <w:t>"), such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Reinvestment Period Settlement Obligation shall be treated as having been purchased by the Issuer prior to the end of the Reinvestment Period for purposes of the Investment Criteria, and Principal Proceeds received after the end of the Reinvestment Period may be applied to the payment of the purchase price of such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Reinvestment Period Settlement Obligation. Not later than the Business Day immediately preceding the end of the Reinvestment Period, the Collateral Manager shall deliver to the Collateral Trustee a schedule of Collateral Obligations purchased by the Issuer with respect to which purchases the trade date has occurred but the settlement date has not yet occurred and shall certify to the Collateral Trustee that sufficient Principal Proceeds will be available (including for this purpose, cash on deposit in the Principal Collection Subaccount as well as any Principal Proceeds expected to be received by the Issuer from the sale of Collateral Obligations for which the trade date has already occurred but the settlement date has not yet occurred) to effect the settlement of such Collateral Obligation.</w:t>
      </w:r>
    </w:p>
    <w:p>
      <w:pPr>
        <w:spacing w:after="0" w:line="16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222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85" w:lineRule="exact"/>
        <w:rPr>
          <w:sz w:val="20"/>
          <w:szCs w:val="20"/>
          <w:color w:val="auto"/>
        </w:rPr>
      </w:pPr>
    </w:p>
    <w:p>
      <w:pPr>
        <w:jc w:val="both"/>
        <w:ind w:firstLine="1505"/>
        <w:spacing w:after="0" w:line="232" w:lineRule="auto"/>
        <w:tabs>
          <w:tab w:leader="none" w:pos="1943"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Plan Period</w:t>
      </w:r>
      <w:r>
        <w:rPr>
          <w:rFonts w:ascii="Times New Roman" w:cs="Times New Roman" w:eastAsia="Times New Roman" w:hAnsi="Times New Roman"/>
          <w:sz w:val="22"/>
          <w:szCs w:val="22"/>
          <w:color w:val="auto"/>
        </w:rPr>
        <w:t>. During the Reinvestment Period, for purposes of calculating compliance with the Investment Criteria, at the election of the Collateral Manager in its sole discretion, any proposed investment (whether a single Collateral Obligation or a group of Collateral Obligations) identified by the Collateral Manager as such at the time when compliance with the Investment Criteria is required to be calculated (a "</w:t>
      </w:r>
      <w:r>
        <w:rPr>
          <w:rFonts w:ascii="Times New Roman" w:cs="Times New Roman" w:eastAsia="Times New Roman" w:hAnsi="Times New Roman"/>
          <w:sz w:val="22"/>
          <w:szCs w:val="22"/>
          <w:u w:val="single" w:color="auto"/>
          <w:color w:val="auto"/>
        </w:rPr>
        <w:t>Trading Plan</w:t>
      </w:r>
      <w:r>
        <w:rPr>
          <w:rFonts w:ascii="Times New Roman" w:cs="Times New Roman" w:eastAsia="Times New Roman" w:hAnsi="Times New Roman"/>
          <w:sz w:val="22"/>
          <w:szCs w:val="22"/>
          <w:color w:val="auto"/>
        </w:rPr>
        <w:t>") may be evaluated after giving effect to all sales and reinvestments proposed to be entered into within the ten Business Days following the date of determination of such compliance (such period, the "</w:t>
      </w:r>
      <w:r>
        <w:rPr>
          <w:rFonts w:ascii="Times New Roman" w:cs="Times New Roman" w:eastAsia="Times New Roman" w:hAnsi="Times New Roman"/>
          <w:sz w:val="22"/>
          <w:szCs w:val="22"/>
          <w:u w:val="single" w:color="auto"/>
          <w:color w:val="auto"/>
        </w:rPr>
        <w:t>Trading Plan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 Trading Plan may result in the purchase of Collateral Obligations having an Aggregate Principal Balance that exceeds 5.0% of the Collateral Principal Amount as of the first day of the Trading Plan Period, (ii) no Trading Plan Period may include a Determination Date, (iii) no more than one Trading Plan may be in effect at any time during a Trading Plan Period, (iv) if the Investment Criteria are satisfied prospectively after giving effect to a Trading Plan but are not satisfied upon the expiry of the related Trading Plan Period, the Investment Criteria shall not at any time thereafter be evaluated by giving effect to a Trading Plan, (v) the difference between the remaining maturity of the Collateral Obligation in the identified reinvestments with (1) the shortest remaining maturity and (2) the longest remaining maturity is not greater than 36 months and (vi) each Collateral Obligation in the identified reinvestments has a remaining maturity of not less than six (6) months. The Collateral Manager shall provide prior written notice to each Rating Agency, the Collateral Administrator and the Collateral Trustee of (i) any Trading Plan, which notice shall specify the proposed investments identified by the Collateral Manager for acquisition as part of such Trading Plan and (ii) the occurrence of the event described in clause (iv) above. The Collateral Manager will provide notice to the Collateral Administrator and the Collateral Trustee promptly after a Trading Plan is executed, and the Collateral Trustee will post such notice on the Collateral Trustee's website, and the Collateral Trustee will report the details of any such Trading Plan provided by the Collateral Manager as part of the Monthly Report pursuant to this Indenture.</w:t>
      </w:r>
    </w:p>
    <w:p>
      <w:pPr>
        <w:spacing w:after="0" w:line="150" w:lineRule="exact"/>
        <w:rPr>
          <w:rFonts w:ascii="Times New Roman" w:cs="Times New Roman" w:eastAsia="Times New Roman" w:hAnsi="Times New Roman"/>
          <w:sz w:val="22"/>
          <w:szCs w:val="22"/>
          <w:color w:val="auto"/>
        </w:rPr>
      </w:pPr>
    </w:p>
    <w:p>
      <w:pPr>
        <w:jc w:val="both"/>
        <w:ind w:firstLine="1505"/>
        <w:spacing w:after="0" w:line="263" w:lineRule="exact"/>
        <w:tabs>
          <w:tab w:leader="none" w:pos="1970"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Certification by Collateral Manager</w:t>
      </w:r>
      <w:r>
        <w:rPr>
          <w:rFonts w:ascii="Times New Roman" w:cs="Times New Roman" w:eastAsia="Times New Roman" w:hAnsi="Times New Roman"/>
          <w:sz w:val="22"/>
          <w:szCs w:val="22"/>
          <w:color w:val="auto"/>
        </w:rPr>
        <w:t>. Not later than the Cut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Off Date for any Collateral Obligation purchased in accordance with this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the Collateral Manager shall deliver by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mail or other electronic transmission to the Collateral Trustee an Officer's certificate of the Collateral Manager certifying that such purchase complies with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 xml:space="preserve"> (provided that delivery of any trade ticket or Issuer Order will be deemed to be a certification for purposes of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 xml:space="preserve"> hereunder).</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in Eligible Investments</w:t>
      </w:r>
      <w:r>
        <w:rPr>
          <w:rFonts w:ascii="Times New Roman" w:cs="Times New Roman" w:eastAsia="Times New Roman" w:hAnsi="Times New Roman"/>
          <w:sz w:val="22"/>
          <w:szCs w:val="22"/>
          <w:color w:val="auto"/>
        </w:rPr>
        <w:t xml:space="preserve">. Cash on deposit in any Account (other than the Payment Account and the Custodial Account) may be invested at any time in Eligible Investments in accordance with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83"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 Exchanges</w:t>
      </w:r>
      <w:r>
        <w:rPr>
          <w:rFonts w:ascii="Times New Roman" w:cs="Times New Roman" w:eastAsia="Times New Roman" w:hAnsi="Times New Roman"/>
          <w:sz w:val="22"/>
          <w:szCs w:val="22"/>
          <w:color w:val="auto"/>
        </w:rPr>
        <w:t>. The Collateral Manager may direct the Collateral Trustee to enter into a Bankruptcy Exchange at any time. For the avoidance of doubt, the consummation of a Bankruptcy Exchange will not be required to satisfy any of the Investment Criteria.</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223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85"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12.3</w:t>
      </w:r>
      <w:r>
        <w:rPr>
          <w:sz w:val="20"/>
          <w:szCs w:val="20"/>
          <w:color w:val="auto"/>
        </w:rPr>
        <w:tab/>
      </w:r>
      <w:r>
        <w:rPr>
          <w:rFonts w:ascii="Times New Roman" w:cs="Times New Roman" w:eastAsia="Times New Roman" w:hAnsi="Times New Roman"/>
          <w:sz w:val="21"/>
          <w:szCs w:val="21"/>
          <w:u w:val="single" w:color="auto"/>
          <w:color w:val="auto"/>
        </w:rPr>
        <w:t>Optional Repurchase or Substitution of Collateral Obligations.</w:t>
      </w:r>
    </w:p>
    <w:p>
      <w:pPr>
        <w:spacing w:after="0" w:line="206" w:lineRule="exact"/>
        <w:rPr>
          <w:sz w:val="20"/>
          <w:szCs w:val="20"/>
          <w:color w:val="auto"/>
        </w:rPr>
      </w:pPr>
    </w:p>
    <w:p>
      <w:pPr>
        <w:ind w:left="1940" w:hanging="435"/>
        <w:spacing w:after="0"/>
        <w:tabs>
          <w:tab w:leader="none" w:pos="1940"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Substitutions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1015"/>
        <w:spacing w:after="0" w:line="236" w:lineRule="auto"/>
        <w:tabs>
          <w:tab w:leader="none" w:pos="2210"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Collateral Obligation as to which a Substitution Event has occurred, subject to the limitations set forth in this </w:t>
      </w:r>
      <w:r>
        <w:rPr>
          <w:rFonts w:ascii="Times New Roman" w:cs="Times New Roman" w:eastAsia="Times New Roman" w:hAnsi="Times New Roman"/>
          <w:sz w:val="22"/>
          <w:szCs w:val="22"/>
          <w:u w:val="single" w:color="auto"/>
          <w:color w:val="auto"/>
        </w:rPr>
        <w:t>Section 12.3</w:t>
      </w:r>
      <w:r>
        <w:rPr>
          <w:rFonts w:ascii="Times New Roman" w:cs="Times New Roman" w:eastAsia="Times New Roman" w:hAnsi="Times New Roman"/>
          <w:sz w:val="22"/>
          <w:szCs w:val="22"/>
          <w:color w:val="auto"/>
        </w:rPr>
        <w:t>, the Transferor may (but shall not be obligated to) either (x) convey to the Issuer one or more Collateral Obligations in exchange for such Collateral Obligation or (y) deposit into the Principal Collection Subaccount the Transfer Deposit Amount with respect to such Collateral Obligation and then, prior to the expiration of the Substitution Period, convey to the Issuer one or more Collateral Obligations in exchange for the funds so deposited or a portion thereof.</w:t>
      </w:r>
    </w:p>
    <w:p>
      <w:pPr>
        <w:spacing w:after="0" w:line="181" w:lineRule="exact"/>
        <w:rPr>
          <w:rFonts w:ascii="Times New Roman" w:cs="Times New Roman" w:eastAsia="Times New Roman" w:hAnsi="Times New Roman"/>
          <w:sz w:val="22"/>
          <w:szCs w:val="22"/>
          <w:color w:val="auto"/>
        </w:rPr>
      </w:pPr>
    </w:p>
    <w:p>
      <w:pPr>
        <w:jc w:val="both"/>
        <w:ind w:left="760" w:firstLine="1015"/>
        <w:spacing w:after="0" w:line="235" w:lineRule="auto"/>
        <w:tabs>
          <w:tab w:leader="none" w:pos="2210"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substitution pursuant to this </w:t>
      </w:r>
      <w:r>
        <w:rPr>
          <w:rFonts w:ascii="Times New Roman" w:cs="Times New Roman" w:eastAsia="Times New Roman" w:hAnsi="Times New Roman"/>
          <w:sz w:val="22"/>
          <w:szCs w:val="22"/>
          <w:u w:val="single" w:color="auto"/>
          <w:color w:val="auto"/>
        </w:rPr>
        <w:t>Section 12.3(a)</w:t>
      </w:r>
      <w:r>
        <w:rPr>
          <w:rFonts w:ascii="Times New Roman" w:cs="Times New Roman" w:eastAsia="Times New Roman" w:hAnsi="Times New Roman"/>
          <w:sz w:val="22"/>
          <w:szCs w:val="22"/>
          <w:color w:val="auto"/>
        </w:rPr>
        <w:t xml:space="preserve"> shall be initiated by delivery of written notice substantially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hereto (and subject to such changes as the Collateral Manager, the Collateral Trustee and the Loan Agent may agree) (a "</w:t>
      </w:r>
      <w:r>
        <w:rPr>
          <w:rFonts w:ascii="Times New Roman" w:cs="Times New Roman" w:eastAsia="Times New Roman" w:hAnsi="Times New Roman"/>
          <w:sz w:val="22"/>
          <w:szCs w:val="22"/>
          <w:u w:val="single" w:color="auto"/>
          <w:color w:val="auto"/>
        </w:rPr>
        <w:t>Notice of Substitution</w:t>
      </w:r>
      <w:r>
        <w:rPr>
          <w:rFonts w:ascii="Times New Roman" w:cs="Times New Roman" w:eastAsia="Times New Roman" w:hAnsi="Times New Roman"/>
          <w:sz w:val="22"/>
          <w:szCs w:val="22"/>
          <w:color w:val="auto"/>
        </w:rPr>
        <w:t xml:space="preserve">") by the Transferor to the Collateral Trustee, the Loan Agent, the Issuer and the Collateral Manager that the Transferor intends to substitute a Collateral Obligation pursuant to this </w:t>
      </w:r>
      <w:r>
        <w:rPr>
          <w:rFonts w:ascii="Times New Roman" w:cs="Times New Roman" w:eastAsia="Times New Roman" w:hAnsi="Times New Roman"/>
          <w:sz w:val="22"/>
          <w:szCs w:val="22"/>
          <w:u w:val="single" w:color="auto"/>
          <w:color w:val="auto"/>
        </w:rPr>
        <w:t>Section 12.3(a)</w:t>
      </w:r>
      <w:r>
        <w:rPr>
          <w:rFonts w:ascii="Times New Roman" w:cs="Times New Roman" w:eastAsia="Times New Roman" w:hAnsi="Times New Roman"/>
          <w:sz w:val="22"/>
          <w:szCs w:val="22"/>
          <w:color w:val="auto"/>
        </w:rPr>
        <w:t xml:space="preserve"> and shall be completed prior to the earliest of: (x) the expiration of 90 days after delivery of such notice or (y) in the case of a Collateral Obligation which has become subject to a Specified Amendment, the effective date set forth in such Specified Amendment (such period described in clause (ii)(x) or (y), as applicable, being the "</w:t>
      </w:r>
      <w:r>
        <w:rPr>
          <w:rFonts w:ascii="Times New Roman" w:cs="Times New Roman" w:eastAsia="Times New Roman" w:hAnsi="Times New Roman"/>
          <w:sz w:val="22"/>
          <w:szCs w:val="22"/>
          <w:u w:val="single" w:color="auto"/>
          <w:color w:val="auto"/>
        </w:rPr>
        <w:t>Substitution Period</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760" w:firstLine="1015"/>
        <w:spacing w:after="0" w:line="233" w:lineRule="auto"/>
        <w:tabs>
          <w:tab w:leader="none" w:pos="2210"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Notice of Substitution shall specify the Collateral Obligation to be substituted, the reasons for such substitution and the Transfer Deposit Amount with respect to the Collateral Obligation. On the last day of any Substitution Period, any amounts previously deposited in accordance with </w:t>
      </w:r>
      <w:r>
        <w:rPr>
          <w:rFonts w:ascii="Times New Roman" w:cs="Times New Roman" w:eastAsia="Times New Roman" w:hAnsi="Times New Roman"/>
          <w:sz w:val="22"/>
          <w:szCs w:val="22"/>
          <w:u w:val="single" w:color="auto"/>
          <w:color w:val="auto"/>
        </w:rPr>
        <w:t>clause (a)(i)(y)</w:t>
      </w:r>
      <w:r>
        <w:rPr>
          <w:rFonts w:ascii="Times New Roman" w:cs="Times New Roman" w:eastAsia="Times New Roman" w:hAnsi="Times New Roman"/>
          <w:sz w:val="22"/>
          <w:szCs w:val="22"/>
          <w:color w:val="auto"/>
        </w:rPr>
        <w:t xml:space="preserve"> above which relate to such Substitution Period that have not been applied to purchase one or more Substitute Collateral Obligations or to fund the Revolver Funding Account if necessary with respect thereto shall be deemed to constitute Principal Proceeds;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prior to the expiration of the related Substitution Period any such amounts shall not be deemed to be Principal Proceeds and shall remain in the Principal Collection Subaccount until applied to acquire Substitute Collateral Obligations or to fund the Revolver Funding Account if necessary with respect thereto. To the extent any cash or other property received by the Issuer from the Transferor in connection with a Substitution Event pursuant to this </w:t>
      </w:r>
      <w:r>
        <w:rPr>
          <w:rFonts w:ascii="Times New Roman" w:cs="Times New Roman" w:eastAsia="Times New Roman" w:hAnsi="Times New Roman"/>
          <w:sz w:val="22"/>
          <w:szCs w:val="22"/>
          <w:u w:val="single" w:color="auto"/>
          <w:color w:val="auto"/>
        </w:rPr>
        <w:t>Section 12.3</w:t>
      </w:r>
      <w:r>
        <w:rPr>
          <w:rFonts w:ascii="Times New Roman" w:cs="Times New Roman" w:eastAsia="Times New Roman" w:hAnsi="Times New Roman"/>
          <w:sz w:val="22"/>
          <w:szCs w:val="22"/>
          <w:color w:val="auto"/>
        </w:rPr>
        <w:t xml:space="preserve"> exceeds the fair market value of the replaced Collateral Obligation (as determined by the Collateral Manager on behalf of the Issuer), such excess shall be deemed a capital contribution from the Transferor to Issuer.</w:t>
      </w:r>
    </w:p>
    <w:p>
      <w:pPr>
        <w:spacing w:after="0" w:line="187" w:lineRule="exact"/>
        <w:rPr>
          <w:rFonts w:ascii="Times New Roman" w:cs="Times New Roman" w:eastAsia="Times New Roman" w:hAnsi="Times New Roman"/>
          <w:sz w:val="22"/>
          <w:szCs w:val="22"/>
          <w:color w:val="auto"/>
        </w:rPr>
      </w:pPr>
    </w:p>
    <w:p>
      <w:pPr>
        <w:jc w:val="both"/>
        <w:ind w:left="760" w:firstLine="1015"/>
        <w:spacing w:after="0" w:line="261" w:lineRule="exact"/>
        <w:tabs>
          <w:tab w:leader="none" w:pos="2210"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substitution of any Substitute Collateral Obligation will be subject to the satisfaction of the Substitute Collateral Obligations Qualification Conditions as of the related Cut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Date for each such Collateral Obligation (after giving effect to such substitution), as determined by the Collateral Manager.</w:t>
      </w:r>
    </w:p>
    <w:p>
      <w:pPr>
        <w:spacing w:after="0" w:line="177" w:lineRule="exact"/>
        <w:rPr>
          <w:rFonts w:ascii="Times New Roman" w:cs="Times New Roman" w:eastAsia="Times New Roman" w:hAnsi="Times New Roman"/>
          <w:sz w:val="22"/>
          <w:szCs w:val="22"/>
          <w:color w:val="auto"/>
        </w:rPr>
      </w:pPr>
    </w:p>
    <w:p>
      <w:pPr>
        <w:ind w:left="760" w:right="20" w:firstLine="1015"/>
        <w:spacing w:after="0" w:line="258" w:lineRule="auto"/>
        <w:tabs>
          <w:tab w:leader="none" w:pos="2210"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any substitution of a Collateral Obligation, the Collateral Manager must provide written notice thereof to each Rating Agency. The Collateral Manager on</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224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85" w:lineRule="exact"/>
        <w:rPr>
          <w:sz w:val="20"/>
          <w:szCs w:val="20"/>
          <w:color w:val="auto"/>
        </w:rPr>
      </w:pPr>
    </w:p>
    <w:p>
      <w:pPr>
        <w:jc w:val="both"/>
        <w:ind w:left="760"/>
        <w:spacing w:after="0" w:line="234" w:lineRule="auto"/>
        <w:rPr>
          <w:sz w:val="20"/>
          <w:szCs w:val="20"/>
          <w:color w:val="auto"/>
        </w:rPr>
      </w:pPr>
      <w:r>
        <w:rPr>
          <w:rFonts w:ascii="Times New Roman" w:cs="Times New Roman" w:eastAsia="Times New Roman" w:hAnsi="Times New Roman"/>
          <w:sz w:val="22"/>
          <w:szCs w:val="22"/>
          <w:color w:val="auto"/>
        </w:rPr>
        <w:t xml:space="preserve">behalf of the Issuer will present each Substitute Collateral Obligation proposed to be included in the Assets to each Rating Agency within 10 Business Days of the acquisition thereof so that each Rating Agency may provide a rating and a recovery rate with respect to such Collateral Obligation;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Collateral Obligation may become a part of the Assets prior to the Collateral Manager's presentment of the Collateral Obligation to each Rating Agency as described herein, (b) the Collateral Manager's failure to present a Collateral Obligation to each Rating Agency as described herein shall not constitute an independent breach of, or default under, any Transaction Document, and (c) the Collateral Manager shall have no obligation to present a Substitute Collateral Obligation to each Rating Agency if (1) such Collateral Obligation has a public rating from each Rating Agency or (2) such Collateral Obligation has an S&amp;P credit estimate.</w:t>
      </w:r>
    </w:p>
    <w:p>
      <w:pPr>
        <w:spacing w:after="0" w:line="183" w:lineRule="exact"/>
        <w:rPr>
          <w:sz w:val="20"/>
          <w:szCs w:val="20"/>
          <w:color w:val="auto"/>
        </w:rPr>
      </w:pPr>
    </w:p>
    <w:p>
      <w:pPr>
        <w:jc w:val="both"/>
        <w:ind w:firstLine="1505"/>
        <w:spacing w:after="0" w:line="233" w:lineRule="auto"/>
        <w:tabs>
          <w:tab w:leader="none" w:pos="1929"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Repurchases</w:t>
      </w:r>
      <w:r>
        <w:rPr>
          <w:rFonts w:ascii="Times New Roman" w:cs="Times New Roman" w:eastAsia="Times New Roman" w:hAnsi="Times New Roman"/>
          <w:sz w:val="22"/>
          <w:szCs w:val="22"/>
          <w:color w:val="auto"/>
        </w:rPr>
        <w:t>. In addition to the right to substitute for any Collateral Obligations that become subject to a Substitution Event, the Transferor shall have the right, but not the obligation, to repurchase from the Issuer any such Collateral Obligation subject to the Repurchase and Substitution Limit. In the event of such a repurchase, the Transferor shall deposit in the Collection Account an amount equal to the Transfer Deposit Amount for such Collateral Obligation (or applicable portion thereof) as of the date of such repurchase. The Issuer and, at the written direction of the Issuer, the Collateral Trustee shall execute and deliver such instruments, consents or other documents and perform all acts reasonably requested by the Transferor or by the Collateral Manager in order to effect the transfer and release of any of the Issuer's interests in the Collateral Obligations (together with the Assets related thereto) that are being repurchased and the release thereof from the lien of this Indenture. To the extent any cash or other property received by the Issuer from the Transferor in connection with such a repurchase exceeds the fair market value of the repurchased Collateral Obligation, such excess shall be deemed a capital contribution from the Transferor to the Issuer.</w:t>
      </w:r>
    </w:p>
    <w:p>
      <w:pPr>
        <w:spacing w:after="0" w:line="187" w:lineRule="exact"/>
        <w:rPr>
          <w:rFonts w:ascii="Times New Roman" w:cs="Times New Roman" w:eastAsia="Times New Roman" w:hAnsi="Times New Roman"/>
          <w:sz w:val="22"/>
          <w:szCs w:val="22"/>
          <w:color w:val="auto"/>
        </w:rPr>
      </w:pPr>
    </w:p>
    <w:p>
      <w:pPr>
        <w:jc w:val="both"/>
        <w:ind w:firstLine="1505"/>
        <w:spacing w:after="0" w:line="232" w:lineRule="auto"/>
        <w:tabs>
          <w:tab w:leader="none" w:pos="1956"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Repurchase and Substitution Limit</w:t>
      </w:r>
      <w:r>
        <w:rPr>
          <w:rFonts w:ascii="Times New Roman" w:cs="Times New Roman" w:eastAsia="Times New Roman" w:hAnsi="Times New Roman"/>
          <w:sz w:val="22"/>
          <w:szCs w:val="22"/>
          <w:color w:val="auto"/>
        </w:rPr>
        <w:t xml:space="preserve">. At all times, (i) the Aggregate Principal Balance of all Collateral Obligations that are Substitute Collateral Obligations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Aggregate Principal Balance related to all Collateral Obligations that have been repurchased by the Transferor pursuant to its right of optional repurchase or substitution and not subsequently applied to purchase a Substitute Collateral Obligation may not exceed an amount equal to 15% of the Net Purchased Loan Balance;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clause (ii) above shall not include (A) if such calculation is made during the Reinvestment Period only, the Principal Balance related to any Collateral Obligation that is repurchased by the Transferor in connection with a proposed Specified Amendment to such Collateral Obligation so long as (x) the Transferor certifies in writing to the Collateral Manager, the Collateral Trustee and the Loan Agent that such purchase is, in the commercially reasonable business judgment of the Transferor, necessary or advisable in connection with the restructuring of such Collateral Obligation and such restructuring is expected to result in a Specified Amendment to such Collateral Obligation, and (y) the Collateral Manager certifies in writing to the Collateral Trustee and the Loan Agent that the Collateral Manager either would not be permitted to or would not elect to enter into such Specified Amendment pursuant to the Collateral Manager Standard or any provision of this Indenture or the Collateral Management Agreement, (B) the purchase price of any Collateral Obligations or, for the avoidance of doubt, any Equity Securities sold by and at the option of the Issuer to the Transferor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12.1(d)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12.1(h)</w:t>
      </w:r>
      <w:r>
        <w:rPr>
          <w:rFonts w:ascii="Times New Roman" w:cs="Times New Roman" w:eastAsia="Times New Roman" w:hAnsi="Times New Roman"/>
          <w:sz w:val="22"/>
          <w:szCs w:val="22"/>
          <w:color w:val="auto"/>
        </w:rPr>
        <w:t xml:space="preserve"> as determined as described in </w:t>
      </w:r>
      <w:r>
        <w:rPr>
          <w:rFonts w:ascii="Times New Roman" w:cs="Times New Roman" w:eastAsia="Times New Roman" w:hAnsi="Times New Roman"/>
          <w:sz w:val="22"/>
          <w:szCs w:val="22"/>
          <w:u w:val="single" w:color="auto"/>
          <w:color w:val="auto"/>
        </w:rPr>
        <w:t>Section 12.1(h)(i)</w:t>
      </w:r>
      <w:r>
        <w:rPr>
          <w:rFonts w:ascii="Times New Roman" w:cs="Times New Roman" w:eastAsia="Times New Roman" w:hAnsi="Times New Roman"/>
          <w:sz w:val="22"/>
          <w:szCs w:val="22"/>
          <w:color w:val="auto"/>
        </w:rPr>
        <w:t>, and (C) the Principal Balance related to any Ineligible Collateral Obligation that is</w:t>
      </w:r>
    </w:p>
    <w:p>
      <w:pPr>
        <w:spacing w:after="0" w:line="170"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225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repurchased or substituted by the Transferor in connection with a mandatory repurchase or substitution thereof pursuant to the Master Loan Sale Agreement. The foregoing provisions in this paragraph constitute the "</w:t>
      </w:r>
      <w:r>
        <w:rPr>
          <w:rFonts w:ascii="Times New Roman" w:cs="Times New Roman" w:eastAsia="Times New Roman" w:hAnsi="Times New Roman"/>
          <w:sz w:val="22"/>
          <w:szCs w:val="22"/>
          <w:u w:val="single" w:color="auto"/>
          <w:color w:val="auto"/>
        </w:rPr>
        <w:t>Repurchase and Substitution Limit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505"/>
        <w:spacing w:after="0" w:line="244" w:lineRule="auto"/>
        <w:tabs>
          <w:tab w:leader="none" w:pos="1943"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Beneficiaries</w:t>
      </w:r>
      <w:r>
        <w:rPr>
          <w:rFonts w:ascii="Times New Roman" w:cs="Times New Roman" w:eastAsia="Times New Roman" w:hAnsi="Times New Roman"/>
          <w:sz w:val="22"/>
          <w:szCs w:val="22"/>
          <w:color w:val="auto"/>
        </w:rPr>
        <w:t xml:space="preserve">. The Issuer and the Collateral Trustee agree that the Transferor shall be a third party beneficiary of this Indenture solely for purposes of this </w:t>
      </w:r>
      <w:r>
        <w:rPr>
          <w:rFonts w:ascii="Times New Roman" w:cs="Times New Roman" w:eastAsia="Times New Roman" w:hAnsi="Times New Roman"/>
          <w:sz w:val="22"/>
          <w:szCs w:val="22"/>
          <w:u w:val="single" w:color="auto"/>
          <w:color w:val="auto"/>
        </w:rPr>
        <w:t>Section 12.3</w:t>
      </w:r>
      <w:r>
        <w:rPr>
          <w:rFonts w:ascii="Times New Roman" w:cs="Times New Roman" w:eastAsia="Times New Roman" w:hAnsi="Times New Roman"/>
          <w:sz w:val="22"/>
          <w:szCs w:val="22"/>
          <w:color w:val="auto"/>
        </w:rPr>
        <w:t xml:space="preserve">, and shall be entitled to rely upon and enforce such provisions of this </w:t>
      </w:r>
      <w:r>
        <w:rPr>
          <w:rFonts w:ascii="Times New Roman" w:cs="Times New Roman" w:eastAsia="Times New Roman" w:hAnsi="Times New Roman"/>
          <w:sz w:val="22"/>
          <w:szCs w:val="22"/>
          <w:u w:val="single" w:color="auto"/>
          <w:color w:val="auto"/>
        </w:rPr>
        <w:t>Section 12.3</w:t>
      </w:r>
      <w:r>
        <w:rPr>
          <w:rFonts w:ascii="Times New Roman" w:cs="Times New Roman" w:eastAsia="Times New Roman" w:hAnsi="Times New Roman"/>
          <w:sz w:val="22"/>
          <w:szCs w:val="22"/>
          <w:color w:val="auto"/>
        </w:rPr>
        <w:t xml:space="preserve"> to the same extent as if it were a party hereto.</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the Collateral Trustee shall have no duty or obligation to discover or make and attempt to discover, inquire about or investigate whether or not a Substitution Event has occurred or the reasons therefor, whether or not an occurrence of a breach of representation or warranty set forth in Section 4.02 of the Master Loan Sale Agreement has occurred, or whether any such breach materially and adversely affects the value of the Collateral Obligations or interests therein of the Holders or which materially and adversely affects the interests of the Holders in the related Collateral Obligations in the case of a representation and warranty relating to a particular Collateral Obligation. The Collateral Trustee shall not have any obligation to enforce the repurchase or substitution obligations of the Transferor and shall not otherwise be responsible for overseeing compliance with this </w:t>
      </w:r>
      <w:r>
        <w:rPr>
          <w:rFonts w:ascii="Times New Roman" w:cs="Times New Roman" w:eastAsia="Times New Roman" w:hAnsi="Times New Roman"/>
          <w:sz w:val="22"/>
          <w:szCs w:val="22"/>
          <w:u w:val="single" w:color="auto"/>
          <w:color w:val="auto"/>
        </w:rPr>
        <w:t>Section 12.3</w:t>
      </w:r>
      <w:r>
        <w:rPr>
          <w:rFonts w:ascii="Times New Roman" w:cs="Times New Roman" w:eastAsia="Times New Roman" w:hAnsi="Times New Roman"/>
          <w:sz w:val="22"/>
          <w:szCs w:val="22"/>
          <w:color w:val="auto"/>
        </w:rPr>
        <w:t xml:space="preserve"> or the Master Loan Sale Agreement.</w:t>
      </w:r>
    </w:p>
    <w:p>
      <w:pPr>
        <w:spacing w:after="0" w:line="178"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12.4 Conditions Applicable to All Sale and Purchase Transactions</w:t>
      </w:r>
      <w:r>
        <w:rPr>
          <w:rFonts w:ascii="Times New Roman" w:cs="Times New Roman" w:eastAsia="Times New Roman" w:hAnsi="Times New Roman"/>
          <w:sz w:val="22"/>
          <w:szCs w:val="22"/>
          <w:color w:val="auto"/>
        </w:rPr>
        <w:t xml:space="preserve">. (a) Any transaction effected under this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xml:space="preserve"> or in connection with the acquisition, disposition or substitution of any Asset shall be conducted on an arm's length basis and, if effected with a Person Affiliated with the Collateral Manager (or with an account or portfolio for which the Collateral Manager or any of its Affiliates serves as investment adviser), shall be effected in accordance with the requirements of Sections 3 and 5 of the Collateral Management Agreement on terms no less favorable to the Issuer than would be the case if such Person were not so Affiliated;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sale of a Collateral Obligation or an Equity Security to a Person so Affiliated, the Collateral Manager shall obtain either (x) bids for such Collateral Obligation or Equity Security from three unaffiliated loan market participants (or, if the Collateral Manager is unable to obtain bids from three such participants, then such lesser number of unaffiliated loan market participants from which the Collateral Manager can obtain bids using efforts consistent with the Collateral Manager Standard), or (y) if the Collateral Manager is unable to obtain any bids for such Collateral Obligation or Equity Security from an unaffiliated loan market participant, the value as determined in accordance with clause (i)(B) of the definition of Market Value, and in either case and such Person acquires such Collateral Obligation or Equity Security for a price not less than the value so determined (or, in connection with a repurchase or substitution by the Transferor pursuant to the Master Loan Sale Agreement at the price required therein but in no event less than fair market value). In the event that the value of the Collateral Obligation or Equity Security cannot be determined in accordance with the foregoing clauses (x) or (y), then the value of such Collateral Obligation or Equity Security shall be as reasonably determined by the Collateral Manager consistent with the Collateral Manager Standard, which value shall be consented to by the Issuer through the Independent Review Party as required pursuant to Section 5 of the Collateral Management Agreement and certified by the Collateral Manager to the Collateral Trustee and such Person acquires such Collateral Obligation or Equity Security for a price not less than the value so determined (or, in connection with a repurchase or substitution by</w:t>
      </w:r>
    </w:p>
    <w:p>
      <w:pPr>
        <w:spacing w:after="0" w:line="164"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226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 xml:space="preserve">the Transferor pursuant to the Master Loan Sale Agreement at the price required therein but in no event less than fair market value). The Collateral Trustee shall have no responsibility to oversee compliance by the other parties of this </w:t>
      </w:r>
      <w:r>
        <w:rPr>
          <w:rFonts w:ascii="Times New Roman" w:cs="Times New Roman" w:eastAsia="Times New Roman" w:hAnsi="Times New Roman"/>
          <w:sz w:val="22"/>
          <w:szCs w:val="22"/>
          <w:u w:val="single" w:color="auto"/>
          <w:color w:val="auto"/>
        </w:rPr>
        <w:t>Section 12.4(a)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940" w:hanging="435"/>
        <w:spacing w:after="0"/>
        <w:tabs>
          <w:tab w:leader="none" w:pos="194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1505"/>
        <w:spacing w:after="0" w:line="248" w:lineRule="exact"/>
        <w:tabs>
          <w:tab w:leader="none" w:pos="1929"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any acquisition of a Collateral Obligation pursuant to this </w:t>
      </w:r>
      <w:r>
        <w:rPr>
          <w:rFonts w:ascii="Times New Roman" w:cs="Times New Roman" w:eastAsia="Times New Roman" w:hAnsi="Times New Roman"/>
          <w:sz w:val="21"/>
          <w:szCs w:val="21"/>
          <w:u w:val="single" w:color="auto"/>
          <w:color w:val="auto"/>
        </w:rPr>
        <w:t>Article XII</w:t>
      </w:r>
      <w:r>
        <w:rPr>
          <w:rFonts w:ascii="Times New Roman" w:cs="Times New Roman" w:eastAsia="Times New Roman" w:hAnsi="Times New Roman"/>
          <w:sz w:val="21"/>
          <w:szCs w:val="21"/>
          <w:color w:val="auto"/>
        </w:rPr>
        <w:t>, all of the Issuer's right, title and interest to the Asset or Assets shall be Granted to the Collateral Trustee pursuant to this Indenture, such Asset or Assets shall be Delivered to the Custodian, and, if applicable, the Custodian shall receive such Asset or Assets. The Collateral Trustee shall also receive, not later than the Cut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Off Date, an Officer's certificate of the Issuer containing the statements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requirement shall be satisfied, and such statements shall be deemed to have been made by the Issuer, in respect of such acquisition by the delivery to the Collateral Trustee of a trade ticket or Issuer Order in respect thereof that is signed by a Responsible Officer of the Collateral Manager. For the avoidance of doubt, Issuer Order shall mean to include the delivery to the Collateral Trustee, by email or otherwise in writing, of a confirmation of trade, instruction to post or to commit to the trade or similar language by the Collateral Manager, and shall constitute a direction and certification that the transaction is in compliance with and satisfies all applicable provisions hereof, including without limitation Section 10.8 and </w:t>
      </w:r>
      <w:r>
        <w:rPr>
          <w:rFonts w:ascii="Times New Roman" w:cs="Times New Roman" w:eastAsia="Times New Roman" w:hAnsi="Times New Roman"/>
          <w:sz w:val="21"/>
          <w:szCs w:val="21"/>
          <w:u w:val="single" w:color="auto"/>
          <w:color w:val="auto"/>
        </w:rPr>
        <w:t>Article XII</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jc w:val="both"/>
        <w:ind w:firstLine="1505"/>
        <w:spacing w:after="0" w:line="235" w:lineRule="auto"/>
        <w:tabs>
          <w:tab w:leader="none" w:pos="1929"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contained in this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xml:space="preserve"> or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to the contrary, the Issuer shall have the right to effect any sale of any Asset or purchase of any Collateral Obligation and the Transferor shall have the right to exercise any optional repurchase or substitution rights (1) with the consent of Holders evidencing at least (i) with respect to purchases, optional repurchases or substitutions during the Reinvestment Period and sales during or after the Reinvestment Period, 75% of the Aggregate Outstanding Amount of each Class of Debt and (ii) with respect to purchases, optional repurchases or substitutions after the Reinvestment Period, 100% of the Aggregate Outstanding Amount of each Class of Debt and (2) of which each Rating Agency and the Collateral Trustee have been notified.</w:t>
      </w:r>
    </w:p>
    <w:p>
      <w:pPr>
        <w:spacing w:after="0" w:line="18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contained in this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xml:space="preserve"> or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to the contrary, upon the occurrence and during the continuance of an Enforcement Event, the Issuer shall not have the right to effect any sale of any Asset or purchase of any Collateral Obligation and the Transferor shall not exercise any optional repurchase or substitution rights, in each case, without the consent of a Majority of the Controlling Class.</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Class A-1 Debt, Class A-2 Notes, Class B Notes, Class C Notes or Class D Notes remain outstanding, the Issuer will not purchase any Collateral Obligations that is not an Affiliate Originated Collateral Obligation unless the Acquisition Test is met.</w:t>
      </w:r>
    </w:p>
    <w:p>
      <w:pPr>
        <w:spacing w:after="0" w:line="173"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12.5</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12.6 Acquisition of Restructured Assets</w:t>
      </w:r>
      <w:r>
        <w:rPr>
          <w:rFonts w:ascii="Times New Roman" w:cs="Times New Roman" w:eastAsia="Times New Roman" w:hAnsi="Times New Roman"/>
          <w:sz w:val="22"/>
          <w:szCs w:val="22"/>
          <w:color w:val="auto"/>
        </w:rPr>
        <w:t xml:space="preserve"> . At any time during or after the Reinvestment Period, at the direction of the Collateral Manager, the Issuer may direct that Interest Proceeds, Principal Proceeds or amounts permitted to be used in accordance with the definition of Permitted Use be applied to the purchase or acquisition of Restructured Assets; provided that (i)</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227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85" w:lineRule="exact"/>
        <w:rPr>
          <w:sz w:val="20"/>
          <w:szCs w:val="20"/>
          <w:color w:val="auto"/>
        </w:rPr>
      </w:pPr>
    </w:p>
    <w:p>
      <w:pPr>
        <w:jc w:val="both"/>
        <w:spacing w:after="0" w:line="249" w:lineRule="exact"/>
        <w:rPr>
          <w:sz w:val="20"/>
          <w:szCs w:val="20"/>
          <w:color w:val="auto"/>
        </w:rPr>
      </w:pPr>
      <w:r>
        <w:rPr>
          <w:rFonts w:ascii="Times New Roman" w:cs="Times New Roman" w:eastAsia="Times New Roman" w:hAnsi="Times New Roman"/>
          <w:sz w:val="22"/>
          <w:szCs w:val="22"/>
          <w:color w:val="auto"/>
        </w:rPr>
        <w:t>Interest Proceeds may be applied to the acquisition of a Restructured Asset only if such payment would not result in an interest deferral on any Class of Secured Debt on the next following Payment Date and (ii) Principal Proceeds may be applied to the acquisition of a Restructured Asset only if, after giving effect thereto, (x) the Aggregate Principal Balance of all Collateral Obligations plus Eligible Investments on deposit in the Collection Account and the Ramp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Account constituting Principal Proceeds is at least equal to the Reinvestment Target Par Balance (for purposes of which determination, any Defaulted Obligation shall be deemed to have a Principal Balance equal to its S&amp;P Collateral Value) and (y) not more than 5.0% of the Collateral Principal Amount may consist of Restructured Assets that have been acquired using Principal Proceeds at such time, in each case as determined by the Collateral Manager. Notwithstanding anything to the contrary herein, the acquisition of Restructured Assets will not be required to satisfy any of the Investment Criteria.</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NOTEHOLDERS' RELATIONS</w:t>
      </w:r>
    </w:p>
    <w:p>
      <w:pPr>
        <w:spacing w:after="0" w:line="21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13.1 Subordination . (a) Anything in this Indenture, the Credit Agreements or the Notes to the contrary notwithstanding, the Holders of each Class of Notes that constitute a Junior Class agree for the benefit of the Holders of each Priority Class with respect to such Junior Class that such Junior Class shall be subordinate and junior to the Debt of each such Priority Class to the extent and in the manner expressly set forth in the Priority of Payments. The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13.1</w:t>
      </w:r>
      <w:r>
        <w:rPr>
          <w:rFonts w:ascii="Times New Roman" w:cs="Times New Roman" w:eastAsia="Times New Roman" w:hAnsi="Times New Roman"/>
          <w:sz w:val="22"/>
          <w:szCs w:val="22"/>
          <w:color w:val="auto"/>
        </w:rPr>
        <w:t xml:space="preserve"> shall not be construed to prohibit any Permitted RIC Distribution if the conditions set forth in the definition thereof for making such a distribution are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-801370</wp:posOffset>
            </wp:positionV>
            <wp:extent cx="1659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spacing w:after="0" w:line="161" w:lineRule="exact"/>
        <w:rPr>
          <w:sz w:val="20"/>
          <w:szCs w:val="20"/>
          <w:color w:val="auto"/>
        </w:rPr>
      </w:pPr>
    </w:p>
    <w:p>
      <w:pPr>
        <w:jc w:val="both"/>
        <w:ind w:firstLine="1505"/>
        <w:spacing w:after="0" w:line="238" w:lineRule="auto"/>
        <w:tabs>
          <w:tab w:leader="none" w:pos="1929"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Holders of each Class of Debt and beneficial owners of each Class of Debt agree, for the benefit of all Holders of each Class of Debt and beneficial owners of each Class of Debt, not to cause the filing of a petition in bankruptcy, insolvency or a similar proceeding in the United States or any other jurisdiction against or cause the Issuer to petition for bankruptcy until the payment in full of all Debt and the expiration of a period equal to one year and one day or, if longer, the applicable preference period then in effect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one day, following such payment in full.</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one or more Holders causes the filing of a petition in bankruptcy against the Issuer prior to the expiration of the period set forth in the immediately preceding paragraph, any claim that such Holder(s) have against the Issuer (including under all Secured Debt of any Class held by such Holder(s)) or with respect to any Assets (including any proceeds thereof) shall, notwithstanding anything to the contrary in the Priority of Payments and notwithstanding any objection to, or rescission of, such filing, be fully subordinate in right of payment to the claims of each Holder (and each other secured creditor of the Issuer) that does not seek to cause any such filing, with such subordination being effective until all Secured Debt (and each claim of each other secured creditor) held by each holder of any Secured Debt that does not seek to cause any such filing is paid in full in accordance with the Priority of Payments set forth herein (after giving effect to such subordination).</w:t>
      </w:r>
    </w:p>
    <w:p>
      <w:pPr>
        <w:spacing w:after="0" w:line="17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13.2 Standard of Conduct</w:t>
      </w:r>
      <w:r>
        <w:rPr>
          <w:rFonts w:ascii="Times New Roman" w:cs="Times New Roman" w:eastAsia="Times New Roman" w:hAnsi="Times New Roman"/>
          <w:sz w:val="22"/>
          <w:szCs w:val="22"/>
          <w:color w:val="auto"/>
        </w:rPr>
        <w:t>. In exercising any of its or their voting rights, rights to direct and consent or any other rights as a Holder under this Indenture, a Holder or Holders of Debt shall not have any obligation or duty to any Person or to consider or take into account the</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228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interests of any Person and shall not be liable to any Person for any action taken by it or them or at its or their direction or any failure by it or them to act or to direct that an action be taken, without regard to whether such action or inaction benefits or adversely affects any Holder, the Issuer, or any other Person, except for any liability to which such Holder may be subject to the extent the same results from such Holder's taking or directing an action, or failing to take or direct an action, in bad faith or in violation of the express terms of this Indenture.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14.1 Form of Documents Delivered to Collateral Trustee</w:t>
      </w:r>
      <w:r>
        <w:rPr>
          <w:rFonts w:ascii="Times New Roman" w:cs="Times New Roman" w:eastAsia="Times New Roman" w:hAnsi="Times New Roman"/>
          <w:sz w:val="22"/>
          <w:szCs w:val="22"/>
          <w:color w:val="auto"/>
        </w:rPr>
        <w:t xml:space="preserve"> . (a)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7" w:lineRule="exact"/>
        <w:rPr>
          <w:sz w:val="20"/>
          <w:szCs w:val="20"/>
          <w:color w:val="auto"/>
        </w:rPr>
      </w:pPr>
    </w:p>
    <w:p>
      <w:pPr>
        <w:jc w:val="both"/>
        <w:ind w:firstLine="1505"/>
        <w:spacing w:after="0" w:line="233" w:lineRule="auto"/>
        <w:tabs>
          <w:tab w:leader="none" w:pos="1929"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certificate or opinion of an Officer of the Issuer or the Collateral Manager may be based, insofar as it relates to legal matters, upon a certificate or opinion of, or representations by, counsel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counsel is a nationally or internationally recognized and reputable law firm, one or more of the partners of which are admitted to practice before the highest court of any State of the United States or the District of Columbia which law firm may, except as otherwise expressly provided herein, be counsel for the Issuer), unless such Officer knows, or should know, that the certificate or opinion or representations with respect to the matters upon which such certificate or opinion is based are erroneous. Any such certificate of an Officer of the Issuer or the Collateral Manager or Opinion of Counsel may be based, insofar as it relates to factual matters, upon a certificate or opinion of, or representations by, the Issuer, the Collateral Manager or any other Person (on which the Collateral Trustee shall be entitled to rely), stating that the information with respect to such factual matters is in the possession of the Issuer, the Collateral Manager or such other Person, unless such Officer of the Issuer or the Collateral Manager or such counsel knows that the certificate or opinion or representations with respect to such matters are erroneous. Any Opinion of Counsel may also be based, insofar as it relates to factual matters, upon a certificate or opinion of, or representations by, an Officer of the Collateral Manager or the Issuer, stating that the information with respect to such matters is in the possession of the Collateral Manager or the Issuer, unless such counsel knows that the certificate or opinion or representations with respect to such matters are erroneous.</w:t>
      </w:r>
    </w:p>
    <w:p>
      <w:pPr>
        <w:spacing w:after="0" w:line="177"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in this Indenture it is provided that the absence of the occurrence and continuation of a Default or Event of Default is a condition precedent to the taking of any action by the Collateral Trustee at the request or direction of the Issuer, then notwithstanding that the satisfaction of such condition is a condition precedent to the Issuer's right to make such request</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229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 xml:space="preserve">or direction, the Collateral Trustee, as applicable, shall be protected in acting in accordance with such request or direction if it does not have knowledge of the occurrence and continuation of such Default or Event of Default as provided in </w:t>
      </w:r>
      <w:r>
        <w:rPr>
          <w:rFonts w:ascii="Times New Roman" w:cs="Times New Roman" w:eastAsia="Times New Roman" w:hAnsi="Times New Roman"/>
          <w:sz w:val="22"/>
          <w:szCs w:val="22"/>
          <w:u w:val="single" w:color="auto"/>
          <w:color w:val="auto"/>
        </w:rPr>
        <w:t>Section 6.1(d)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505"/>
        <w:spacing w:after="0" w:line="245" w:lineRule="auto"/>
        <w:tabs>
          <w:tab w:leader="none" w:pos="1929"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Bank (in any capacity under the Transaction Documents) shall be entitled to accept and act upon instructions or directions pursuant to the Transaction Documents sent by unsecured email, facsimile transmission or other similar unsecured electronic methods. If such person elects to give the Bank email or facsimile instructions (or instructions by a similar electronic method) and the Bank in its discretion elects to act upon such instructions, the Bank's reasonable understanding of such instructions shall be deemed controlling. The Bank shall not be liable for any losses, costs or expenses arising directly or indirectly from the Bank's reliance upon and compliance with such instructions notwithstanding such instructions conflicting with or being inconsistent with a subsequent written instruction. Any person providing such instructions agrees to assume all risks arising out of the use of such electronic methods to submit instructions and directions to the Bank, including without limitation the risk of the Bank acting on unauthorized instructions, and the risk of interception and misuse by third parties and acknowledges and agrees that there may be more secure methods of transmitting such instructions than the method(s) selected by it and agrees that the security procedures (if any) to be followed in connection with its transmission of such instructions provide to it a commercially reasonable degree of protection in light of its particular needs and circumstances.</w:t>
      </w:r>
    </w:p>
    <w:p>
      <w:pPr>
        <w:spacing w:after="0" w:line="174"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14.2 Acts of Holders</w:t>
      </w:r>
      <w:r>
        <w:rPr>
          <w:rFonts w:ascii="Times New Roman" w:cs="Times New Roman" w:eastAsia="Times New Roman" w:hAnsi="Times New Roman"/>
          <w:sz w:val="22"/>
          <w:szCs w:val="22"/>
          <w:color w:val="auto"/>
        </w:rPr>
        <w:t xml:space="preserve"> . (a)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Collateral Trustee, and, where it is hereby expressly required, to the Issuer. Such instrument or instruments (and the action or actions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conclusive in favor of the Collateral Trustee and the Issuer, if made in the manner provided in this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right="20" w:firstLine="1505"/>
        <w:spacing w:after="0" w:line="258" w:lineRule="auto"/>
        <w:tabs>
          <w:tab w:leader="none" w:pos="1929"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and date of the execution by any Person of any such instrument or writing may be proved in any manner which the Collateral Trustee reasonably deems sufficient.</w:t>
      </w:r>
    </w:p>
    <w:p>
      <w:pPr>
        <w:spacing w:after="0" w:line="158"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or face amount, as the case may be, and registered numbers of Notes held by any Person, and the date of such Person's holding the same, shall be proved by the Note Register.</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request, demand, authorization, direction, notice, consent, waiver or other action by the Holder shall bind the Holder (and any transferee thereof) of such and of all Debt issued upon the registration thereof or in exchange therefor or in lieu thereof, in respect of anything done, omitted or suffered to be done by the Collateral Trustee or the Issuer in reliance thereon, whether or not notation of such action is made upon such Debt.</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230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85" w:lineRule="exact"/>
        <w:rPr>
          <w:sz w:val="20"/>
          <w:szCs w:val="20"/>
          <w:color w:val="auto"/>
        </w:rPr>
      </w:pPr>
    </w:p>
    <w:p>
      <w:pPr>
        <w:jc w:val="both"/>
        <w:ind w:firstLine="1505"/>
        <w:spacing w:after="0" w:line="234" w:lineRule="auto"/>
        <w:tabs>
          <w:tab w:leader="none" w:pos="1929"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a holder of a beneficial interest in a Global Note will have the right to receive access to reports on the Collateral Trustee's website and will be entitled to exercise rights to vote, give consents and directions which holders of the related Class of Notes are entitled to give under this Indenture upon delivery of a beneficial ownership certificate (a "</w:t>
      </w:r>
      <w:r>
        <w:rPr>
          <w:rFonts w:ascii="Times New Roman" w:cs="Times New Roman" w:eastAsia="Times New Roman" w:hAnsi="Times New Roman"/>
          <w:sz w:val="22"/>
          <w:szCs w:val="22"/>
          <w:u w:val="single" w:color="auto"/>
          <w:color w:val="auto"/>
        </w:rPr>
        <w:t>Beneficial Ownership Certificate</w:t>
      </w:r>
      <w:r>
        <w:rPr>
          <w:rFonts w:ascii="Times New Roman" w:cs="Times New Roman" w:eastAsia="Times New Roman" w:hAnsi="Times New Roman"/>
          <w:sz w:val="22"/>
          <w:szCs w:val="22"/>
          <w:color w:val="auto"/>
        </w:rPr>
        <w:t xml:space="preserve">") to the Collateral Trustee which certifies (i) that such Person is a beneficial owner of an interest in a Global Note, (ii) the amount and Class of Notes so owned, and (iii) that such Person will notify the Collateral Trustee when it sells all or a portion of its beneficial interest in such Class of Notes. A separate Beneficial Ownership Certificate must be delivered each time any such vote, consent or direction is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shall prevent the Collateral Trustee from requesting additional information and documentation with respect to any such beneficial owner; provided further that the Collateral Trustee shall be entitled to conclusively rely on the accuracy and the currency of each beneficial ownership certificate and shall have no liability for relying thereon.</w:t>
      </w:r>
    </w:p>
    <w:p>
      <w:pPr>
        <w:spacing w:after="0" w:line="179"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14.3 Notices, etc</w:t>
      </w:r>
      <w:r>
        <w:rPr>
          <w:rFonts w:ascii="Times New Roman" w:cs="Times New Roman" w:eastAsia="Times New Roman" w:hAnsi="Times New Roman"/>
          <w:sz w:val="22"/>
          <w:szCs w:val="22"/>
          <w:color w:val="auto"/>
        </w:rPr>
        <w:t xml:space="preserve"> . to the Collateral Trustee, the Issuer, the Collateral Manager, the Placement Agent, the Collateral Administrator, each Rating Agency and the Bank.</w:t>
      </w:r>
    </w:p>
    <w:p>
      <w:pPr>
        <w:spacing w:after="0" w:line="158" w:lineRule="exact"/>
        <w:rPr>
          <w:sz w:val="20"/>
          <w:szCs w:val="20"/>
          <w:color w:val="auto"/>
        </w:rPr>
      </w:pPr>
    </w:p>
    <w:p>
      <w:pPr>
        <w:jc w:val="both"/>
        <w:ind w:firstLine="1505"/>
        <w:spacing w:after="0" w:line="261" w:lineRule="exact"/>
        <w:tabs>
          <w:tab w:leader="none" w:pos="1929"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request, demand, authorization, direction, instruction, order, notice, consent, waiver or Act of Holders or other documents or communication provided or permitted by this Indenture to be made upon, given,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mailed or furnished to, or filed with:</w:t>
      </w:r>
    </w:p>
    <w:p>
      <w:pPr>
        <w:spacing w:after="0" w:line="177" w:lineRule="exact"/>
        <w:rPr>
          <w:rFonts w:ascii="Times New Roman" w:cs="Times New Roman" w:eastAsia="Times New Roman" w:hAnsi="Times New Roman"/>
          <w:sz w:val="22"/>
          <w:szCs w:val="22"/>
          <w:color w:val="auto"/>
        </w:rPr>
      </w:pPr>
    </w:p>
    <w:p>
      <w:pPr>
        <w:jc w:val="both"/>
        <w:ind w:left="760" w:firstLine="1015"/>
        <w:spacing w:after="0" w:line="236" w:lineRule="auto"/>
        <w:tabs>
          <w:tab w:leader="none" w:pos="2210"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be sufficient for every purpose hereunder if (x) made, given, furnished or filed in writing to and mailed, by certified mail, return receipt requested, hand delivered, sent by overnight courier service guaranteeing next day delivery, by electronic mail, or by facsimile to it at its Corporate Trust Office, or at any other address previously furnished in writing to the other parties hereto by the Collateral Trustee, and executed by a Responsible Officer of the entity sending such request, demand, authorization, direction, instruction, order, notice, consent, waiver or other document and (y) containing a reference to the Debt, the Issuer or this Indenture;</w:t>
      </w:r>
    </w:p>
    <w:p>
      <w:pPr>
        <w:spacing w:after="0" w:line="181" w:lineRule="exact"/>
        <w:rPr>
          <w:rFonts w:ascii="Times New Roman" w:cs="Times New Roman" w:eastAsia="Times New Roman" w:hAnsi="Times New Roman"/>
          <w:sz w:val="22"/>
          <w:szCs w:val="22"/>
          <w:color w:val="auto"/>
        </w:rPr>
      </w:pPr>
    </w:p>
    <w:p>
      <w:pPr>
        <w:jc w:val="both"/>
        <w:ind w:left="760" w:firstLine="1015"/>
        <w:spacing w:after="0" w:line="236" w:lineRule="auto"/>
        <w:tabs>
          <w:tab w:leader="none" w:pos="2210"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be sufficient for every purpose hereunder (unless otherwise herein expressly provided) if in writing and mailed, first class postage prepaid, hand delivered, sent by overnight courier service, by electronic mail, or by facsimile in legible form, to the Issuer addressed to it at c/o PennantPark Investment Administration, LLC, 1691 Michigan Avenue, Suite 500, Miami Beach, Florida 33139, Attention: PennantPark Liability Management, email: plm@pennantpark.com, or at any other address previously furnished in writing to the other parties hereto by the Issuer, with a copy to the Collateral Manager at its address below;</w:t>
      </w:r>
    </w:p>
    <w:p>
      <w:pPr>
        <w:spacing w:after="0" w:line="181" w:lineRule="exact"/>
        <w:rPr>
          <w:rFonts w:ascii="Times New Roman" w:cs="Times New Roman" w:eastAsia="Times New Roman" w:hAnsi="Times New Roman"/>
          <w:sz w:val="22"/>
          <w:szCs w:val="22"/>
          <w:color w:val="auto"/>
        </w:rPr>
      </w:pPr>
    </w:p>
    <w:p>
      <w:pPr>
        <w:jc w:val="both"/>
        <w:ind w:left="760" w:firstLine="1015"/>
        <w:spacing w:after="0" w:line="238" w:lineRule="auto"/>
        <w:tabs>
          <w:tab w:leader="none" w:pos="2210"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Transferor shall be sufficient for every purpose hereunder (unless otherwise herein expressly provided) if in writing and mailed, first class postage prepaid, hand delivered, sent by overnight courier service, by electronic mail, or by facsimile in legible form, to the Issuer addressed to it at c/o PennantPark Floating Rate Capital Ltd., 1691 Michigan Avenue, Suite 500, Miami Beach, Florida 33139, Attention: PennantPark Liability Management, email: plm@pennantpark.com, or at any other address previously furnished in writing to the parties hereto;</w:t>
      </w:r>
    </w:p>
    <w:p>
      <w:pPr>
        <w:spacing w:after="0" w:line="15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231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85" w:lineRule="exact"/>
        <w:rPr>
          <w:sz w:val="20"/>
          <w:szCs w:val="20"/>
          <w:color w:val="auto"/>
        </w:rPr>
      </w:pPr>
    </w:p>
    <w:p>
      <w:pPr>
        <w:jc w:val="both"/>
        <w:ind w:left="760" w:firstLine="1015"/>
        <w:spacing w:after="0" w:line="238" w:lineRule="auto"/>
        <w:tabs>
          <w:tab w:leader="none" w:pos="2210"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shall be sufficient for every purpose hereunder if in writing and mailed, first class postage prepaid, hand delivered, sent by overnight courier service, by electronic mail or by facsimile in legible form, to the Collateral Manager addressed to it at c/o PennantPark Investment Advisers, LLC, 1691 Michigan Avenue, Suite 500, Miami Beach, Florida 33139, Attention: PennantPark Liability Management, email: plm@pennantpark.com, or at any other address previously furnished in writing to the parties hereto;</w:t>
      </w:r>
    </w:p>
    <w:p>
      <w:pPr>
        <w:spacing w:after="0" w:line="176" w:lineRule="exact"/>
        <w:rPr>
          <w:rFonts w:ascii="Times New Roman" w:cs="Times New Roman" w:eastAsia="Times New Roman" w:hAnsi="Times New Roman"/>
          <w:sz w:val="22"/>
          <w:szCs w:val="22"/>
          <w:color w:val="auto"/>
        </w:rPr>
      </w:pPr>
    </w:p>
    <w:p>
      <w:pPr>
        <w:jc w:val="both"/>
        <w:ind w:left="760" w:firstLine="1015"/>
        <w:spacing w:after="0" w:line="239" w:lineRule="auto"/>
        <w:tabs>
          <w:tab w:leader="none" w:pos="2210"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Placement Agent shall be sufficient for every purpose hereunder if in writing and mailed, hand delivered, sent by overnight courier service or by telecopy in legible form, addressed to GreensLedge Capital Markets LLC, 575 Lexington Avenue, 32nd Floor, New York, NY 10022, Attention: CDO Group, or at any other address subsequently furnished in writing to the Issuer and the Collateral Trustee by the Placement Agent;</w:t>
      </w:r>
    </w:p>
    <w:p>
      <w:pPr>
        <w:spacing w:after="0" w:line="180" w:lineRule="exact"/>
        <w:rPr>
          <w:rFonts w:ascii="Times New Roman" w:cs="Times New Roman" w:eastAsia="Times New Roman" w:hAnsi="Times New Roman"/>
          <w:sz w:val="22"/>
          <w:szCs w:val="22"/>
          <w:color w:val="auto"/>
        </w:rPr>
      </w:pPr>
    </w:p>
    <w:p>
      <w:pPr>
        <w:jc w:val="both"/>
        <w:ind w:left="760" w:firstLine="1015"/>
        <w:spacing w:after="0" w:line="250" w:lineRule="exact"/>
        <w:tabs>
          <w:tab w:leader="none" w:pos="2210"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Loan Agent and the Collateral Administrator shall be sufficient for every purpose hereunder (except as otherwise provided in </w:t>
      </w:r>
      <w:r>
        <w:rPr>
          <w:rFonts w:ascii="Times New Roman" w:cs="Times New Roman" w:eastAsia="Times New Roman" w:hAnsi="Times New Roman"/>
          <w:sz w:val="21"/>
          <w:szCs w:val="21"/>
          <w:u w:val="single" w:color="auto"/>
          <w:color w:val="auto"/>
        </w:rPr>
        <w:t>Section 14.16</w:t>
      </w:r>
      <w:r>
        <w:rPr>
          <w:rFonts w:ascii="Times New Roman" w:cs="Times New Roman" w:eastAsia="Times New Roman" w:hAnsi="Times New Roman"/>
          <w:sz w:val="21"/>
          <w:szCs w:val="21"/>
          <w:color w:val="auto"/>
        </w:rPr>
        <w:t xml:space="preserve"> with respect to 17g</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5 Information) if (x) in writing and mailed, first class postage prepaid, hand delivered, sent by overnight courier service or by facsimile in legible form, to the Collateral Administrator at Western Alliance Trust Company, N.A., One East Washington Street, Suite 1400, Phoenix, AZ 85004, Attention: Corporate Trust – PennantPark CLO 11, LLC, email: PennantParkCLO11LLC@westernalliancetrust.com and with copies to Western Alliance Trust Company, N.A., 800 Town &amp; Country - Ste. 400, Houston, TX 77024, Attention: Corporate Trust – PennantPark CLO 11, LLC, or at any other address previously furnished in writing to the parties hereto and (y) containing a reference to the Notes, the Issuer or this Indenture;</w:t>
      </w:r>
    </w:p>
    <w:p>
      <w:pPr>
        <w:spacing w:after="0" w:line="177" w:lineRule="exact"/>
        <w:rPr>
          <w:rFonts w:ascii="Times New Roman" w:cs="Times New Roman" w:eastAsia="Times New Roman" w:hAnsi="Times New Roman"/>
          <w:sz w:val="21"/>
          <w:szCs w:val="21"/>
          <w:color w:val="auto"/>
        </w:rPr>
      </w:pPr>
    </w:p>
    <w:p>
      <w:pPr>
        <w:jc w:val="both"/>
        <w:ind w:left="760" w:firstLine="1015"/>
        <w:spacing w:after="0" w:line="238" w:lineRule="auto"/>
        <w:tabs>
          <w:tab w:leader="none" w:pos="2210"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Service Provider shall be sufficient for every purpose hereunder if in writing and mailed, first class postage prepaid, hand delivered, sent by overnight courier service, by electronic mail or by facsimile in legible form, to the Administrative Service Provider addressed to it at 1691 Michigan Avenue, Suite 500, Miami Beach, Florida 33139, Attention: PennantPark Liability Management, email: plm@pennantpark.com, or at any other address previously furnished in writing to the parties hereto; and</w:t>
      </w:r>
    </w:p>
    <w:p>
      <w:pPr>
        <w:spacing w:after="0" w:line="176" w:lineRule="exact"/>
        <w:rPr>
          <w:rFonts w:ascii="Times New Roman" w:cs="Times New Roman" w:eastAsia="Times New Roman" w:hAnsi="Times New Roman"/>
          <w:sz w:val="22"/>
          <w:szCs w:val="22"/>
          <w:color w:val="auto"/>
        </w:rPr>
      </w:pPr>
    </w:p>
    <w:p>
      <w:pPr>
        <w:jc w:val="both"/>
        <w:ind w:left="760" w:firstLine="1015"/>
        <w:spacing w:after="0" w:line="249" w:lineRule="exact"/>
        <w:tabs>
          <w:tab w:leader="none" w:pos="2642"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Rating Agencies shall be sufficient for every purpose hereunder (unless otherwise herein expressly provided) if in writing and mailed, first class postage prepaid, hand delivered, sent by overnight courier service to each Rating Agency addressed to it at Standard &amp; Poor's, 55 Water Street, 41st Floor, New York, New York 10041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0003 Attention: Structured Credit – CDO Surveillance or by electronic copy to CDO_Surveillance@spglobal.com;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respect of any application for a ratings estimate by S&amp;P in respect of a Collateral Obligation, Required S&amp;P Credit Estimate Information must be submitted to creditestimates@spglobal.com ;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any request for confirmation that the S&amp;P Rating Condition has been satisfied as of the Effective Date must be submitted to CDOEffectiveDatePortfolios@spglobal.com;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any inquiries regarding the S&amp;P CDO Monitor must be submitted to CDOMonitor@spglobal.com.</w:t>
      </w:r>
    </w:p>
    <w:p>
      <w:pPr>
        <w:spacing w:after="0" w:line="15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232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85" w:lineRule="exact"/>
        <w:rPr>
          <w:sz w:val="20"/>
          <w:szCs w:val="20"/>
          <w:color w:val="auto"/>
        </w:rPr>
      </w:pPr>
    </w:p>
    <w:p>
      <w:pPr>
        <w:jc w:val="both"/>
        <w:ind w:firstLine="1505"/>
        <w:spacing w:after="0" w:line="244" w:lineRule="auto"/>
        <w:tabs>
          <w:tab w:leader="none" w:pos="1929"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herein calls for any notice or document to be delivered simultaneously to the Collateral Trustee and any other Person, the Collateral Trustee's receipt of such notice or document shall entitle the Collateral Trustee to assume that such notice or document was delivered to such other Person or entity unless otherwise expressly specified herein.</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to the contrary contained herein or in any agreement or document related thereto, any report, statement or other information required to be provided by the Issuer, the Collateral Trustee may be provided by providing access to a website containing such information.</w:t>
      </w:r>
    </w:p>
    <w:p>
      <w:pPr>
        <w:spacing w:after="0" w:line="138" w:lineRule="exact"/>
        <w:rPr>
          <w:rFonts w:ascii="Times New Roman" w:cs="Times New Roman" w:eastAsia="Times New Roman" w:hAnsi="Times New Roman"/>
          <w:sz w:val="22"/>
          <w:szCs w:val="22"/>
          <w:color w:val="auto"/>
        </w:rPr>
      </w:pPr>
    </w:p>
    <w:p>
      <w:pPr>
        <w:jc w:val="both"/>
        <w:ind w:firstLine="1505"/>
        <w:spacing w:after="0" w:line="255" w:lineRule="exact"/>
        <w:tabs>
          <w:tab w:leader="none" w:pos="1929"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parties hereto otherwise agree, (i) notices and other communications sent to an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address shall be deemed received upon the sender's receipt of an acknowledgment from the intended recipient (such as by the "return receipt requested" function, as available, return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or other written acknowledgment), and (ii) notices or communications posted to an Internet website shall be deemed received upon the deemed receipt by the intended recipient at its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such notice or other communication is not sent or posted during normal business hours, such notice or communication shall be deemed to have been sent at the opening of business on the next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in any instance the intended recipient declines or opts out of the receipt acknowledgment, then such notice or communication shall be deemed to have been received on the Business Day sent or posted, if sent or posted during normal business hours on such Business Day, or if otherwise, at the opening of business on the next Business Day.</w:t>
      </w:r>
    </w:p>
    <w:p>
      <w:pPr>
        <w:spacing w:after="0" w:line="181" w:lineRule="exact"/>
        <w:rPr>
          <w:sz w:val="20"/>
          <w:szCs w:val="20"/>
          <w:color w:val="auto"/>
        </w:rPr>
      </w:pPr>
    </w:p>
    <w:p>
      <w:pPr>
        <w:ind w:left="1500"/>
        <w:spacing w:after="0"/>
        <w:tabs>
          <w:tab w:leader="none" w:pos="2780" w:val="left"/>
          <w:tab w:leader="none" w:pos="5540" w:val="left"/>
          <w:tab w:leader="none" w:pos="5960" w:val="left"/>
        </w:tabs>
        <w:rPr>
          <w:sz w:val="20"/>
          <w:szCs w:val="20"/>
          <w:color w:val="auto"/>
        </w:rPr>
      </w:pPr>
      <w:r>
        <w:rPr>
          <w:rFonts w:ascii="Times New Roman" w:cs="Times New Roman" w:eastAsia="Times New Roman" w:hAnsi="Times New Roman"/>
          <w:sz w:val="22"/>
          <w:szCs w:val="22"/>
          <w:u w:val="single" w:color="auto"/>
          <w:color w:val="auto"/>
        </w:rPr>
        <w:t>Section 14.4</w:t>
      </w:r>
      <w:r>
        <w:rPr>
          <w:sz w:val="20"/>
          <w:szCs w:val="20"/>
          <w:color w:val="auto"/>
        </w:rPr>
        <w:tab/>
      </w:r>
      <w:r>
        <w:rPr>
          <w:rFonts w:ascii="Times New Roman" w:cs="Times New Roman" w:eastAsia="Times New Roman" w:hAnsi="Times New Roman"/>
          <w:sz w:val="22"/>
          <w:szCs w:val="22"/>
          <w:u w:val="single" w:color="auto"/>
          <w:color w:val="auto"/>
        </w:rPr>
        <w:t xml:space="preserve">Notices to Holders; Waiver </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(a)</w:t>
        <w:tab/>
        <w:t>Except as otherwise expressly provided herein, where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Indenture provides for notice to Holders of any event:</w:t>
      </w:r>
    </w:p>
    <w:p>
      <w:pPr>
        <w:spacing w:after="0" w:line="182" w:lineRule="exact"/>
        <w:rPr>
          <w:sz w:val="20"/>
          <w:szCs w:val="20"/>
          <w:color w:val="auto"/>
        </w:rPr>
      </w:pPr>
    </w:p>
    <w:p>
      <w:pPr>
        <w:jc w:val="both"/>
        <w:ind w:left="760" w:firstLine="1015"/>
        <w:spacing w:after="0" w:line="257" w:lineRule="exact"/>
        <w:tabs>
          <w:tab w:leader="none" w:pos="2210"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notice shall be sufficiently given to Holders if in writing and mailed, first class postage prepaid, or by overnight delivery service (or, in the case of Holders of Global Notes,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mailed to DTC), to each Holder affected by such event, at the address of such Holder as it appears on the Note Register or the Loan Register, as applicable, not earlier than the earliest date and not later than the latest date prescribed for the giving of such notice; and</w:t>
      </w:r>
    </w:p>
    <w:p>
      <w:pPr>
        <w:spacing w:after="0" w:line="176"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notice shall be in the English language.</w:t>
      </w:r>
    </w:p>
    <w:p>
      <w:pPr>
        <w:spacing w:after="0" w:line="206"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clause (a) of this </w:t>
      </w:r>
      <w:r>
        <w:rPr>
          <w:rFonts w:ascii="Times New Roman" w:cs="Times New Roman" w:eastAsia="Times New Roman" w:hAnsi="Times New Roman"/>
          <w:sz w:val="22"/>
          <w:szCs w:val="22"/>
          <w:u w:val="single" w:color="auto"/>
          <w:color w:val="auto"/>
        </w:rPr>
        <w:t>Section 14.4</w:t>
      </w:r>
      <w:r>
        <w:rPr>
          <w:rFonts w:ascii="Times New Roman" w:cs="Times New Roman" w:eastAsia="Times New Roman" w:hAnsi="Times New Roman"/>
          <w:sz w:val="22"/>
          <w:szCs w:val="22"/>
          <w:color w:val="auto"/>
        </w:rPr>
        <w:t xml:space="preserve">, a Holder may give the Collateral Trustee a written notice in a form reasonably acceptable to the Collateral Trustee that it is requesting that notices to it be given by electronic mail or by facsimile transmissions and stating the electronic mail address or facsimile number for such transmission. Thereafter, the Collateral Trustee shall give notices to such Holder by electronic mail or facsimile transmission, as so requested;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notice also requests that notices be given by mail, then such notice shall also be given by mail in accordance with clause (a) above. Notices for Holders may also be posted to the Collateral Trustee's website.</w:t>
      </w:r>
    </w:p>
    <w:p>
      <w:pPr>
        <w:spacing w:after="0" w:line="181"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requirements of </w:t>
      </w:r>
      <w:r>
        <w:rPr>
          <w:rFonts w:ascii="Times New Roman" w:cs="Times New Roman" w:eastAsia="Times New Roman" w:hAnsi="Times New Roman"/>
          <w:sz w:val="22"/>
          <w:szCs w:val="22"/>
          <w:u w:val="single" w:color="auto"/>
          <w:color w:val="auto"/>
        </w:rPr>
        <w:t>Section 14.15</w:t>
      </w:r>
      <w:r>
        <w:rPr>
          <w:rFonts w:ascii="Times New Roman" w:cs="Times New Roman" w:eastAsia="Times New Roman" w:hAnsi="Times New Roman"/>
          <w:sz w:val="22"/>
          <w:szCs w:val="22"/>
          <w:color w:val="auto"/>
        </w:rPr>
        <w:t>, the Collateral Trustee will deliver to the Holders of Debt any written information reasonably available to the Collateral</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233</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Trustee without undue burden or expense or written notice received by the Collateral Trustee relating to this Indenture requested to be so delivered by at least 25% (by Aggregate Outstanding Amount) of the Holders of any Class of Debt, at the expense of the Issuer;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Collateral Trustee may decline to send any such information or notice that it reasonably determines to be contrary to (i) any of the terms of this Indenture, (ii) any duty or obligation that the Collateral Trustee may have hereunder, (iii) applicable law or (iv) the terms of any confidentiality or non-disclosure agreement to which the Collateral Trustee is a party in connection with the performance of its duties hereunder (including, without limitation, contained in any agreement or acknowledgement governing any report, statement or certificate prepared by the Issuer's accountants), and shall not be liable for declining to send any notice in accordance with this sentence. The Collateral Trustee may require the requesting Holders to comply with its standard verification policies in order to confirm Holder status. The Collateral Trustee shall have no liability for such disclosure or, subject to its duties herein, the accuracy thereof.</w:t>
      </w:r>
    </w:p>
    <w:p>
      <w:pPr>
        <w:spacing w:after="0" w:line="179" w:lineRule="exact"/>
        <w:rPr>
          <w:sz w:val="20"/>
          <w:szCs w:val="20"/>
          <w:color w:val="auto"/>
        </w:rPr>
      </w:pPr>
    </w:p>
    <w:p>
      <w:pPr>
        <w:jc w:val="both"/>
        <w:ind w:firstLine="1505"/>
        <w:spacing w:after="0" w:line="236" w:lineRule="auto"/>
        <w:tabs>
          <w:tab w:leader="none" w:pos="1929"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failure to mail or otherwise deliver any notice, nor any defect in any notice so mailed or otherwise delivered, to any particular Holder shall affect the sufficiency of such notice with respect to other Holders. In case by reason of the suspension of regular mail service as a result of a strike, work stoppage or similar activity or by reason of any other cause it shall be impracticable to give such notice by mail of any event to Holders when such notice is required to be given pursuant to any provision of this Indenture, then such notification to Holders as shall be made with the approval of the Collateral Trustee shall constitute a sufficient notification to such Holders for every purpose hereunder.</w:t>
      </w:r>
    </w:p>
    <w:p>
      <w:pPr>
        <w:spacing w:after="0" w:line="181"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this Indenture provides for notice in any manner, such notice may be waived in writing by any Person entitled to receive such notice, either before or after the event, and such waiver shall be the equivalent of such notice. Waivers of notice by Holders shall be filed with the Collateral Trustee but such filing shall not be a condition precedent to the validity of any action taken in reliance upon such waiver.</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to the contrary in this Indenture or in any agreement or document related hereto, any information or documents (including, without limitation, reports, notices or supplemental indentures) required to be provided by the Collateral Trustee to Persons identified in this </w:t>
      </w:r>
      <w:r>
        <w:rPr>
          <w:rFonts w:ascii="Times New Roman" w:cs="Times New Roman" w:eastAsia="Times New Roman" w:hAnsi="Times New Roman"/>
          <w:sz w:val="22"/>
          <w:szCs w:val="22"/>
          <w:u w:val="single" w:color="auto"/>
          <w:color w:val="auto"/>
        </w:rPr>
        <w:t>Section 14.4</w:t>
      </w:r>
      <w:r>
        <w:rPr>
          <w:rFonts w:ascii="Times New Roman" w:cs="Times New Roman" w:eastAsia="Times New Roman" w:hAnsi="Times New Roman"/>
          <w:sz w:val="22"/>
          <w:szCs w:val="22"/>
          <w:color w:val="auto"/>
        </w:rPr>
        <w:t xml:space="preserve"> may be provided by providing notice of and access to the Collateral Trustee's Website containing such information or document.</w:t>
      </w:r>
    </w:p>
    <w:p>
      <w:pPr>
        <w:spacing w:after="0" w:line="180"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to be given hereunder to the Holders of Class A-1 Loans shall be provided to the Loan Agent, who shall forward such notice to the Class A-1 Lenders.</w:t>
      </w:r>
    </w:p>
    <w:p>
      <w:pPr>
        <w:spacing w:after="0" w:line="158" w:lineRule="exact"/>
        <w:rPr>
          <w:sz w:val="20"/>
          <w:szCs w:val="20"/>
          <w:color w:val="auto"/>
        </w:rPr>
      </w:pPr>
    </w:p>
    <w:p>
      <w:pPr>
        <w:jc w:val="both"/>
        <w:ind w:firstLine="1497"/>
        <w:spacing w:after="0" w:line="261" w:lineRule="exact"/>
        <w:rPr>
          <w:sz w:val="20"/>
          <w:szCs w:val="20"/>
          <w:color w:val="auto"/>
        </w:rPr>
      </w:pPr>
      <w:r>
        <w:rPr>
          <w:rFonts w:ascii="Times New Roman" w:cs="Times New Roman" w:eastAsia="Times New Roman" w:hAnsi="Times New Roman"/>
          <w:sz w:val="22"/>
          <w:szCs w:val="22"/>
          <w:u w:val="single" w:color="auto"/>
          <w:color w:val="auto"/>
        </w:rPr>
        <w:t>Section 14.5 Effect of Headings and Table of Contents</w:t>
      </w:r>
      <w:r>
        <w:rPr>
          <w:rFonts w:ascii="Times New Roman" w:cs="Times New Roman" w:eastAsia="Times New Roman" w:hAnsi="Times New Roman"/>
          <w:sz w:val="22"/>
          <w:szCs w:val="22"/>
          <w:color w:val="auto"/>
        </w:rPr>
        <w:t xml:space="preserve"> . The Article and Section headings herein (including those used in cross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references herein) and the Table of Contents are for convenience only and shall not affect the construction hereof.</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Section 14.6 Successors and Assigns . All covenants and agreements herein by the Issuer shall bind its successors and assigns, whether so expressed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-198755</wp:posOffset>
            </wp:positionV>
            <wp:extent cx="22371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3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14.7 Severability</w:t>
      </w:r>
      <w:r>
        <w:rPr>
          <w:rFonts w:ascii="Times New Roman" w:cs="Times New Roman" w:eastAsia="Times New Roman" w:hAnsi="Times New Roman"/>
          <w:sz w:val="22"/>
          <w:szCs w:val="22"/>
          <w:color w:val="auto"/>
        </w:rPr>
        <w:t xml:space="preserve"> . If any term, provision, covenant or condition of this Indenture or the Debt, or the application thereof to any party hereto or any circumstance, is held</w:t>
      </w:r>
    </w:p>
    <w:p>
      <w:pPr>
        <w:spacing w:after="0" w:line="13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234</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to be unenforceable, invalid or illegal (in whole or in part) for any reason (in any relevant jurisdiction), the remaining terms, provisions, covenants and conditions of this Indenture or the Debt, modified by the deletion of the unenforceable, invalid or illegal portion (in any relevant jurisdiction), will continue in full force and effect, and such unenforceability, invalidity, or illegality will not otherwise affect the enforceability, validity or legality of the remaining terms, provisions, covenants and conditions of this Indenture or the Debt, as the case may be, so long as this Indenture or the Debt, as the case may be, as so modified continues to express, without material change, the original intentions of the parties as to the subject matter hereof and the deletion of such portion of this Indenture or the Debt, as the case may be, will not substantially impair the respective expectations or reciprocal obligations of the parties or the practical realization of the benefits that would otherwise be conferred upon the parties.</w:t>
      </w:r>
    </w:p>
    <w:p>
      <w:pPr>
        <w:spacing w:after="0" w:line="18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14.8 Benefits of Indenture</w:t>
      </w:r>
      <w:r>
        <w:rPr>
          <w:rFonts w:ascii="Times New Roman" w:cs="Times New Roman" w:eastAsia="Times New Roman" w:hAnsi="Times New Roman"/>
          <w:sz w:val="22"/>
          <w:szCs w:val="22"/>
          <w:color w:val="auto"/>
        </w:rPr>
        <w:t>. Except as otherwise expressly set forth in this Indenture, nothing herein or in the Debt, expressed or implied, shall give to any Person, other than the parties hereto and their successors hereunder, the Collateral Manager, the Collateral Administrator, the Loan Agent, the Bank in each other capacity under the Transaction Documents, the Holders and the other Secured Parties any benefit or any legal or equitable right, remedy or claim under this Indenture.</w:t>
      </w:r>
    </w:p>
    <w:p>
      <w:pPr>
        <w:spacing w:after="0" w:line="177"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14.9</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97"/>
        <w:spacing w:after="0" w:line="264" w:lineRule="exact"/>
        <w:rPr>
          <w:sz w:val="20"/>
          <w:szCs w:val="20"/>
          <w:color w:val="auto"/>
        </w:rPr>
      </w:pPr>
      <w:r>
        <w:rPr>
          <w:rFonts w:ascii="Times New Roman" w:cs="Times New Roman" w:eastAsia="Times New Roman" w:hAnsi="Times New Roman"/>
          <w:sz w:val="22"/>
          <w:szCs w:val="22"/>
          <w:u w:val="single" w:color="auto"/>
          <w:color w:val="auto"/>
        </w:rPr>
        <w:t>Section 14.10 Governing Law</w:t>
      </w:r>
      <w:r>
        <w:rPr>
          <w:rFonts w:ascii="Times New Roman" w:cs="Times New Roman" w:eastAsia="Times New Roman" w:hAnsi="Times New Roman"/>
          <w:sz w:val="22"/>
          <w:szCs w:val="22"/>
          <w:color w:val="auto"/>
        </w:rPr>
        <w:t xml:space="preserve"> . This Indenture and the Debt shall be construed in accordance with, and this Indenture and the Debt and any matters arising out of or relating in any way whatsoever to this Indenture or the Debt (whether in contract, tort or otherwise), shall be governed by, the law of the State of New York without reference to its conflicts of laws provisions (other than Section 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1401 of the New York General Obligations Law).</w:t>
      </w:r>
    </w:p>
    <w:p>
      <w:pPr>
        <w:spacing w:after="0" w:line="147" w:lineRule="exact"/>
        <w:rPr>
          <w:sz w:val="20"/>
          <w:szCs w:val="20"/>
          <w:color w:val="auto"/>
        </w:rPr>
      </w:pPr>
    </w:p>
    <w:p>
      <w:pPr>
        <w:jc w:val="both"/>
        <w:ind w:firstLine="1497"/>
        <w:spacing w:after="0" w:line="249" w:lineRule="exact"/>
        <w:rPr>
          <w:sz w:val="20"/>
          <w:szCs w:val="20"/>
          <w:color w:val="auto"/>
        </w:rPr>
      </w:pPr>
      <w:r>
        <w:rPr>
          <w:rFonts w:ascii="Times New Roman" w:cs="Times New Roman" w:eastAsia="Times New Roman" w:hAnsi="Times New Roman"/>
          <w:sz w:val="22"/>
          <w:szCs w:val="22"/>
          <w:u w:val="single" w:color="auto"/>
          <w:color w:val="auto"/>
        </w:rPr>
        <w:t>Section 14.11 Submission to Jurisdiction</w:t>
      </w:r>
      <w:r>
        <w:rPr>
          <w:rFonts w:ascii="Times New Roman" w:cs="Times New Roman" w:eastAsia="Times New Roman" w:hAnsi="Times New Roman"/>
          <w:sz w:val="22"/>
          <w:szCs w:val="22"/>
          <w:color w:val="auto"/>
        </w:rPr>
        <w:t xml:space="preserve"> . With respect to any suit, action or proceedings relating to this Indenture or any matter between the parties arising under or in connection with this Indenture ("</w:t>
      </w:r>
      <w:r>
        <w:rPr>
          <w:rFonts w:ascii="Times New Roman" w:cs="Times New Roman" w:eastAsia="Times New Roman" w:hAnsi="Times New Roman"/>
          <w:sz w:val="22"/>
          <w:szCs w:val="22"/>
          <w:u w:val="single" w:color="auto"/>
          <w:color w:val="auto"/>
        </w:rPr>
        <w:t>Proceedings</w:t>
      </w:r>
      <w:r>
        <w:rPr>
          <w:rFonts w:ascii="Times New Roman" w:cs="Times New Roman" w:eastAsia="Times New Roman" w:hAnsi="Times New Roman"/>
          <w:sz w:val="22"/>
          <w:szCs w:val="22"/>
          <w:color w:val="auto"/>
        </w:rPr>
        <w:t>"), each party irrevocably: (i) submits to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exclusive jurisdiction of the Supreme Court of the State of New York sitting in the Borough of Manhattan and the United States District Court for the Southern District of New York, and any appellate court from any thereof; and (ii) 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 Nothing herein precludes any of the parties from bringing Proceedings in any other jurisdiction, nor will the bringing of Proceedings in any one or more jurisdictions preclude the bringing of Proceedings in any other jurisdiction.</w:t>
      </w:r>
    </w:p>
    <w:p>
      <w:pPr>
        <w:spacing w:after="0" w:line="17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14.12 WAIVER OF JURY TRIAL</w:t>
      </w:r>
      <w:r>
        <w:rPr>
          <w:rFonts w:ascii="Times New Roman" w:cs="Times New Roman" w:eastAsia="Times New Roman" w:hAnsi="Times New Roman"/>
          <w:sz w:val="22"/>
          <w:szCs w:val="22"/>
          <w:color w:val="auto"/>
        </w:rPr>
        <w:t>. EACH OF THE ISSUER, THE HOLDERS OF THE DEBT, THE COLLATERAL TRUSTEE AND THE COLLATERAL TRUSTEE HEREBY KNOWINGLY, VOLUNTARILY, INTENTIONALLY AND IRREVOCABLY WAIVES, TO THE FULLEST EXTENT PERMITTED BY APPLICABLE LAW, ANY AND ALL RIGHT TO TRIAL BY JURY IN ANY LEGAL PROCEEDING ARISING OUT OF, UNDER OR RELATING TO THIS INDENTURE, THE DEBT OR THE TRANSACTIONS CONTEMPLATED HEREBY. Each party hereby (i) certifies that no</w:t>
      </w:r>
    </w:p>
    <w:p>
      <w:pPr>
        <w:spacing w:after="0" w:line="160"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235</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representative, agent or attorney of the other has represented, expressly or otherwise, that the other would not, in the event of a Proceeding, seek to enforce the foregoing waiver and (ii) acknowledges that it has been induced to enter into this Indenture by, among other things, the mutual waivers and certifications in this paragraph.</w:t>
      </w:r>
    </w:p>
    <w:p>
      <w:pPr>
        <w:spacing w:after="0" w:line="173" w:lineRule="exact"/>
        <w:rPr>
          <w:sz w:val="20"/>
          <w:szCs w:val="20"/>
          <w:color w:val="auto"/>
        </w:rPr>
      </w:pPr>
    </w:p>
    <w:p>
      <w:pPr>
        <w:jc w:val="both"/>
        <w:ind w:firstLine="1497"/>
        <w:spacing w:after="0" w:line="256" w:lineRule="exact"/>
        <w:rPr>
          <w:sz w:val="20"/>
          <w:szCs w:val="20"/>
          <w:color w:val="auto"/>
        </w:rPr>
      </w:pPr>
      <w:r>
        <w:rPr>
          <w:rFonts w:ascii="Times New Roman" w:cs="Times New Roman" w:eastAsia="Times New Roman" w:hAnsi="Times New Roman"/>
          <w:sz w:val="22"/>
          <w:szCs w:val="22"/>
          <w:u w:val="single" w:color="auto"/>
          <w:color w:val="auto"/>
        </w:rPr>
        <w:t>Section 14.13 Counterparts</w:t>
      </w:r>
      <w:r>
        <w:rPr>
          <w:rFonts w:ascii="Times New Roman" w:cs="Times New Roman" w:eastAsia="Times New Roman" w:hAnsi="Times New Roman"/>
          <w:sz w:val="22"/>
          <w:szCs w:val="22"/>
          <w:color w:val="auto"/>
        </w:rPr>
        <w:t xml:space="preserve"> . This Indenture (and each amendment, modification and waiver in respect of it) may be executed and delivered in counterparts (including by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(.pdf) or facsimile transmission), each of which will be deemed an original, and all of which together constitute one and the same instrument. Delivery of an executed counterpart signature page of this Indenture by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facsimile or other transmission method (including, without limitation, any .pdf file,</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.jpeg file, or any other electronic or image file, or any "electronic signature" as defined under E-SIGN or ESRA, which includes any electronic signature provided using Orbit, Adobe Sign, Adobe Fill &amp; Sign, or any other similar platform identified by the Issuer and reasonably available at no undue burden or expense to the Collateral Trustee) shall be effective as delivery of a manually executed counterpart of this Indenture.</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Section 14.14 Acts of Issuer . Any report, information, communication, request, demand, authorization, direction, notice, consent, waiver or other action provided by this Indenture to be given or performed by the Issuer shall be effective if given or performed by the Issuer or by the Collateral Manager on the Issuer's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-343535</wp:posOffset>
            </wp:positionV>
            <wp:extent cx="173926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39265" cy="8255"/>
                    </a:xfrm>
                    <a:prstGeom prst="rect">
                      <a:avLst/>
                    </a:prstGeom>
                    <a:noFill/>
                  </pic:spPr>
                </pic:pic>
              </a:graphicData>
            </a:graphic>
          </wp:anchor>
        </w:drawing>
      </w:r>
    </w:p>
    <w:p>
      <w:pPr>
        <w:spacing w:after="0" w:line="15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The Issuer agrees to coordinate with the Collateral Manager with respect to any communication to a Rating Agency and to comply with the provisions of this Section and </w:t>
      </w:r>
      <w:r>
        <w:rPr>
          <w:rFonts w:ascii="Times New Roman" w:cs="Times New Roman" w:eastAsia="Times New Roman" w:hAnsi="Times New Roman"/>
          <w:sz w:val="22"/>
          <w:szCs w:val="22"/>
          <w:u w:val="single" w:color="auto"/>
          <w:color w:val="auto"/>
        </w:rPr>
        <w:t>Section 14.16</w:t>
      </w:r>
      <w:r>
        <w:rPr>
          <w:rFonts w:ascii="Times New Roman" w:cs="Times New Roman" w:eastAsia="Times New Roman" w:hAnsi="Times New Roman"/>
          <w:sz w:val="22"/>
          <w:szCs w:val="22"/>
          <w:color w:val="auto"/>
        </w:rPr>
        <w:t>, unless otherwise agreed to in writing by the Collateral Manager.</w:t>
      </w:r>
    </w:p>
    <w:p>
      <w:pPr>
        <w:spacing w:after="0" w:line="173"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14.15 Confidential Information</w:t>
      </w:r>
      <w:r>
        <w:rPr>
          <w:rFonts w:ascii="Times New Roman" w:cs="Times New Roman" w:eastAsia="Times New Roman" w:hAnsi="Times New Roman"/>
          <w:sz w:val="22"/>
          <w:szCs w:val="22"/>
          <w:color w:val="auto"/>
        </w:rPr>
        <w:t xml:space="preserve"> . (a) The Collateral Trustee, the Collateral Administrator and each Holder will maintain the confidentiality of all Confidential Information in accordance with procedures adopted by such Person in good faith to protect Confidential Information of third parties delivered to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Person may deliver or disclose Confidential Information to: (i) such Person's directors, trustees, officers, employees, agents, attorneys and affiliates who agree to hold confidential the Confidential Information substantially in accordance with the terms of this </w:t>
      </w:r>
      <w:r>
        <w:rPr>
          <w:rFonts w:ascii="Times New Roman" w:cs="Times New Roman" w:eastAsia="Times New Roman" w:hAnsi="Times New Roman"/>
          <w:sz w:val="22"/>
          <w:szCs w:val="22"/>
          <w:u w:val="single" w:color="auto"/>
          <w:color w:val="auto"/>
        </w:rPr>
        <w:t>Section 14.15</w:t>
      </w:r>
      <w:r>
        <w:rPr>
          <w:rFonts w:ascii="Times New Roman" w:cs="Times New Roman" w:eastAsia="Times New Roman" w:hAnsi="Times New Roman"/>
          <w:sz w:val="22"/>
          <w:szCs w:val="22"/>
          <w:color w:val="auto"/>
        </w:rPr>
        <w:t xml:space="preserve"> and to the extent such disclosure is reasonably required for the administration of this Indenture, the matters contemplated hereby or the investment represented by the Debt; (ii) such Person's legal advisors, financial advisors and other professional advisors who agree to hold confidential the Confidential Information substantially in accordance with the terms of this </w:t>
      </w:r>
      <w:r>
        <w:rPr>
          <w:rFonts w:ascii="Times New Roman" w:cs="Times New Roman" w:eastAsia="Times New Roman" w:hAnsi="Times New Roman"/>
          <w:sz w:val="22"/>
          <w:szCs w:val="22"/>
          <w:u w:val="single" w:color="auto"/>
          <w:color w:val="auto"/>
        </w:rPr>
        <w:t>Section 14.15</w:t>
      </w:r>
      <w:r>
        <w:rPr>
          <w:rFonts w:ascii="Times New Roman" w:cs="Times New Roman" w:eastAsia="Times New Roman" w:hAnsi="Times New Roman"/>
          <w:sz w:val="22"/>
          <w:szCs w:val="22"/>
          <w:color w:val="auto"/>
        </w:rPr>
        <w:t xml:space="preserve"> and to the extent such disclosure is reasonably required for the administration of this Indenture, the matters contemplated hereby or the investment represented by the Debt; (iii) any other Holder, or any of the other parties to this Indenture, the Collateral Management Agreement or the Collateral Administration Agreement; (iv) except for Specified Obligor Information, any Person of the type that would be, to such Person's knowledge, permitted to acquire Debt or any other security of the Issuer in accordance with the requirements of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hereof to which such Person sells or offers to sell any such Debt or security or any part thereof;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reinsurers and liquidity and credit providers that agree to hold confidential the Confidential Information</w:t>
      </w:r>
    </w:p>
    <w:p>
      <w:pPr>
        <w:spacing w:after="0" w:line="16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236</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substantially in accordance with this </w:t>
      </w:r>
      <w:r>
        <w:rPr>
          <w:rFonts w:ascii="Times New Roman" w:cs="Times New Roman" w:eastAsia="Times New Roman" w:hAnsi="Times New Roman"/>
          <w:sz w:val="22"/>
          <w:szCs w:val="22"/>
          <w:u w:val="single" w:color="auto"/>
          <w:color w:val="auto"/>
        </w:rPr>
        <w:t>Section 14.15</w:t>
      </w:r>
      <w:r>
        <w:rPr>
          <w:rFonts w:ascii="Times New Roman" w:cs="Times New Roman" w:eastAsia="Times New Roman" w:hAnsi="Times New Roman"/>
          <w:sz w:val="22"/>
          <w:szCs w:val="22"/>
          <w:color w:val="auto"/>
        </w:rPr>
        <w:t xml:space="preserve">; (vii) a Rating Agency or any NRSRO (subject to </w:t>
      </w:r>
      <w:r>
        <w:rPr>
          <w:rFonts w:ascii="Times New Roman" w:cs="Times New Roman" w:eastAsia="Times New Roman" w:hAnsi="Times New Roman"/>
          <w:sz w:val="22"/>
          <w:szCs w:val="22"/>
          <w:u w:val="single" w:color="auto"/>
          <w:color w:val="auto"/>
        </w:rPr>
        <w:t>Section 14.17</w:t>
      </w:r>
      <w:r>
        <w:rPr>
          <w:rFonts w:ascii="Times New Roman" w:cs="Times New Roman" w:eastAsia="Times New Roman" w:hAnsi="Times New Roman"/>
          <w:sz w:val="22"/>
          <w:szCs w:val="22"/>
          <w:color w:val="auto"/>
        </w:rPr>
        <w:t xml:space="preserve">); (viii) any other Person with the consent of the Issuer and the Collateral Manager; or (ix) any other Person to which such delivery or disclosure may be necessary or appropriate (A) to effect compliance with any law, rule, regulation or order applicable to such Person, (B) in response to any subpoena or other legal process (unless prohibited by applicable law, rule, order or decree or other requirement having the force of law), (C) in connection with any litigation to which such Person is a party (unless prohibited by applicable law, rule, order or decree or other requirement having the force of law), (D) if an Event of Default has occurred and is continuing, to the extent such Person may reasonably determine such delivery and disclosure to be necessary or appropriate in the enforcement or for the protection of the rights and remedies under the Debt or this Indenture or (E) in the Collateral Trustee's, the Loan Agent's or the Collateral Administrator's performance of its obligations under this Indenture, the Collateral Administration Agreement or other Transaction Document related thereto;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delivery to the Holders by the Collateral Trustee, the Loan Agent or the Collateral Administrator of any report of information required by the terms of this Indenture to be provided to Holders shall not be a violation of this </w:t>
      </w:r>
      <w:r>
        <w:rPr>
          <w:rFonts w:ascii="Times New Roman" w:cs="Times New Roman" w:eastAsia="Times New Roman" w:hAnsi="Times New Roman"/>
          <w:sz w:val="22"/>
          <w:szCs w:val="22"/>
          <w:u w:val="single" w:color="auto"/>
          <w:color w:val="auto"/>
        </w:rPr>
        <w:t>Section 14.15</w:t>
      </w:r>
      <w:r>
        <w:rPr>
          <w:rFonts w:ascii="Times New Roman" w:cs="Times New Roman" w:eastAsia="Times New Roman" w:hAnsi="Times New Roman"/>
          <w:sz w:val="22"/>
          <w:szCs w:val="22"/>
          <w:color w:val="auto"/>
        </w:rPr>
        <w:t xml:space="preserve">. Each Holder or beneficial owner of Debt will, by its acceptance of its Debt, be deemed to have agreed, except as set forth in clauses (v), (vi) and (ix) of this </w:t>
      </w:r>
      <w:r>
        <w:rPr>
          <w:rFonts w:ascii="Times New Roman" w:cs="Times New Roman" w:eastAsia="Times New Roman" w:hAnsi="Times New Roman"/>
          <w:sz w:val="22"/>
          <w:szCs w:val="22"/>
          <w:u w:val="single" w:color="auto"/>
          <w:color w:val="auto"/>
        </w:rPr>
        <w:t>Section 14.15(a)</w:t>
      </w:r>
      <w:r>
        <w:rPr>
          <w:rFonts w:ascii="Times New Roman" w:cs="Times New Roman" w:eastAsia="Times New Roman" w:hAnsi="Times New Roman"/>
          <w:sz w:val="22"/>
          <w:szCs w:val="22"/>
          <w:color w:val="auto"/>
        </w:rPr>
        <w:t xml:space="preserve">, that it shall use the Confidential Information for the sole purpose of making an investment in the Debt or administering its investment in the Debt; and that the Collateral Trustee, the Loan Agent and the Collateral Administrator shall neither be required nor authorized to disclose to Holders any Confidential Information in violation of this </w:t>
      </w:r>
      <w:r>
        <w:rPr>
          <w:rFonts w:ascii="Times New Roman" w:cs="Times New Roman" w:eastAsia="Times New Roman" w:hAnsi="Times New Roman"/>
          <w:sz w:val="22"/>
          <w:szCs w:val="22"/>
          <w:u w:val="single" w:color="auto"/>
          <w:color w:val="auto"/>
        </w:rPr>
        <w:t>Section 14.15</w:t>
      </w:r>
      <w:r>
        <w:rPr>
          <w:rFonts w:ascii="Times New Roman" w:cs="Times New Roman" w:eastAsia="Times New Roman" w:hAnsi="Times New Roman"/>
          <w:sz w:val="22"/>
          <w:szCs w:val="22"/>
          <w:color w:val="auto"/>
        </w:rPr>
        <w:t xml:space="preserve">. In the event of any required disclosure of the Confidential Information by such Holder or beneficial owner such Holder or beneficial owner will, by its acceptance of its Debt, be deemed to have agreed to use reasonable efforts to protect the confidentiality of the Confidential Information. Each Holder or beneficial owner of a Note, by its acceptance of Debt, will be deemed to have agreed to be bound by and to be entitled to the benefits of this </w:t>
      </w:r>
      <w:r>
        <w:rPr>
          <w:rFonts w:ascii="Times New Roman" w:cs="Times New Roman" w:eastAsia="Times New Roman" w:hAnsi="Times New Roman"/>
          <w:sz w:val="22"/>
          <w:szCs w:val="22"/>
          <w:u w:val="single" w:color="auto"/>
          <w:color w:val="auto"/>
        </w:rPr>
        <w:t>Section 14.15</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7.17(f)</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1505"/>
        <w:spacing w:after="0" w:line="247" w:lineRule="exact"/>
        <w:tabs>
          <w:tab w:leader="none" w:pos="1929" w:val="left"/>
        </w:tabs>
        <w:numPr>
          <w:ilvl w:val="0"/>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purposes of this </w:t>
      </w:r>
      <w:r>
        <w:rPr>
          <w:rFonts w:ascii="Times New Roman" w:cs="Times New Roman" w:eastAsia="Times New Roman" w:hAnsi="Times New Roman"/>
          <w:sz w:val="21"/>
          <w:szCs w:val="21"/>
          <w:u w:val="single" w:color="auto"/>
          <w:color w:val="auto"/>
        </w:rPr>
        <w:t>Section 14.15</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means information delivered to the Collateral Trustee, the Collateral Administrator or any Holder of Debt by or on behalf of the Issuer, the Transferor or the Collateral Manager or any of their respective affiliates in connection with and relating to the transactions contemplated by or otherwise pursuant to this Indenture and the other Transaction Documents (including, without limitation, information relating to Obligors);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term does not include information that: (i) was publicly known or otherwise known to the Collateral Trustee, the Collateral Administrator or such Holder prior to the time of such disclosure; (ii) subsequently becomes publicly known through no act or omission by the Collateral Trustee, the Collateral Administrator, any Holder or any Person acting on behalf of the Collateral Trustee, the Collateral Administrator or any Holder; (iii) otherwise is known or becomes known to the Collateral Trustee, the Collateral Administrator or any Holder other than (x) through disclosure by the Issuer, the Transferor or the Collateral Manager or (y) to the knowledge of the Collateral Trustee, the Collateral Administrator or a Holder, as the case may be, in each case after reasonable inquiry, as a result of the breach of a fiduciary duty or a contractual duty to the Issuer, the Transferor or the Collateral Manager; or (iv) is allowed to be treated as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confidential with the prior written consent of the Issuer or the Collateral Manager on behalf of the Issuer; and (B) "</w:t>
      </w:r>
      <w:r>
        <w:rPr>
          <w:rFonts w:ascii="Times New Roman" w:cs="Times New Roman" w:eastAsia="Times New Roman" w:hAnsi="Times New Roman"/>
          <w:sz w:val="21"/>
          <w:szCs w:val="21"/>
          <w:u w:val="single" w:color="auto"/>
          <w:color w:val="auto"/>
        </w:rPr>
        <w:t>Specified Obligor Information</w:t>
      </w:r>
      <w:r>
        <w:rPr>
          <w:rFonts w:ascii="Times New Roman" w:cs="Times New Roman" w:eastAsia="Times New Roman" w:hAnsi="Times New Roman"/>
          <w:sz w:val="21"/>
          <w:szCs w:val="21"/>
          <w:color w:val="auto"/>
        </w:rPr>
        <w:t>" means Confidential Information relating to Obligors that is not otherwise included in the Monthly Reports or Distribution Reports or the disclosure of which would be prohibited by applicable law or the Underlying Documents relating to such Obligor's Collateral Obligation.</w:t>
      </w:r>
    </w:p>
    <w:p>
      <w:pPr>
        <w:spacing w:after="0" w:line="15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237</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85" w:lineRule="exact"/>
        <w:rPr>
          <w:sz w:val="20"/>
          <w:szCs w:val="20"/>
          <w:color w:val="auto"/>
        </w:rPr>
      </w:pPr>
    </w:p>
    <w:p>
      <w:pPr>
        <w:jc w:val="both"/>
        <w:ind w:firstLine="1505"/>
        <w:spacing w:after="0" w:line="239" w:lineRule="auto"/>
        <w:tabs>
          <w:tab w:leader="none" w:pos="1929"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Collateral Trustee and the Collateral Administrator may disclose Confidential Information to the extent disclosure thereof may be required by law or by any regulatory or Governmental Authority and the Collateral Trustee and the Collateral Administrator may disclose on a confidential basis any Confidential Information to its agents, attorneys and auditors in connection with the performance of its responsibilities hereunder.</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Section 14.16 [Reserved]</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1497"/>
        <w:spacing w:after="0" w:line="257" w:lineRule="exact"/>
        <w:rPr>
          <w:sz w:val="20"/>
          <w:szCs w:val="20"/>
          <w:color w:val="auto"/>
        </w:rPr>
      </w:pPr>
      <w:r>
        <w:rPr>
          <w:rFonts w:ascii="Times New Roman" w:cs="Times New Roman" w:eastAsia="Times New Roman" w:hAnsi="Times New Roman"/>
          <w:sz w:val="22"/>
          <w:szCs w:val="22"/>
          <w:color w:val="auto"/>
        </w:rPr>
        <w:t>Section 14.17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Information . (a) The Issuer shall comply with its obligations under Rule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promulgated under the Exchange Act ("</w:t>
      </w:r>
      <w:r>
        <w:rPr>
          <w:rFonts w:ascii="Times New Roman" w:cs="Times New Roman" w:eastAsia="Times New Roman" w:hAnsi="Times New Roman"/>
          <w:sz w:val="22"/>
          <w:szCs w:val="22"/>
          <w:u w:val="single" w:color="auto"/>
          <w:color w:val="auto"/>
        </w:rPr>
        <w:t>Rule 17g</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 by its or its agent's posting on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 no later than the time such information is provided to the Rating Agencies, all information that the Issuer or other parties on its behalf, including the Collateral Trustee and the Collateral Manager, provide to the Rating Agencies for the purposes of determining the initial credit rating of the Debt or undertaking credit rating surveillance of the Debt (the "</w:t>
      </w:r>
      <w:r>
        <w:rPr>
          <w:rFonts w:ascii="Times New Roman" w:cs="Times New Roman" w:eastAsia="Times New Roman" w:hAnsi="Times New Roman"/>
          <w:sz w:val="22"/>
          <w:szCs w:val="22"/>
          <w:u w:val="single" w:color="auto"/>
          <w:color w:val="auto"/>
        </w:rPr>
        <w:t>17g</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5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party other than the Issuer (or the Information Agent on its behalf), the Collateral Trustee or the Collateral Manager may provide information to the Rating Agencies on the Issuer's behalf without the prior written consent of the Collateral Manager. At all times while any Debt is rated by any Rating Agency or any other NRSRO, the Issuer shall engage a third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party to post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Information to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 On the Closing Date, the Issuer shall engage the Collateral Administrator (in such capacity, the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to post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Information it receives from the Issuer, the Collateral Trustee or the Collateral Manager to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 in accordance with Section 2A of the Collateral Administration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-1612265</wp:posOffset>
            </wp:positionV>
            <wp:extent cx="19665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966595" cy="8255"/>
                    </a:xfrm>
                    <a:prstGeom prst="rect">
                      <a:avLst/>
                    </a:prstGeom>
                    <a:noFill/>
                  </pic:spPr>
                </pic:pic>
              </a:graphicData>
            </a:graphic>
          </wp:anchor>
        </w:drawing>
      </w:r>
    </w:p>
    <w:p>
      <w:pPr>
        <w:spacing w:after="0" w:line="167" w:lineRule="exact"/>
        <w:rPr>
          <w:sz w:val="20"/>
          <w:szCs w:val="20"/>
          <w:color w:val="auto"/>
        </w:rPr>
      </w:pPr>
    </w:p>
    <w:p>
      <w:pPr>
        <w:jc w:val="both"/>
        <w:ind w:firstLine="1505"/>
        <w:spacing w:after="0" w:line="253" w:lineRule="exact"/>
        <w:tabs>
          <w:tab w:leader="none" w:pos="1929"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of the Issuer, the Collateral Manager, the Collateral Administrator or the Collateral Trustee is required to provide any information to, or communicate with, any Rating Agency in writing in accordance with its obligations under this Indenture or the Collateral Management Agreement or the Collateral Administration Agreement (as applicable), the Issuer, the Collateral Manager, the Collateral Administrator or the Collateral Trustee, as applicable (or their respective representatives or advisors), shall provide such information or communication to the Information Agent by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at PennantParkCLO11LLC@westernalliancetrust.com with the subject line specifically referencing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Information" and "PennantPark CLO 11, LLC," which information the Information Agent shall promptly post to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 in accordance with Section 2A(f) of the Collateral Administration Agreement.</w:t>
      </w:r>
    </w:p>
    <w:p>
      <w:pPr>
        <w:spacing w:after="0" w:line="176" w:lineRule="exact"/>
        <w:rPr>
          <w:rFonts w:ascii="Times New Roman" w:cs="Times New Roman" w:eastAsia="Times New Roman" w:hAnsi="Times New Roman"/>
          <w:sz w:val="22"/>
          <w:szCs w:val="22"/>
          <w:color w:val="auto"/>
        </w:rPr>
      </w:pPr>
    </w:p>
    <w:p>
      <w:pPr>
        <w:jc w:val="both"/>
        <w:ind w:firstLine="1505"/>
        <w:spacing w:after="0" w:line="253" w:lineRule="exact"/>
        <w:tabs>
          <w:tab w:leader="none" w:pos="1929"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of the Issuer, the Collateral Trustee or the Collateral Manager are engaged in oral communications with any Rating Agency, for the purposes of determining the initial credit rating of the Debt or undertaking credit rating surveillance of the Debt, the party communicating with such Rating Agency shall cause such oral communication to either be (x) recorded and an audio file containing the recording to be promptly delivered to the Information Agent for forwarding to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 or (y) summarized in writing and the summary to be promptly delivered to the Information Agent by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at PennantParkCLO11LLC@westernalliancetrust.com with the subject line specifically referencing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Information" and "PennantPark CLO 11, LLC," which information the Information Agent shall promptly post to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 in accordance with Section 2A(f) of the Collateral Administration Agreement.</w:t>
      </w:r>
    </w:p>
    <w:p>
      <w:pPr>
        <w:spacing w:after="0" w:line="156"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238</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85" w:lineRule="exact"/>
        <w:rPr>
          <w:sz w:val="20"/>
          <w:szCs w:val="20"/>
          <w:color w:val="auto"/>
        </w:rPr>
      </w:pPr>
    </w:p>
    <w:p>
      <w:pPr>
        <w:jc w:val="both"/>
        <w:ind w:firstLine="1505"/>
        <w:spacing w:after="0" w:line="244" w:lineRule="auto"/>
        <w:tabs>
          <w:tab w:leader="none" w:pos="1929"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17g-5 Information Agent shall not be liable for unauthorized disclosure of any information that it disseminates in accordance with this Indenture and makes no representations or warranties as to the accuracy or completeness of information made available on the 17g-5 Website.</w:t>
      </w:r>
    </w:p>
    <w:p>
      <w:pPr>
        <w:spacing w:after="0" w:line="173" w:lineRule="exact"/>
        <w:rPr>
          <w:rFonts w:ascii="Times New Roman" w:cs="Times New Roman" w:eastAsia="Times New Roman" w:hAnsi="Times New Roman"/>
          <w:sz w:val="22"/>
          <w:szCs w:val="22"/>
          <w:color w:val="auto"/>
        </w:rPr>
      </w:pPr>
    </w:p>
    <w:p>
      <w:pPr>
        <w:jc w:val="both"/>
        <w:ind w:firstLine="1505"/>
        <w:spacing w:after="0" w:line="259" w:lineRule="exact"/>
        <w:tabs>
          <w:tab w:leader="none" w:pos="1929"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information to be made available to the Rating Agencies pursuant to </w:t>
      </w:r>
      <w:r>
        <w:rPr>
          <w:rFonts w:ascii="Times New Roman" w:cs="Times New Roman" w:eastAsia="Times New Roman" w:hAnsi="Times New Roman"/>
          <w:sz w:val="22"/>
          <w:szCs w:val="22"/>
          <w:u w:val="single" w:color="auto"/>
          <w:color w:val="auto"/>
        </w:rPr>
        <w:t>Section 14.3(a)</w:t>
      </w:r>
      <w:r>
        <w:rPr>
          <w:rFonts w:ascii="Times New Roman" w:cs="Times New Roman" w:eastAsia="Times New Roman" w:hAnsi="Times New Roman"/>
          <w:sz w:val="22"/>
          <w:szCs w:val="22"/>
          <w:color w:val="auto"/>
        </w:rPr>
        <w:t xml:space="preserve"> shall be made available on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 In the event that any information is delivered or posted in error, the Issuer may remove it, or cause it to be removed, from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 and shall so remove promptly when instructed to do so by the Person that delivered such information. None of the Collateral Trustee, the Collateral Manager, the Collateral Administrator and the Information Agent shall have obtained or shall be deemed to have obtained actual knowledge of any information solely due to receipt and posting to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 Access will be provided to the Issuer, the Collateral Manager, the Rating Agencies, and to any NRSRO upon receipt by the Issuer of an NRSRO Certification from such NRSRO (which may be submitted electronically via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w:t>
      </w:r>
    </w:p>
    <w:p>
      <w:pPr>
        <w:spacing w:after="0" w:line="14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requirements herein, the Collateral Trustee shall not have any obligation to engage in or respond to any oral communications, for the purposes of determining the initial credit rating of the Debt or undertaking credit rating surveillance of the Debt, with any Rating Agency or any of their respective officers, directors or employees.</w:t>
      </w:r>
    </w:p>
    <w:p>
      <w:pPr>
        <w:spacing w:after="0" w:line="138" w:lineRule="exact"/>
        <w:rPr>
          <w:rFonts w:ascii="Times New Roman" w:cs="Times New Roman" w:eastAsia="Times New Roman" w:hAnsi="Times New Roman"/>
          <w:sz w:val="22"/>
          <w:szCs w:val="22"/>
          <w:color w:val="auto"/>
        </w:rPr>
      </w:pPr>
    </w:p>
    <w:p>
      <w:pPr>
        <w:jc w:val="both"/>
        <w:ind w:firstLine="1505"/>
        <w:spacing w:after="0" w:line="268" w:lineRule="exact"/>
        <w:tabs>
          <w:tab w:leader="none" w:pos="1929"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not be responsible for maintaining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 posting any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Information to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 or assuring that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 complies with the requirements of this Indenture, Rule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or any other law or regulation. In no event shall the Collateral Trustee be deemed to make any representation in respect of the content of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 or compliance of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 with this Indenture, Rule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or any other law or regulation.</w:t>
      </w:r>
    </w:p>
    <w:p>
      <w:pPr>
        <w:spacing w:after="0" w:line="180" w:lineRule="exact"/>
        <w:rPr>
          <w:rFonts w:ascii="Times New Roman" w:cs="Times New Roman" w:eastAsia="Times New Roman" w:hAnsi="Times New Roman"/>
          <w:sz w:val="22"/>
          <w:szCs w:val="22"/>
          <w:color w:val="auto"/>
        </w:rPr>
      </w:pPr>
    </w:p>
    <w:p>
      <w:pPr>
        <w:jc w:val="both"/>
        <w:ind w:firstLine="1505"/>
        <w:spacing w:after="0" w:line="259" w:lineRule="exact"/>
        <w:tabs>
          <w:tab w:leader="none" w:pos="1929"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shall not be responsible or liable for the dissemination of any identification numbers or passwords for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 including by the Issuer, the Rating Agencies, the NRSROs, any of their agents or any other party. The Collateral Trustee shall not be liable for the use of any information posted on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 whether by the Issuer, the Rating Agencies, the NRSROs or any other third party that may gain access to the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Website or the information posted thereon.</w:t>
      </w:r>
    </w:p>
    <w:p>
      <w:pPr>
        <w:spacing w:after="0" w:line="180" w:lineRule="exact"/>
        <w:rPr>
          <w:rFonts w:ascii="Times New Roman" w:cs="Times New Roman" w:eastAsia="Times New Roman" w:hAnsi="Times New Roman"/>
          <w:sz w:val="22"/>
          <w:szCs w:val="22"/>
          <w:color w:val="auto"/>
        </w:rPr>
      </w:pPr>
    </w:p>
    <w:p>
      <w:pPr>
        <w:jc w:val="both"/>
        <w:ind w:firstLine="1505"/>
        <w:spacing w:after="0" w:line="261" w:lineRule="exact"/>
        <w:tabs>
          <w:tab w:leader="none" w:pos="1929"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the maintenance of the website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10.7(g)</w:t>
      </w:r>
      <w:r>
        <w:rPr>
          <w:rFonts w:ascii="Times New Roman" w:cs="Times New Roman" w:eastAsia="Times New Roman" w:hAnsi="Times New Roman"/>
          <w:sz w:val="22"/>
          <w:szCs w:val="22"/>
          <w:color w:val="auto"/>
        </w:rPr>
        <w:t xml:space="preserve"> shall not be deemed as compliance by or on behalf of the Issuer with Rule 17g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 or any other law or regulation related thereto.</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Indenture, a breach of this </w:t>
      </w:r>
      <w:r>
        <w:rPr>
          <w:rFonts w:ascii="Times New Roman" w:cs="Times New Roman" w:eastAsia="Times New Roman" w:hAnsi="Times New Roman"/>
          <w:sz w:val="22"/>
          <w:szCs w:val="22"/>
          <w:u w:val="single" w:color="auto"/>
          <w:color w:val="auto"/>
        </w:rPr>
        <w:t>Section 14.17</w:t>
      </w:r>
      <w:r>
        <w:rPr>
          <w:rFonts w:ascii="Times New Roman" w:cs="Times New Roman" w:eastAsia="Times New Roman" w:hAnsi="Times New Roman"/>
          <w:sz w:val="22"/>
          <w:szCs w:val="22"/>
          <w:color w:val="auto"/>
        </w:rPr>
        <w:t xml:space="preserve"> shall not constitute a Default or Event of Default.</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14.18 Escheat.</w:t>
      </w:r>
      <w:r>
        <w:rPr>
          <w:rFonts w:ascii="Times New Roman" w:cs="Times New Roman" w:eastAsia="Times New Roman" w:hAnsi="Times New Roman"/>
          <w:sz w:val="22"/>
          <w:szCs w:val="22"/>
          <w:color w:val="auto"/>
        </w:rPr>
        <w:t xml:space="preserve"> Subject to applicable escheatment law, in the absence of a written request from the Issuer to return unclaimed funds to the Issuer, the Collateral Trustee may from time to time following the final Payment Date with respect to the Debt deliver all unclaimed funds to or as directed by applicable escheat authorities, as determined by the Collateral Trustee in its sole discretion, in accordance with the customary practices and procedures of the Collateral</w:t>
      </w:r>
    </w:p>
    <w:p>
      <w:pPr>
        <w:spacing w:after="0" w:line="15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239</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Trustee. Any unclaimed funds held by the Collateral Trustee pursuant to this </w:t>
      </w:r>
      <w:r>
        <w:rPr>
          <w:rFonts w:ascii="Times New Roman" w:cs="Times New Roman" w:eastAsia="Times New Roman" w:hAnsi="Times New Roman"/>
          <w:sz w:val="22"/>
          <w:szCs w:val="22"/>
          <w:u w:val="single" w:color="auto"/>
          <w:color w:val="auto"/>
        </w:rPr>
        <w:t>Section 14.18</w:t>
      </w:r>
      <w:r>
        <w:rPr>
          <w:rFonts w:ascii="Times New Roman" w:cs="Times New Roman" w:eastAsia="Times New Roman" w:hAnsi="Times New Roman"/>
          <w:sz w:val="22"/>
          <w:szCs w:val="22"/>
          <w:color w:val="auto"/>
        </w:rPr>
        <w:t xml:space="preserve"> shall be held uninvested and without any liability for interest.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ASSIGNMENT OF CERTAIN AGREEMENTS</w:t>
      </w:r>
    </w:p>
    <w:p>
      <w:pPr>
        <w:spacing w:after="0" w:line="182"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15.1 Assignment of Collateral Management Agreement</w:t>
      </w:r>
      <w:r>
        <w:rPr>
          <w:rFonts w:ascii="Times New Roman" w:cs="Times New Roman" w:eastAsia="Times New Roman" w:hAnsi="Times New Roman"/>
          <w:sz w:val="22"/>
          <w:szCs w:val="22"/>
          <w:color w:val="auto"/>
        </w:rPr>
        <w:t xml:space="preserve">. (a) The Issuer hereby acknowledges that its Grant pursuant to the first Granting Clause hereof includes all of the Issuer's estate, right, title and interest in, to and under the Collateral Management Agreement, including (i) the right to give all notices, consents and releases thereunder, (ii) the right to give all notices of termination and to take any legal action upon the breach of an obligation of the Collateral Manager thereunder, including the commencement, conduct and consummation of proceedings at law or in equity, (iii) the right to receive all notices, accountings, consents, releases and statements thereunder and (iv) the right to do any and all other things whatsoever that the Issuer is or may be entitled to do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Issuer may exercise any of its rights under the Collateral Management Agreement without notice to or the consent of the Collateral Trustee (except as otherwise expressly required by this Indenture), so long as an Event of Default has not occurred and is not continuing; provided, further, that notwithstanding anything herein to the contrary, the Collateral Trustee shall not have the authority to exercise any of the rights set forth in (i) through (iv) above or that may otherwise arise as a result of the Grant until the occurrence of an Event of Default hereunder and such authority shall terminate at such time, if any, as such Event of Default is cured or waived. From and after the occurrence and continuance of an Event of Default, the Collateral Manager shall continue to perform and be bound by the provisions of the Collateral Management Agreement and this Indenture applicable thereto. The Collateral Trustee will be entitled to rely and be protected in relying upon all actions and omissions to act of the Collateral Manager thereafter as fully as if no Event of Default had occurred.</w:t>
      </w:r>
    </w:p>
    <w:p>
      <w:pPr>
        <w:spacing w:after="0" w:line="191" w:lineRule="exact"/>
        <w:rPr>
          <w:sz w:val="20"/>
          <w:szCs w:val="20"/>
          <w:color w:val="auto"/>
        </w:rPr>
      </w:pPr>
    </w:p>
    <w:p>
      <w:pPr>
        <w:jc w:val="both"/>
        <w:ind w:firstLine="1505"/>
        <w:spacing w:after="0" w:line="239" w:lineRule="auto"/>
        <w:tabs>
          <w:tab w:leader="none" w:pos="1929"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made hereby is executed as collateral security, and the execution and delivery hereby shall not in any way impair or diminish the obligations of the Issuer under the provisions of the Collateral Management Agreement, nor shall any of the obligations contained in the Collateral Management Agreement be imposed on the Collateral Trustee, including following any resignation or removal of the Collateral Manager.</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retirement of the Debt, the payment of all amounts required to be paid pursuant to the Priority of Payments and the release of the Assets from the lien of this Indenture, this assignment and all rights herein assigned to the Collateral Trustee for the benefit of the Secured Parties shall cease and terminate and all the estate, right, title and interest of the Collateral Trustee in, to and under the Collateral Management Agreement shall revert to the Issuer and no further instrument or act shall be necessary to evidence such termination and reversion.</w:t>
      </w:r>
    </w:p>
    <w:p>
      <w:pPr>
        <w:spacing w:after="0" w:line="17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represents that, as of the date hereof, the Issuer has not executed any other assignment of the Collateral Management Agreement.</w:t>
      </w:r>
    </w:p>
    <w:p>
      <w:pPr>
        <w:sectPr>
          <w:pgSz w:w="11900" w:h="16838" w:orient="portrait"/>
          <w:cols w:equalWidth="0" w:num="1">
            <w:col w:w="11240"/>
          </w:cols>
          <w:pgMar w:left="320" w:top="1440" w:right="339" w:bottom="1440" w:gutter="0" w:footer="0" w:header="0"/>
        </w:sectPr>
      </w:pPr>
    </w:p>
    <w:p>
      <w:pPr>
        <w:spacing w:after="0" w:line="158" w:lineRule="exact"/>
        <w:rPr>
          <w:sz w:val="20"/>
          <w:szCs w:val="20"/>
          <w:color w:val="auto"/>
        </w:rPr>
      </w:pPr>
    </w:p>
    <w:p>
      <w:pPr>
        <w:ind w:firstLine="1505"/>
        <w:spacing w:after="0" w:line="244" w:lineRule="auto"/>
        <w:tabs>
          <w:tab w:leader="none" w:pos="1929"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agrees that this assignment is irrevocable, and that it inconsistent with this assignment or make any other assignment inconsistent herewith. execute all instruments of further assurance and all</w:t>
      </w:r>
    </w:p>
    <w:p>
      <w:pPr>
        <w:spacing w:after="0" w:line="152"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240</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both"/>
        <w:ind w:firstLine="22"/>
        <w:spacing w:after="0" w:line="258" w:lineRule="auto"/>
        <w:rPr>
          <w:sz w:val="20"/>
          <w:szCs w:val="20"/>
          <w:color w:val="auto"/>
        </w:rPr>
      </w:pPr>
      <w:r>
        <w:rPr>
          <w:rFonts w:ascii="Times New Roman" w:cs="Times New Roman" w:eastAsia="Times New Roman" w:hAnsi="Times New Roman"/>
          <w:sz w:val="22"/>
          <w:szCs w:val="22"/>
          <w:color w:val="auto"/>
        </w:rPr>
        <w:t>will not take any action which is The Issuer will, from time to time,</w:t>
      </w:r>
    </w:p>
    <w:p>
      <w:pPr>
        <w:sectPr>
          <w:pgSz w:w="11900" w:h="16838" w:orient="portrait"/>
          <w:cols w:equalWidth="0" w:num="2">
            <w:col w:w="7940" w:space="100"/>
            <w:col w:w="3200"/>
          </w:cols>
          <w:pgMar w:left="320" w:top="1440" w:right="339" w:bottom="1440" w:gutter="0" w:footer="0" w:header="0"/>
          <w:type w:val="continuous"/>
        </w:sectPr>
      </w:pPr>
    </w:p>
    <w:bookmarkStart w:id="251" w:name="page252"/>
    <w:bookmarkEnd w:id="251"/>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such supplemental instruments with respect to this assignment as may be necessary to continue and maintain the effectiveness of such assignment.</w:t>
      </w:r>
    </w:p>
    <w:p>
      <w:pPr>
        <w:spacing w:after="0" w:line="158" w:lineRule="exact"/>
        <w:rPr>
          <w:sz w:val="20"/>
          <w:szCs w:val="20"/>
          <w:color w:val="auto"/>
        </w:rPr>
      </w:pPr>
    </w:p>
    <w:p>
      <w:pPr>
        <w:ind w:right="40" w:firstLine="1505"/>
        <w:spacing w:after="0" w:line="258" w:lineRule="auto"/>
        <w:tabs>
          <w:tab w:leader="none" w:pos="1929"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hereby agrees, and hereby undertakes to obtain the agreement and consent of the Collateral Manager in the Collateral Management Agreement, to the following:</w:t>
      </w:r>
    </w:p>
    <w:p>
      <w:pPr>
        <w:spacing w:after="0" w:line="158"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2"/>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shall consent to the provisions of this assignment and agree to perform any provisions of this Indenture applicable to the Collateral Manager subject to the terms (including the Collateral Manager Standard) of the Collateral Management Agreement.</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39" w:lineRule="auto"/>
        <w:tabs>
          <w:tab w:leader="none" w:pos="2210" w:val="left"/>
        </w:tabs>
        <w:numPr>
          <w:ilvl w:val="2"/>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shall acknowledge that the Issuer is assigning all of its right, title and interest in, to and under the Collateral Management Agreement to the Collateral Trustee as representative of the Noteholders and the Collateral Manager shall agree that all of the representations, covenants and agreements made by the Collateral Manager in the Collateral Management Agreement are also for the benefit of the Collateral Trustee.</w:t>
      </w:r>
    </w:p>
    <w:p>
      <w:pPr>
        <w:spacing w:after="0" w:line="180" w:lineRule="exact"/>
        <w:rPr>
          <w:rFonts w:ascii="Times New Roman" w:cs="Times New Roman" w:eastAsia="Times New Roman" w:hAnsi="Times New Roman"/>
          <w:sz w:val="22"/>
          <w:szCs w:val="22"/>
          <w:color w:val="auto"/>
        </w:rPr>
      </w:pPr>
    </w:p>
    <w:p>
      <w:pPr>
        <w:jc w:val="both"/>
        <w:ind w:left="760" w:right="20" w:firstLine="1015"/>
        <w:spacing w:after="0" w:line="244" w:lineRule="auto"/>
        <w:tabs>
          <w:tab w:leader="none" w:pos="2210" w:val="left"/>
        </w:tabs>
        <w:numPr>
          <w:ilvl w:val="2"/>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shall deliver to the Collateral Trustee copies of all notices, statements, communications and instruments delivered or required to be delivered by the Collateral Manager to the Issuer pursuant to the Collateral Management Agreement.</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35" w:lineRule="auto"/>
        <w:tabs>
          <w:tab w:leader="none" w:pos="2210" w:val="left"/>
        </w:tabs>
        <w:numPr>
          <w:ilvl w:val="2"/>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Issuer nor the Collateral Manager will enter into any agreement amending, modifying or terminating the Collateral Management Agreement without satisfaction of the Global Rating Agency Condition and obtaining the consent of a Majority of the Controlling Class and a Majority of the Subordinated Notes (voting separately by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Global Rating Agency Condition or consent will be required in connection with any amendment thereto the sole purpose of which is to (i) correct inconsistencies, typographical or other errors, defects or ambiguities, (ii) conform the Collateral Management Agreement to the final Offering Circular, the Collateral Administration Agreement or this Indenture or (iii) comply with any changes in law.</w:t>
      </w:r>
    </w:p>
    <w:p>
      <w:pPr>
        <w:spacing w:after="0" w:line="183" w:lineRule="exact"/>
        <w:rPr>
          <w:rFonts w:ascii="Times New Roman" w:cs="Times New Roman" w:eastAsia="Times New Roman" w:hAnsi="Times New Roman"/>
          <w:sz w:val="22"/>
          <w:szCs w:val="22"/>
          <w:color w:val="auto"/>
        </w:rPr>
      </w:pPr>
    </w:p>
    <w:p>
      <w:pPr>
        <w:jc w:val="both"/>
        <w:ind w:left="760" w:firstLine="1015"/>
        <w:spacing w:after="0" w:line="243" w:lineRule="auto"/>
        <w:tabs>
          <w:tab w:leader="none" w:pos="2210" w:val="left"/>
        </w:tabs>
        <w:numPr>
          <w:ilvl w:val="2"/>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set forth herein and therein (including pursuant to Section 8 of the Collateral Management Agreement), the Collateral Manager shall continue to serve as Collateral Manager under the Collateral Management Agreement notwithstanding that the Collateral Manager shall not have received amounts due it under the Collateral Management Agreement because sufficient funds were not then available hereunder to pay such amounts in accordance with the Priority of Payments set forth under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The Collateral Manager agrees not to cause the filing of a petition in bankruptcy against the Issuer for the nonpayment of the fees or other amounts payable by the Issuer to the Collateral Manager under the Collateral Management Agreement until the payment in full of all Notes issued under this Indenture, the repayment in full of the Class A-1 Loans incurred pursuant to the Credit Agreements and the expiration of a period equal to one year and a day, or, if longer, the applicable preference period then in effect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one day, following such payment. Nothing in this </w:t>
      </w:r>
      <w:r>
        <w:rPr>
          <w:rFonts w:ascii="Times New Roman" w:cs="Times New Roman" w:eastAsia="Times New Roman" w:hAnsi="Times New Roman"/>
          <w:sz w:val="21"/>
          <w:szCs w:val="21"/>
          <w:u w:val="single" w:color="auto"/>
          <w:color w:val="auto"/>
        </w:rPr>
        <w:t>Section 15.1</w:t>
      </w:r>
      <w:r>
        <w:rPr>
          <w:rFonts w:ascii="Times New Roman" w:cs="Times New Roman" w:eastAsia="Times New Roman" w:hAnsi="Times New Roman"/>
          <w:sz w:val="21"/>
          <w:szCs w:val="21"/>
          <w:color w:val="auto"/>
        </w:rPr>
        <w:t xml:space="preserve"> shall preclude, or be deemed to stop, the Collateral Manager</w:t>
      </w:r>
    </w:p>
    <w:p>
      <w:pPr>
        <w:spacing w:after="0" w:line="9" w:lineRule="exact"/>
        <w:rPr>
          <w:rFonts w:ascii="Times New Roman" w:cs="Times New Roman" w:eastAsia="Times New Roman" w:hAnsi="Times New Roman"/>
          <w:sz w:val="21"/>
          <w:szCs w:val="21"/>
          <w:color w:val="auto"/>
        </w:rPr>
      </w:pPr>
    </w:p>
    <w:p>
      <w:pPr>
        <w:ind w:left="760" w:right="20" w:hanging="3"/>
        <w:spacing w:after="0" w:line="237" w:lineRule="auto"/>
        <w:tabs>
          <w:tab w:leader="none" w:pos="1031"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taking any action (including filing proofs of claim) prior to the expiration of the aforementioned period in (A) any case or Proceeding</w:t>
      </w:r>
    </w:p>
    <w:p>
      <w:pPr>
        <w:spacing w:after="0" w:line="157"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241</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8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21"/>
          <w:szCs w:val="21"/>
          <w:color w:val="auto"/>
        </w:rPr>
        <w:t>voluntarily filed or commenced by the Issuer or (B) any involuntary insolvency Proceeding filed or commenced by a Person other than the Collateral Manager, or (ii) from commencing against the Issuer or any of their properties any legal action which is not a bankruptcy, reorganization, arrangement, insolvency, moratorium or liquidation proceeding.</w:t>
      </w:r>
    </w:p>
    <w:p>
      <w:pPr>
        <w:spacing w:after="0" w:line="157" w:lineRule="exact"/>
        <w:rPr>
          <w:sz w:val="20"/>
          <w:szCs w:val="20"/>
          <w:color w:val="auto"/>
        </w:rPr>
      </w:pPr>
    </w:p>
    <w:p>
      <w:pPr>
        <w:ind w:left="760" w:right="20" w:firstLine="1015"/>
        <w:spacing w:after="0" w:line="258" w:lineRule="auto"/>
        <w:tabs>
          <w:tab w:leader="none" w:pos="2210" w:val="left"/>
        </w:tabs>
        <w:numPr>
          <w:ilvl w:val="1"/>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Measurement Date on which the S&amp;P CDO Monitor Test is used, the Collateral Manager on behalf of the Issuer will measure compliance under such test.</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and the Collateral Trustee agree that the Collateral Manager shall be a third party beneficiary of this Indenture for purposes of this </w:t>
      </w:r>
      <w:r>
        <w:rPr>
          <w:rFonts w:ascii="Times New Roman" w:cs="Times New Roman" w:eastAsia="Times New Roman" w:hAnsi="Times New Roman"/>
          <w:sz w:val="22"/>
          <w:szCs w:val="22"/>
          <w:u w:val="single" w:color="auto"/>
          <w:color w:val="auto"/>
        </w:rPr>
        <w:t>Article XV</w:t>
      </w:r>
      <w:r>
        <w:rPr>
          <w:rFonts w:ascii="Times New Roman" w:cs="Times New Roman" w:eastAsia="Times New Roman" w:hAnsi="Times New Roman"/>
          <w:sz w:val="22"/>
          <w:szCs w:val="22"/>
          <w:color w:val="auto"/>
        </w:rPr>
        <w:t xml:space="preserve">, and shall be entitled to rely upon and enforce such provisions of this </w:t>
      </w:r>
      <w:r>
        <w:rPr>
          <w:rFonts w:ascii="Times New Roman" w:cs="Times New Roman" w:eastAsia="Times New Roman" w:hAnsi="Times New Roman"/>
          <w:sz w:val="22"/>
          <w:szCs w:val="22"/>
          <w:u w:val="single" w:color="auto"/>
          <w:color w:val="auto"/>
        </w:rPr>
        <w:t>Article XV</w:t>
      </w:r>
      <w:r>
        <w:rPr>
          <w:rFonts w:ascii="Times New Roman" w:cs="Times New Roman" w:eastAsia="Times New Roman" w:hAnsi="Times New Roman"/>
          <w:sz w:val="22"/>
          <w:szCs w:val="22"/>
          <w:color w:val="auto"/>
        </w:rPr>
        <w:t xml:space="preserve"> to the same extent as if it were a party hereto.</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Blank - Signature Pages Follow]</w:t>
      </w:r>
    </w:p>
    <w:p>
      <w:pPr>
        <w:spacing w:after="0" w:line="185"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242</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we have set our hands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CLO 11,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as Issuer</w:t>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PennantPark Investment Advisers, LLC, its Designated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Jeffrey S. Sion</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Jeffrey S. Sion</w:t>
      </w:r>
    </w:p>
    <w:p>
      <w:pPr>
        <w:ind w:left="41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WESTERN ALLIANCE TRUST COMPANY, N.A.</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as Collateral Trustee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J. Baker</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Michael J. Baker</w:t>
      </w:r>
    </w:p>
    <w:p>
      <w:pPr>
        <w:ind w:left="41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1423035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20"/>
          </w:cols>
          <w:pgMar w:left="1440" w:top="1440" w:right="739" w:bottom="1440" w:gutter="0" w:footer="0" w:header="0"/>
        </w:sectPr>
      </w:pPr>
    </w:p>
    <w:bookmarkStart w:id="254" w:name="page255"/>
    <w:bookmarkEnd w:id="254"/>
    <w:p>
      <w:pPr>
        <w:spacing w:after="0" w:line="18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SCHEDULE OF COLLATERAL OBLIGATIONS</w:t>
      </w: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[Schedule begins on next page]</w:t>
      </w:r>
    </w:p>
    <w:p>
      <w:pPr>
        <w:spacing w:after="0" w:line="185"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195"/>
        </w:trPr>
        <w:tc>
          <w:tcPr>
            <w:tcW w:w="700" w:type="dxa"/>
            <w:vAlign w:val="bottom"/>
          </w:tcPr>
          <w:p>
            <w:pPr>
              <w:spacing w:after="0"/>
              <w:rPr>
                <w:sz w:val="20"/>
                <w:szCs w:val="20"/>
                <w:color w:val="auto"/>
              </w:rPr>
            </w:pPr>
            <w:r>
              <w:rPr>
                <w:rFonts w:ascii="Arial" w:cs="Arial" w:eastAsia="Arial" w:hAnsi="Arial"/>
                <w:sz w:val="17"/>
                <w:szCs w:val="17"/>
                <w:color w:val="auto"/>
              </w:rPr>
              <w:t>Obligor</w:t>
            </w:r>
          </w:p>
        </w:tc>
        <w:tc>
          <w:tcPr>
            <w:tcW w:w="2220" w:type="dxa"/>
            <w:vAlign w:val="bottom"/>
            <w:gridSpan w:val="3"/>
          </w:tcPr>
          <w:p>
            <w:pPr>
              <w:ind w:left="160"/>
              <w:spacing w:after="0"/>
              <w:rPr>
                <w:sz w:val="20"/>
                <w:szCs w:val="20"/>
                <w:color w:val="auto"/>
              </w:rPr>
            </w:pPr>
            <w:r>
              <w:rPr>
                <w:rFonts w:ascii="Arial" w:cs="Arial" w:eastAsia="Arial" w:hAnsi="Arial"/>
                <w:sz w:val="17"/>
                <w:szCs w:val="17"/>
                <w:color w:val="auto"/>
              </w:rPr>
              <w:t>Principal Amount (U.S.$)</w:t>
            </w:r>
          </w:p>
        </w:tc>
        <w:tc>
          <w:tcPr>
            <w:tcW w:w="36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83"/>
        </w:trPr>
        <w:tc>
          <w:tcPr>
            <w:tcW w:w="1700" w:type="dxa"/>
            <w:vAlign w:val="bottom"/>
            <w:gridSpan w:val="2"/>
          </w:tcPr>
          <w:p>
            <w:pPr>
              <w:spacing w:after="0"/>
              <w:rPr>
                <w:sz w:val="20"/>
                <w:szCs w:val="20"/>
                <w:color w:val="auto"/>
              </w:rPr>
            </w:pPr>
            <w:r>
              <w:rPr>
                <w:rFonts w:ascii="Arial" w:cs="Arial" w:eastAsia="Arial" w:hAnsi="Arial"/>
                <w:sz w:val="17"/>
                <w:szCs w:val="17"/>
                <w:color w:val="auto"/>
                <w:w w:val="94"/>
              </w:rPr>
              <w:t>ACP Avenu Buyer, LLC</w:t>
            </w:r>
          </w:p>
        </w:tc>
        <w:tc>
          <w:tcPr>
            <w:tcW w:w="440" w:type="dxa"/>
            <w:vAlign w:val="bottom"/>
          </w:tcPr>
          <w:p>
            <w:pPr>
              <w:spacing w:after="0"/>
              <w:rPr>
                <w:sz w:val="24"/>
                <w:szCs w:val="24"/>
                <w:color w:val="auto"/>
              </w:rPr>
            </w:pPr>
          </w:p>
        </w:tc>
        <w:tc>
          <w:tcPr>
            <w:tcW w:w="1140" w:type="dxa"/>
            <w:vAlign w:val="bottom"/>
            <w:gridSpan w:val="2"/>
          </w:tcPr>
          <w:p>
            <w:pPr>
              <w:jc w:val="right"/>
              <w:ind w:right="57"/>
              <w:spacing w:after="0"/>
              <w:rPr>
                <w:sz w:val="20"/>
                <w:szCs w:val="20"/>
                <w:color w:val="auto"/>
              </w:rPr>
            </w:pPr>
            <w:r>
              <w:rPr>
                <w:rFonts w:ascii="Arial" w:cs="Arial" w:eastAsia="Arial" w:hAnsi="Arial"/>
                <w:sz w:val="17"/>
                <w:szCs w:val="17"/>
                <w:color w:val="auto"/>
                <w:w w:val="98"/>
              </w:rPr>
              <w:t>3,866,426.61</w:t>
            </w:r>
          </w:p>
        </w:tc>
        <w:tc>
          <w:tcPr>
            <w:tcW w:w="2840" w:type="dxa"/>
            <w:vAlign w:val="bottom"/>
          </w:tcPr>
          <w:p>
            <w:pPr>
              <w:spacing w:after="0"/>
              <w:rPr>
                <w:sz w:val="24"/>
                <w:szCs w:val="24"/>
                <w:color w:val="auto"/>
              </w:rPr>
            </w:pPr>
          </w:p>
        </w:tc>
      </w:tr>
      <w:tr>
        <w:trPr>
          <w:trHeight w:val="270"/>
        </w:trPr>
        <w:tc>
          <w:tcPr>
            <w:tcW w:w="2140" w:type="dxa"/>
            <w:vAlign w:val="bottom"/>
            <w:gridSpan w:val="3"/>
          </w:tcPr>
          <w:p>
            <w:pPr>
              <w:spacing w:after="0"/>
              <w:rPr>
                <w:sz w:val="20"/>
                <w:szCs w:val="20"/>
                <w:color w:val="auto"/>
              </w:rPr>
            </w:pPr>
            <w:r>
              <w:rPr>
                <w:rFonts w:ascii="Arial" w:cs="Arial" w:eastAsia="Arial" w:hAnsi="Arial"/>
                <w:sz w:val="17"/>
                <w:szCs w:val="17"/>
                <w:color w:val="auto"/>
              </w:rPr>
              <w:t>Aechelon Technology, Inc.</w:t>
            </w:r>
          </w:p>
        </w:tc>
        <w:tc>
          <w:tcPr>
            <w:tcW w:w="1140" w:type="dxa"/>
            <w:vAlign w:val="bottom"/>
            <w:gridSpan w:val="2"/>
          </w:tcPr>
          <w:p>
            <w:pPr>
              <w:jc w:val="right"/>
              <w:ind w:right="57"/>
              <w:spacing w:after="0"/>
              <w:rPr>
                <w:sz w:val="20"/>
                <w:szCs w:val="20"/>
                <w:color w:val="auto"/>
              </w:rPr>
            </w:pPr>
            <w:r>
              <w:rPr>
                <w:rFonts w:ascii="Arial" w:cs="Arial" w:eastAsia="Arial" w:hAnsi="Arial"/>
                <w:sz w:val="17"/>
                <w:szCs w:val="17"/>
                <w:color w:val="auto"/>
                <w:w w:val="98"/>
              </w:rPr>
              <w:t>6,930,000.00</w:t>
            </w:r>
          </w:p>
        </w:tc>
        <w:tc>
          <w:tcPr>
            <w:tcW w:w="2840" w:type="dxa"/>
            <w:vAlign w:val="bottom"/>
          </w:tcPr>
          <w:p>
            <w:pPr>
              <w:spacing w:after="0"/>
              <w:rPr>
                <w:sz w:val="23"/>
                <w:szCs w:val="23"/>
                <w:color w:val="auto"/>
              </w:rPr>
            </w:pPr>
          </w:p>
        </w:tc>
      </w:tr>
      <w:tr>
        <w:trPr>
          <w:trHeight w:val="283"/>
        </w:trPr>
        <w:tc>
          <w:tcPr>
            <w:tcW w:w="2140" w:type="dxa"/>
            <w:vAlign w:val="bottom"/>
            <w:gridSpan w:val="3"/>
          </w:tcPr>
          <w:p>
            <w:pPr>
              <w:spacing w:after="0"/>
              <w:rPr>
                <w:sz w:val="20"/>
                <w:szCs w:val="20"/>
                <w:color w:val="auto"/>
              </w:rPr>
            </w:pPr>
            <w:r>
              <w:rPr>
                <w:rFonts w:ascii="Arial" w:cs="Arial" w:eastAsia="Arial" w:hAnsi="Arial"/>
                <w:sz w:val="17"/>
                <w:szCs w:val="17"/>
                <w:color w:val="auto"/>
              </w:rPr>
              <w:t>AFC Dell Holding Corp.</w:t>
            </w:r>
          </w:p>
        </w:tc>
        <w:tc>
          <w:tcPr>
            <w:tcW w:w="1140" w:type="dxa"/>
            <w:vAlign w:val="bottom"/>
            <w:gridSpan w:val="2"/>
          </w:tcPr>
          <w:p>
            <w:pPr>
              <w:jc w:val="right"/>
              <w:ind w:right="57"/>
              <w:spacing w:after="0"/>
              <w:rPr>
                <w:sz w:val="20"/>
                <w:szCs w:val="20"/>
                <w:color w:val="auto"/>
              </w:rPr>
            </w:pPr>
            <w:r>
              <w:rPr>
                <w:rFonts w:ascii="Arial" w:cs="Arial" w:eastAsia="Arial" w:hAnsi="Arial"/>
                <w:sz w:val="17"/>
                <w:szCs w:val="17"/>
                <w:color w:val="auto"/>
                <w:w w:val="98"/>
              </w:rPr>
              <w:t>8,000,000.00</w:t>
            </w:r>
          </w:p>
        </w:tc>
        <w:tc>
          <w:tcPr>
            <w:tcW w:w="2840" w:type="dxa"/>
            <w:vAlign w:val="bottom"/>
          </w:tcPr>
          <w:p>
            <w:pPr>
              <w:spacing w:after="0"/>
              <w:rPr>
                <w:sz w:val="24"/>
                <w:szCs w:val="24"/>
                <w:color w:val="auto"/>
              </w:rPr>
            </w:pPr>
          </w:p>
        </w:tc>
      </w:tr>
      <w:tr>
        <w:trPr>
          <w:trHeight w:val="270"/>
        </w:trPr>
        <w:tc>
          <w:tcPr>
            <w:tcW w:w="6120" w:type="dxa"/>
            <w:vAlign w:val="bottom"/>
            <w:gridSpan w:val="6"/>
          </w:tcPr>
          <w:p>
            <w:pPr>
              <w:spacing w:after="0"/>
              <w:rPr>
                <w:sz w:val="20"/>
                <w:szCs w:val="20"/>
                <w:color w:val="auto"/>
              </w:rPr>
            </w:pPr>
            <w:r>
              <w:rPr>
                <w:rFonts w:ascii="Arial" w:cs="Arial" w:eastAsia="Arial" w:hAnsi="Arial"/>
                <w:sz w:val="17"/>
                <w:szCs w:val="17"/>
                <w:color w:val="auto"/>
              </w:rPr>
              <w:t>Amsive Holding Corporation (f/k/a Vision Purchaser Corporation)   2,110,492.66</w:t>
            </w:r>
          </w:p>
        </w:tc>
      </w:tr>
      <w:tr>
        <w:trPr>
          <w:trHeight w:val="283"/>
        </w:trPr>
        <w:tc>
          <w:tcPr>
            <w:tcW w:w="6120" w:type="dxa"/>
            <w:vAlign w:val="bottom"/>
            <w:gridSpan w:val="6"/>
          </w:tcPr>
          <w:p>
            <w:pPr>
              <w:spacing w:after="0"/>
              <w:rPr>
                <w:sz w:val="20"/>
                <w:szCs w:val="20"/>
                <w:color w:val="auto"/>
              </w:rPr>
            </w:pPr>
            <w:r>
              <w:rPr>
                <w:rFonts w:ascii="Arial" w:cs="Arial" w:eastAsia="Arial" w:hAnsi="Arial"/>
                <w:sz w:val="17"/>
                <w:szCs w:val="17"/>
                <w:color w:val="auto"/>
              </w:rPr>
              <w:t>Applied Technical Services, LLC  1,778,982.07</w:t>
            </w:r>
          </w:p>
        </w:tc>
      </w:tr>
      <w:tr>
        <w:trPr>
          <w:trHeight w:val="270"/>
        </w:trPr>
        <w:tc>
          <w:tcPr>
            <w:tcW w:w="2140" w:type="dxa"/>
            <w:vAlign w:val="bottom"/>
            <w:gridSpan w:val="3"/>
          </w:tcPr>
          <w:p>
            <w:pPr>
              <w:spacing w:after="0"/>
              <w:rPr>
                <w:sz w:val="20"/>
                <w:szCs w:val="20"/>
                <w:color w:val="auto"/>
              </w:rPr>
            </w:pPr>
            <w:r>
              <w:rPr>
                <w:rFonts w:ascii="Arial" w:cs="Arial" w:eastAsia="Arial" w:hAnsi="Arial"/>
                <w:sz w:val="17"/>
                <w:szCs w:val="17"/>
                <w:color w:val="auto"/>
              </w:rPr>
              <w:t>Arcfield Acquisition Corp.</w:t>
            </w:r>
          </w:p>
        </w:tc>
        <w:tc>
          <w:tcPr>
            <w:tcW w:w="1140" w:type="dxa"/>
            <w:vAlign w:val="bottom"/>
            <w:gridSpan w:val="2"/>
          </w:tcPr>
          <w:p>
            <w:pPr>
              <w:jc w:val="right"/>
              <w:ind w:right="57"/>
              <w:spacing w:after="0"/>
              <w:rPr>
                <w:sz w:val="20"/>
                <w:szCs w:val="20"/>
                <w:color w:val="auto"/>
              </w:rPr>
            </w:pPr>
            <w:r>
              <w:rPr>
                <w:rFonts w:ascii="Arial" w:cs="Arial" w:eastAsia="Arial" w:hAnsi="Arial"/>
                <w:sz w:val="17"/>
                <w:szCs w:val="17"/>
                <w:color w:val="auto"/>
                <w:w w:val="98"/>
              </w:rPr>
              <w:t>8,000,000.00</w:t>
            </w:r>
          </w:p>
        </w:tc>
        <w:tc>
          <w:tcPr>
            <w:tcW w:w="2840" w:type="dxa"/>
            <w:vAlign w:val="bottom"/>
          </w:tcPr>
          <w:p>
            <w:pPr>
              <w:spacing w:after="0"/>
              <w:rPr>
                <w:sz w:val="23"/>
                <w:szCs w:val="23"/>
                <w:color w:val="auto"/>
              </w:rPr>
            </w:pPr>
          </w:p>
        </w:tc>
      </w:tr>
      <w:tr>
        <w:trPr>
          <w:trHeight w:val="283"/>
        </w:trPr>
        <w:tc>
          <w:tcPr>
            <w:tcW w:w="1700" w:type="dxa"/>
            <w:vAlign w:val="bottom"/>
            <w:gridSpan w:val="2"/>
          </w:tcPr>
          <w:p>
            <w:pPr>
              <w:spacing w:after="0"/>
              <w:rPr>
                <w:sz w:val="20"/>
                <w:szCs w:val="20"/>
                <w:color w:val="auto"/>
              </w:rPr>
            </w:pPr>
            <w:r>
              <w:rPr>
                <w:rFonts w:ascii="Arial" w:cs="Arial" w:eastAsia="Arial" w:hAnsi="Arial"/>
                <w:sz w:val="17"/>
                <w:szCs w:val="17"/>
                <w:color w:val="auto"/>
              </w:rPr>
              <w:t>Archer Lewis, LLC</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8,000,000.00</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4"/>
        </w:trPr>
        <w:tc>
          <w:tcPr>
            <w:tcW w:w="2920" w:type="dxa"/>
            <w:vAlign w:val="bottom"/>
            <w:gridSpan w:val="4"/>
          </w:tcPr>
          <w:p>
            <w:pPr>
              <w:spacing w:after="0"/>
              <w:rPr>
                <w:sz w:val="20"/>
                <w:szCs w:val="20"/>
                <w:color w:val="auto"/>
              </w:rPr>
            </w:pPr>
            <w:r>
              <w:rPr>
                <w:rFonts w:ascii="Arial" w:cs="Arial" w:eastAsia="Arial" w:hAnsi="Arial"/>
                <w:sz w:val="17"/>
                <w:szCs w:val="17"/>
                <w:color w:val="auto"/>
              </w:rPr>
              <w:t>ARGANO, LLC   8,000,000.00</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70"/>
        </w:trPr>
        <w:tc>
          <w:tcPr>
            <w:tcW w:w="3280" w:type="dxa"/>
            <w:vAlign w:val="bottom"/>
            <w:gridSpan w:val="5"/>
          </w:tcPr>
          <w:p>
            <w:pPr>
              <w:spacing w:after="0"/>
              <w:rPr>
                <w:sz w:val="20"/>
                <w:szCs w:val="20"/>
                <w:color w:val="auto"/>
              </w:rPr>
            </w:pPr>
            <w:r>
              <w:rPr>
                <w:rFonts w:ascii="Arial" w:cs="Arial" w:eastAsia="Arial" w:hAnsi="Arial"/>
                <w:sz w:val="17"/>
                <w:szCs w:val="17"/>
                <w:color w:val="auto"/>
              </w:rPr>
              <w:t>Beacon Behavioral Support Service, LLC</w:t>
            </w:r>
          </w:p>
        </w:tc>
        <w:tc>
          <w:tcPr>
            <w:tcW w:w="2840" w:type="dxa"/>
            <w:vAlign w:val="bottom"/>
          </w:tcPr>
          <w:p>
            <w:pPr>
              <w:jc w:val="right"/>
              <w:ind w:right="1617"/>
              <w:spacing w:after="0"/>
              <w:rPr>
                <w:sz w:val="20"/>
                <w:szCs w:val="20"/>
                <w:color w:val="auto"/>
              </w:rPr>
            </w:pPr>
            <w:r>
              <w:rPr>
                <w:rFonts w:ascii="Arial" w:cs="Arial" w:eastAsia="Arial" w:hAnsi="Arial"/>
                <w:sz w:val="17"/>
                <w:szCs w:val="17"/>
                <w:color w:val="auto"/>
              </w:rPr>
              <w:t>8,000,000.00</w:t>
            </w:r>
          </w:p>
        </w:tc>
      </w:tr>
      <w:tr>
        <w:trPr>
          <w:trHeight w:val="284"/>
        </w:trPr>
        <w:tc>
          <w:tcPr>
            <w:tcW w:w="2140" w:type="dxa"/>
            <w:vAlign w:val="bottom"/>
            <w:gridSpan w:val="3"/>
          </w:tcPr>
          <w:p>
            <w:pPr>
              <w:spacing w:after="0"/>
              <w:rPr>
                <w:sz w:val="20"/>
                <w:szCs w:val="20"/>
                <w:color w:val="auto"/>
              </w:rPr>
            </w:pPr>
            <w:r>
              <w:rPr>
                <w:rFonts w:ascii="Arial" w:cs="Arial" w:eastAsia="Arial" w:hAnsi="Arial"/>
                <w:sz w:val="17"/>
                <w:szCs w:val="17"/>
                <w:color w:val="auto"/>
                <w:w w:val="98"/>
              </w:rPr>
              <w:t>Beta Plus Technologies, Inc.</w:t>
            </w:r>
          </w:p>
        </w:tc>
        <w:tc>
          <w:tcPr>
            <w:tcW w:w="3980" w:type="dxa"/>
            <w:vAlign w:val="bottom"/>
            <w:gridSpan w:val="3"/>
          </w:tcPr>
          <w:p>
            <w:pPr>
              <w:jc w:val="right"/>
              <w:ind w:right="2477"/>
              <w:spacing w:after="0"/>
              <w:rPr>
                <w:sz w:val="20"/>
                <w:szCs w:val="20"/>
                <w:color w:val="auto"/>
              </w:rPr>
            </w:pPr>
            <w:r>
              <w:rPr>
                <w:rFonts w:ascii="Arial" w:cs="Arial" w:eastAsia="Arial" w:hAnsi="Arial"/>
                <w:sz w:val="17"/>
                <w:szCs w:val="17"/>
                <w:color w:val="auto"/>
              </w:rPr>
              <w:t>7,939,086.29</w:t>
            </w:r>
          </w:p>
        </w:tc>
      </w:tr>
      <w:tr>
        <w:trPr>
          <w:trHeight w:val="283"/>
        </w:trPr>
        <w:tc>
          <w:tcPr>
            <w:tcW w:w="1700" w:type="dxa"/>
            <w:vAlign w:val="bottom"/>
            <w:gridSpan w:val="2"/>
          </w:tcPr>
          <w:p>
            <w:pPr>
              <w:spacing w:after="0"/>
              <w:rPr>
                <w:sz w:val="20"/>
                <w:szCs w:val="20"/>
                <w:color w:val="auto"/>
              </w:rPr>
            </w:pPr>
            <w:r>
              <w:rPr>
                <w:rFonts w:ascii="Arial" w:cs="Arial" w:eastAsia="Arial" w:hAnsi="Arial"/>
                <w:sz w:val="17"/>
                <w:szCs w:val="17"/>
                <w:color w:val="auto"/>
                <w:w w:val="98"/>
              </w:rPr>
              <w:t>Big Top Holdings, LLC</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8,000,000.00</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70"/>
        </w:trPr>
        <w:tc>
          <w:tcPr>
            <w:tcW w:w="6120" w:type="dxa"/>
            <w:vAlign w:val="bottom"/>
            <w:gridSpan w:val="6"/>
          </w:tcPr>
          <w:p>
            <w:pPr>
              <w:spacing w:after="0"/>
              <w:rPr>
                <w:sz w:val="20"/>
                <w:szCs w:val="20"/>
                <w:color w:val="auto"/>
              </w:rPr>
            </w:pPr>
            <w:r>
              <w:rPr>
                <w:rFonts w:ascii="Arial" w:cs="Arial" w:eastAsia="Arial" w:hAnsi="Arial"/>
                <w:sz w:val="17"/>
                <w:szCs w:val="17"/>
                <w:color w:val="auto"/>
              </w:rPr>
              <w:t>Blackhawk Industrial Distribution, Inc.  2,931,659.84</w:t>
            </w:r>
          </w:p>
        </w:tc>
      </w:tr>
      <w:tr>
        <w:trPr>
          <w:trHeight w:val="283"/>
        </w:trPr>
        <w:tc>
          <w:tcPr>
            <w:tcW w:w="6120" w:type="dxa"/>
            <w:vAlign w:val="bottom"/>
            <w:gridSpan w:val="6"/>
          </w:tcPr>
          <w:p>
            <w:pPr>
              <w:spacing w:after="0"/>
              <w:rPr>
                <w:sz w:val="20"/>
                <w:szCs w:val="20"/>
                <w:color w:val="auto"/>
              </w:rPr>
            </w:pPr>
            <w:r>
              <w:rPr>
                <w:rFonts w:ascii="Arial" w:cs="Arial" w:eastAsia="Arial" w:hAnsi="Arial"/>
                <w:sz w:val="17"/>
                <w:szCs w:val="17"/>
                <w:color w:val="auto"/>
              </w:rPr>
              <w:t>BlueHalo Financing Holdings, LLC 1,634,447.06</w:t>
            </w:r>
          </w:p>
        </w:tc>
      </w:tr>
      <w:tr>
        <w:trPr>
          <w:trHeight w:val="270"/>
        </w:trPr>
        <w:tc>
          <w:tcPr>
            <w:tcW w:w="2920" w:type="dxa"/>
            <w:vAlign w:val="bottom"/>
            <w:gridSpan w:val="4"/>
          </w:tcPr>
          <w:p>
            <w:pPr>
              <w:spacing w:after="0"/>
              <w:rPr>
                <w:sz w:val="20"/>
                <w:szCs w:val="20"/>
                <w:color w:val="auto"/>
              </w:rPr>
            </w:pPr>
            <w:r>
              <w:rPr>
                <w:rFonts w:ascii="Arial" w:cs="Arial" w:eastAsia="Arial" w:hAnsi="Arial"/>
                <w:sz w:val="17"/>
                <w:szCs w:val="17"/>
                <w:color w:val="auto"/>
              </w:rPr>
              <w:t>Burgess Point Purchaser Corporation</w:t>
            </w:r>
          </w:p>
        </w:tc>
        <w:tc>
          <w:tcPr>
            <w:tcW w:w="3200" w:type="dxa"/>
            <w:vAlign w:val="bottom"/>
            <w:gridSpan w:val="2"/>
          </w:tcPr>
          <w:p>
            <w:pPr>
              <w:jc w:val="right"/>
              <w:ind w:right="2037"/>
              <w:spacing w:after="0"/>
              <w:rPr>
                <w:sz w:val="20"/>
                <w:szCs w:val="20"/>
                <w:color w:val="auto"/>
              </w:rPr>
            </w:pPr>
            <w:r>
              <w:rPr>
                <w:rFonts w:ascii="Arial" w:cs="Arial" w:eastAsia="Arial" w:hAnsi="Arial"/>
                <w:sz w:val="17"/>
                <w:szCs w:val="17"/>
                <w:color w:val="auto"/>
              </w:rPr>
              <w:t>7,959,390.86</w:t>
            </w:r>
          </w:p>
        </w:tc>
      </w:tr>
      <w:tr>
        <w:trPr>
          <w:trHeight w:val="283"/>
        </w:trPr>
        <w:tc>
          <w:tcPr>
            <w:tcW w:w="2920" w:type="dxa"/>
            <w:vAlign w:val="bottom"/>
            <w:gridSpan w:val="4"/>
          </w:tcPr>
          <w:p>
            <w:pPr>
              <w:spacing w:after="0"/>
              <w:rPr>
                <w:sz w:val="20"/>
                <w:szCs w:val="20"/>
                <w:color w:val="auto"/>
              </w:rPr>
            </w:pPr>
            <w:r>
              <w:rPr>
                <w:rFonts w:ascii="Arial" w:cs="Arial" w:eastAsia="Arial" w:hAnsi="Arial"/>
                <w:sz w:val="17"/>
                <w:szCs w:val="17"/>
                <w:color w:val="auto"/>
                <w:w w:val="99"/>
              </w:rPr>
              <w:t>By Light Professional IT Services, LLC</w:t>
            </w:r>
          </w:p>
        </w:tc>
        <w:tc>
          <w:tcPr>
            <w:tcW w:w="3200" w:type="dxa"/>
            <w:vAlign w:val="bottom"/>
            <w:gridSpan w:val="2"/>
          </w:tcPr>
          <w:p>
            <w:pPr>
              <w:jc w:val="right"/>
              <w:ind w:right="2037"/>
              <w:spacing w:after="0"/>
              <w:rPr>
                <w:sz w:val="20"/>
                <w:szCs w:val="20"/>
                <w:color w:val="auto"/>
              </w:rPr>
            </w:pPr>
            <w:r>
              <w:rPr>
                <w:rFonts w:ascii="Arial" w:cs="Arial" w:eastAsia="Arial" w:hAnsi="Arial"/>
                <w:sz w:val="17"/>
                <w:szCs w:val="17"/>
                <w:color w:val="auto"/>
              </w:rPr>
              <w:t>8,000,000.00</w:t>
            </w:r>
          </w:p>
        </w:tc>
      </w:tr>
      <w:tr>
        <w:trPr>
          <w:trHeight w:val="270"/>
        </w:trPr>
        <w:tc>
          <w:tcPr>
            <w:tcW w:w="1700" w:type="dxa"/>
            <w:vAlign w:val="bottom"/>
            <w:gridSpan w:val="2"/>
          </w:tcPr>
          <w:p>
            <w:pPr>
              <w:spacing w:after="0"/>
              <w:rPr>
                <w:sz w:val="20"/>
                <w:szCs w:val="20"/>
                <w:color w:val="auto"/>
              </w:rPr>
            </w:pPr>
            <w:r>
              <w:rPr>
                <w:rFonts w:ascii="Arial" w:cs="Arial" w:eastAsia="Arial" w:hAnsi="Arial"/>
                <w:sz w:val="17"/>
                <w:szCs w:val="17"/>
                <w:color w:val="auto"/>
              </w:rPr>
              <w:t>Carnegie Dartlet, LLC</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8,000,000.00</w:t>
            </w:r>
          </w:p>
        </w:tc>
        <w:tc>
          <w:tcPr>
            <w:tcW w:w="360" w:type="dxa"/>
            <w:vAlign w:val="bottom"/>
          </w:tcPr>
          <w:p>
            <w:pPr>
              <w:spacing w:after="0"/>
              <w:rPr>
                <w:sz w:val="23"/>
                <w:szCs w:val="23"/>
                <w:color w:val="auto"/>
              </w:rPr>
            </w:pPr>
          </w:p>
        </w:tc>
        <w:tc>
          <w:tcPr>
            <w:tcW w:w="2840" w:type="dxa"/>
            <w:vAlign w:val="bottom"/>
          </w:tcPr>
          <w:p>
            <w:pPr>
              <w:spacing w:after="0"/>
              <w:rPr>
                <w:sz w:val="23"/>
                <w:szCs w:val="23"/>
                <w:color w:val="auto"/>
              </w:rPr>
            </w:pPr>
          </w:p>
        </w:tc>
      </w:tr>
      <w:tr>
        <w:trPr>
          <w:trHeight w:val="283"/>
        </w:trPr>
        <w:tc>
          <w:tcPr>
            <w:tcW w:w="2140" w:type="dxa"/>
            <w:vAlign w:val="bottom"/>
            <w:gridSpan w:val="3"/>
          </w:tcPr>
          <w:p>
            <w:pPr>
              <w:spacing w:after="0"/>
              <w:rPr>
                <w:sz w:val="20"/>
                <w:szCs w:val="20"/>
                <w:color w:val="auto"/>
              </w:rPr>
            </w:pPr>
            <w:r>
              <w:rPr>
                <w:rFonts w:ascii="Arial" w:cs="Arial" w:eastAsia="Arial" w:hAnsi="Arial"/>
                <w:sz w:val="17"/>
                <w:szCs w:val="17"/>
                <w:color w:val="auto"/>
              </w:rPr>
              <w:t>Cartessa Aesthetics, LLC</w:t>
            </w:r>
          </w:p>
        </w:tc>
        <w:tc>
          <w:tcPr>
            <w:tcW w:w="1140" w:type="dxa"/>
            <w:vAlign w:val="bottom"/>
            <w:gridSpan w:val="2"/>
          </w:tcPr>
          <w:p>
            <w:pPr>
              <w:jc w:val="right"/>
              <w:ind w:right="57"/>
              <w:spacing w:after="0"/>
              <w:rPr>
                <w:sz w:val="20"/>
                <w:szCs w:val="20"/>
                <w:color w:val="auto"/>
              </w:rPr>
            </w:pPr>
            <w:r>
              <w:rPr>
                <w:rFonts w:ascii="Arial" w:cs="Arial" w:eastAsia="Arial" w:hAnsi="Arial"/>
                <w:sz w:val="17"/>
                <w:szCs w:val="17"/>
                <w:color w:val="auto"/>
                <w:w w:val="98"/>
              </w:rPr>
              <w:t>1,112,579.91</w:t>
            </w:r>
          </w:p>
        </w:tc>
        <w:tc>
          <w:tcPr>
            <w:tcW w:w="2840" w:type="dxa"/>
            <w:vAlign w:val="bottom"/>
          </w:tcPr>
          <w:p>
            <w:pPr>
              <w:spacing w:after="0"/>
              <w:rPr>
                <w:sz w:val="24"/>
                <w:szCs w:val="24"/>
                <w:color w:val="auto"/>
              </w:rPr>
            </w:pPr>
          </w:p>
        </w:tc>
      </w:tr>
      <w:tr>
        <w:trPr>
          <w:trHeight w:val="283"/>
        </w:trPr>
        <w:tc>
          <w:tcPr>
            <w:tcW w:w="1700" w:type="dxa"/>
            <w:vAlign w:val="bottom"/>
            <w:gridSpan w:val="2"/>
          </w:tcPr>
          <w:p>
            <w:pPr>
              <w:spacing w:after="0"/>
              <w:rPr>
                <w:sz w:val="20"/>
                <w:szCs w:val="20"/>
                <w:color w:val="auto"/>
              </w:rPr>
            </w:pPr>
            <w:r>
              <w:rPr>
                <w:rFonts w:ascii="Arial" w:cs="Arial" w:eastAsia="Arial" w:hAnsi="Arial"/>
                <w:sz w:val="17"/>
                <w:szCs w:val="17"/>
                <w:color w:val="auto"/>
              </w:rPr>
              <w:t>CJX Borrower, LLC</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750,000.00</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4"/>
        </w:trPr>
        <w:tc>
          <w:tcPr>
            <w:tcW w:w="1700" w:type="dxa"/>
            <w:vAlign w:val="bottom"/>
            <w:gridSpan w:val="2"/>
          </w:tcPr>
          <w:p>
            <w:pPr>
              <w:spacing w:after="0"/>
              <w:rPr>
                <w:sz w:val="20"/>
                <w:szCs w:val="20"/>
                <w:color w:val="auto"/>
              </w:rPr>
            </w:pPr>
            <w:r>
              <w:rPr>
                <w:rFonts w:ascii="Arial" w:cs="Arial" w:eastAsia="Arial" w:hAnsi="Arial"/>
                <w:sz w:val="17"/>
                <w:szCs w:val="17"/>
                <w:color w:val="auto"/>
              </w:rPr>
              <w:t>Crane 1 Services, Inc.</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3,393,075.96</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70"/>
        </w:trPr>
        <w:tc>
          <w:tcPr>
            <w:tcW w:w="1700" w:type="dxa"/>
            <w:vAlign w:val="bottom"/>
            <w:gridSpan w:val="2"/>
          </w:tcPr>
          <w:p>
            <w:pPr>
              <w:spacing w:after="0"/>
              <w:rPr>
                <w:sz w:val="20"/>
                <w:szCs w:val="20"/>
                <w:color w:val="auto"/>
              </w:rPr>
            </w:pPr>
            <w:r>
              <w:rPr>
                <w:rFonts w:ascii="Arial" w:cs="Arial" w:eastAsia="Arial" w:hAnsi="Arial"/>
                <w:sz w:val="17"/>
                <w:szCs w:val="17"/>
                <w:color w:val="auto"/>
              </w:rPr>
              <w:t>C5MI Holdco, LLC</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8,000,000.00</w:t>
            </w:r>
          </w:p>
        </w:tc>
        <w:tc>
          <w:tcPr>
            <w:tcW w:w="360" w:type="dxa"/>
            <w:vAlign w:val="bottom"/>
          </w:tcPr>
          <w:p>
            <w:pPr>
              <w:spacing w:after="0"/>
              <w:rPr>
                <w:sz w:val="23"/>
                <w:szCs w:val="23"/>
                <w:color w:val="auto"/>
              </w:rPr>
            </w:pPr>
          </w:p>
        </w:tc>
        <w:tc>
          <w:tcPr>
            <w:tcW w:w="2840" w:type="dxa"/>
            <w:vAlign w:val="bottom"/>
          </w:tcPr>
          <w:p>
            <w:pPr>
              <w:spacing w:after="0"/>
              <w:rPr>
                <w:sz w:val="23"/>
                <w:szCs w:val="23"/>
                <w:color w:val="auto"/>
              </w:rPr>
            </w:pPr>
          </w:p>
        </w:tc>
      </w:tr>
      <w:tr>
        <w:trPr>
          <w:trHeight w:val="284"/>
        </w:trPr>
        <w:tc>
          <w:tcPr>
            <w:tcW w:w="1700" w:type="dxa"/>
            <w:vAlign w:val="bottom"/>
            <w:gridSpan w:val="2"/>
          </w:tcPr>
          <w:p>
            <w:pPr>
              <w:spacing w:after="0"/>
              <w:rPr>
                <w:sz w:val="20"/>
                <w:szCs w:val="20"/>
                <w:color w:val="auto"/>
              </w:rPr>
            </w:pPr>
            <w:r>
              <w:rPr>
                <w:rFonts w:ascii="Arial" w:cs="Arial" w:eastAsia="Arial" w:hAnsi="Arial"/>
                <w:sz w:val="17"/>
                <w:szCs w:val="17"/>
                <w:color w:val="auto"/>
              </w:rPr>
              <w:t>Dr. Squatch, LLC</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8,000,000.00</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3"/>
        </w:trPr>
        <w:tc>
          <w:tcPr>
            <w:tcW w:w="1700" w:type="dxa"/>
            <w:vAlign w:val="bottom"/>
            <w:gridSpan w:val="2"/>
          </w:tcPr>
          <w:p>
            <w:pPr>
              <w:spacing w:after="0"/>
              <w:rPr>
                <w:sz w:val="20"/>
                <w:szCs w:val="20"/>
                <w:color w:val="auto"/>
              </w:rPr>
            </w:pPr>
            <w:r>
              <w:rPr>
                <w:rFonts w:ascii="Arial" w:cs="Arial" w:eastAsia="Arial" w:hAnsi="Arial"/>
                <w:sz w:val="17"/>
                <w:szCs w:val="17"/>
                <w:color w:val="auto"/>
              </w:rPr>
              <w:t>DRS Holdings III, Inc.</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8,000,000.00</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auto"/>
              </w:rPr>
              <w:t>Duggal Acquisition, LLC</w:t>
            </w:r>
          </w:p>
        </w:tc>
        <w:tc>
          <w:tcPr>
            <w:tcW w:w="1600" w:type="dxa"/>
            <w:vAlign w:val="bottom"/>
            <w:gridSpan w:val="3"/>
          </w:tcPr>
          <w:p>
            <w:pPr>
              <w:ind w:left="40"/>
              <w:spacing w:after="0"/>
              <w:rPr>
                <w:sz w:val="20"/>
                <w:szCs w:val="20"/>
                <w:color w:val="auto"/>
              </w:rPr>
            </w:pPr>
            <w:r>
              <w:rPr>
                <w:rFonts w:ascii="Arial" w:cs="Arial" w:eastAsia="Arial" w:hAnsi="Arial"/>
                <w:sz w:val="17"/>
                <w:szCs w:val="17"/>
                <w:color w:val="auto"/>
              </w:rPr>
              <w:t>8,000,000.00</w:t>
            </w:r>
          </w:p>
        </w:tc>
        <w:tc>
          <w:tcPr>
            <w:tcW w:w="7540" w:type="dxa"/>
            <w:vAlign w:val="bottom"/>
          </w:tcPr>
          <w:p>
            <w:pPr>
              <w:spacing w:after="0"/>
              <w:rPr>
                <w:sz w:val="16"/>
                <w:szCs w:val="16"/>
                <w:color w:val="auto"/>
              </w:rPr>
            </w:pPr>
          </w:p>
        </w:tc>
      </w:tr>
      <w:tr>
        <w:trPr>
          <w:trHeight w:val="283"/>
        </w:trPr>
        <w:tc>
          <w:tcPr>
            <w:tcW w:w="2560" w:type="dxa"/>
            <w:vAlign w:val="bottom"/>
            <w:gridSpan w:val="3"/>
          </w:tcPr>
          <w:p>
            <w:pPr>
              <w:spacing w:after="0"/>
              <w:rPr>
                <w:sz w:val="20"/>
                <w:szCs w:val="20"/>
                <w:color w:val="auto"/>
              </w:rPr>
            </w:pPr>
            <w:r>
              <w:rPr>
                <w:rFonts w:ascii="Arial" w:cs="Arial" w:eastAsia="Arial" w:hAnsi="Arial"/>
                <w:sz w:val="17"/>
                <w:szCs w:val="17"/>
                <w:color w:val="auto"/>
              </w:rPr>
              <w:t>Emergency Care Partners, LLC</w:t>
            </w:r>
          </w:p>
        </w:tc>
        <w:tc>
          <w:tcPr>
            <w:tcW w:w="1140" w:type="dxa"/>
            <w:vAlign w:val="bottom"/>
            <w:gridSpan w:val="2"/>
          </w:tcPr>
          <w:p>
            <w:pPr>
              <w:ind w:left="20"/>
              <w:spacing w:after="0"/>
              <w:rPr>
                <w:sz w:val="20"/>
                <w:szCs w:val="20"/>
                <w:color w:val="auto"/>
              </w:rPr>
            </w:pPr>
            <w:r>
              <w:rPr>
                <w:rFonts w:ascii="Arial" w:cs="Arial" w:eastAsia="Arial" w:hAnsi="Arial"/>
                <w:sz w:val="17"/>
                <w:szCs w:val="17"/>
                <w:color w:val="auto"/>
              </w:rPr>
              <w:t>8,000,000.00</w:t>
            </w:r>
          </w:p>
        </w:tc>
        <w:tc>
          <w:tcPr>
            <w:tcW w:w="7540" w:type="dxa"/>
            <w:vAlign w:val="bottom"/>
          </w:tcPr>
          <w:p>
            <w:pPr>
              <w:spacing w:after="0"/>
              <w:rPr>
                <w:sz w:val="24"/>
                <w:szCs w:val="24"/>
                <w:color w:val="auto"/>
              </w:rPr>
            </w:pPr>
          </w:p>
        </w:tc>
      </w:tr>
      <w:tr>
        <w:trPr>
          <w:trHeight w:val="270"/>
        </w:trPr>
        <w:tc>
          <w:tcPr>
            <w:tcW w:w="3700" w:type="dxa"/>
            <w:vAlign w:val="bottom"/>
            <w:gridSpan w:val="5"/>
          </w:tcPr>
          <w:p>
            <w:pPr>
              <w:spacing w:after="0"/>
              <w:rPr>
                <w:sz w:val="20"/>
                <w:szCs w:val="20"/>
                <w:color w:val="auto"/>
              </w:rPr>
            </w:pPr>
            <w:r>
              <w:rPr>
                <w:rFonts w:ascii="Arial" w:cs="Arial" w:eastAsia="Arial" w:hAnsi="Arial"/>
                <w:sz w:val="17"/>
                <w:szCs w:val="17"/>
                <w:color w:val="auto"/>
              </w:rPr>
              <w:t>Eval Home Health Solutions Intermediate, LLC</w:t>
            </w:r>
          </w:p>
        </w:tc>
        <w:tc>
          <w:tcPr>
            <w:tcW w:w="7540" w:type="dxa"/>
            <w:vAlign w:val="bottom"/>
          </w:tcPr>
          <w:p>
            <w:pPr>
              <w:jc w:val="right"/>
              <w:ind w:right="6317"/>
              <w:spacing w:after="0"/>
              <w:rPr>
                <w:sz w:val="20"/>
                <w:szCs w:val="20"/>
                <w:color w:val="auto"/>
              </w:rPr>
            </w:pPr>
            <w:r>
              <w:rPr>
                <w:rFonts w:ascii="Arial" w:cs="Arial" w:eastAsia="Arial" w:hAnsi="Arial"/>
                <w:sz w:val="17"/>
                <w:szCs w:val="17"/>
                <w:color w:val="auto"/>
              </w:rPr>
              <w:t>8,000,000.00</w:t>
            </w:r>
          </w:p>
        </w:tc>
      </w:tr>
      <w:tr>
        <w:trPr>
          <w:trHeight w:val="284"/>
        </w:trPr>
        <w:tc>
          <w:tcPr>
            <w:tcW w:w="2100" w:type="dxa"/>
            <w:vAlign w:val="bottom"/>
            <w:gridSpan w:val="2"/>
          </w:tcPr>
          <w:p>
            <w:pPr>
              <w:spacing w:after="0"/>
              <w:rPr>
                <w:sz w:val="20"/>
                <w:szCs w:val="20"/>
                <w:color w:val="auto"/>
              </w:rPr>
            </w:pPr>
            <w:r>
              <w:rPr>
                <w:rFonts w:ascii="Arial" w:cs="Arial" w:eastAsia="Arial" w:hAnsi="Arial"/>
                <w:sz w:val="17"/>
                <w:szCs w:val="17"/>
                <w:color w:val="auto"/>
              </w:rPr>
              <w:t>Fairbanks Morse Defense</w:t>
            </w:r>
          </w:p>
        </w:tc>
        <w:tc>
          <w:tcPr>
            <w:tcW w:w="900" w:type="dxa"/>
            <w:vAlign w:val="bottom"/>
            <w:gridSpan w:val="2"/>
          </w:tcPr>
          <w:p>
            <w:pPr>
              <w:ind w:left="40"/>
              <w:spacing w:after="0"/>
              <w:rPr>
                <w:sz w:val="20"/>
                <w:szCs w:val="20"/>
                <w:color w:val="auto"/>
              </w:rPr>
            </w:pPr>
            <w:r>
              <w:rPr>
                <w:rFonts w:ascii="Arial" w:cs="Arial" w:eastAsia="Arial" w:hAnsi="Arial"/>
                <w:sz w:val="17"/>
                <w:szCs w:val="17"/>
                <w:color w:val="auto"/>
                <w:w w:val="98"/>
              </w:rPr>
              <w:t>992,397.71</w:t>
            </w: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83"/>
        </w:trPr>
        <w:tc>
          <w:tcPr>
            <w:tcW w:w="1640" w:type="dxa"/>
            <w:vAlign w:val="bottom"/>
          </w:tcPr>
          <w:p>
            <w:pPr>
              <w:spacing w:after="0"/>
              <w:rPr>
                <w:sz w:val="20"/>
                <w:szCs w:val="20"/>
                <w:color w:val="auto"/>
              </w:rPr>
            </w:pPr>
            <w:r>
              <w:rPr>
                <w:rFonts w:ascii="Arial" w:cs="Arial" w:eastAsia="Arial" w:hAnsi="Arial"/>
                <w:sz w:val="17"/>
                <w:szCs w:val="17"/>
                <w:color w:val="auto"/>
              </w:rPr>
              <w:t>GGG MIDCO, LLC</w:t>
            </w:r>
          </w:p>
        </w:tc>
        <w:tc>
          <w:tcPr>
            <w:tcW w:w="1360" w:type="dxa"/>
            <w:vAlign w:val="bottom"/>
            <w:gridSpan w:val="3"/>
          </w:tcPr>
          <w:p>
            <w:pPr>
              <w:ind w:left="80"/>
              <w:spacing w:after="0"/>
              <w:rPr>
                <w:sz w:val="20"/>
                <w:szCs w:val="20"/>
                <w:color w:val="auto"/>
              </w:rPr>
            </w:pPr>
            <w:r>
              <w:rPr>
                <w:rFonts w:ascii="Arial" w:cs="Arial" w:eastAsia="Arial" w:hAnsi="Arial"/>
                <w:sz w:val="17"/>
                <w:szCs w:val="17"/>
                <w:color w:val="auto"/>
              </w:rPr>
              <w:t>8,000,000.00</w:t>
            </w: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83"/>
        </w:trPr>
        <w:tc>
          <w:tcPr>
            <w:tcW w:w="1640" w:type="dxa"/>
            <w:vAlign w:val="bottom"/>
          </w:tcPr>
          <w:p>
            <w:pPr>
              <w:spacing w:after="0"/>
              <w:rPr>
                <w:sz w:val="20"/>
                <w:szCs w:val="20"/>
                <w:color w:val="auto"/>
              </w:rPr>
            </w:pPr>
            <w:r>
              <w:rPr>
                <w:rFonts w:ascii="Arial" w:cs="Arial" w:eastAsia="Arial" w:hAnsi="Arial"/>
                <w:sz w:val="17"/>
                <w:szCs w:val="17"/>
                <w:color w:val="auto"/>
              </w:rPr>
              <w:t>Graffiti Buyer, Inc.</w:t>
            </w:r>
          </w:p>
        </w:tc>
        <w:tc>
          <w:tcPr>
            <w:tcW w:w="920" w:type="dxa"/>
            <w:vAlign w:val="bottom"/>
            <w:gridSpan w:val="2"/>
          </w:tcPr>
          <w:p>
            <w:pPr>
              <w:ind w:left="80"/>
              <w:spacing w:after="0"/>
              <w:rPr>
                <w:sz w:val="20"/>
                <w:szCs w:val="20"/>
                <w:color w:val="auto"/>
              </w:rPr>
            </w:pPr>
            <w:r>
              <w:rPr>
                <w:rFonts w:ascii="Arial" w:cs="Arial" w:eastAsia="Arial" w:hAnsi="Arial"/>
                <w:sz w:val="17"/>
                <w:szCs w:val="17"/>
                <w:color w:val="auto"/>
                <w:w w:val="96"/>
              </w:rPr>
              <w:t>292,326.29</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70"/>
        </w:trPr>
        <w:tc>
          <w:tcPr>
            <w:tcW w:w="2560" w:type="dxa"/>
            <w:vAlign w:val="bottom"/>
            <w:gridSpan w:val="3"/>
          </w:tcPr>
          <w:p>
            <w:pPr>
              <w:spacing w:after="0"/>
              <w:rPr>
                <w:sz w:val="20"/>
                <w:szCs w:val="20"/>
                <w:color w:val="auto"/>
              </w:rPr>
            </w:pPr>
            <w:r>
              <w:rPr>
                <w:rFonts w:ascii="Arial" w:cs="Arial" w:eastAsia="Arial" w:hAnsi="Arial"/>
                <w:sz w:val="17"/>
                <w:szCs w:val="17"/>
                <w:color w:val="auto"/>
              </w:rPr>
              <w:t>Harris &amp; Co. LLC 8,000,000.00</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540" w:type="dxa"/>
            <w:vAlign w:val="bottom"/>
          </w:tcPr>
          <w:p>
            <w:pPr>
              <w:spacing w:after="0"/>
              <w:rPr>
                <w:sz w:val="23"/>
                <w:szCs w:val="23"/>
                <w:color w:val="auto"/>
              </w:rPr>
            </w:pPr>
          </w:p>
        </w:tc>
      </w:tr>
      <w:tr>
        <w:trPr>
          <w:trHeight w:val="283"/>
        </w:trPr>
        <w:tc>
          <w:tcPr>
            <w:tcW w:w="1640" w:type="dxa"/>
            <w:vAlign w:val="bottom"/>
          </w:tcPr>
          <w:p>
            <w:pPr>
              <w:spacing w:after="0"/>
              <w:rPr>
                <w:sz w:val="20"/>
                <w:szCs w:val="20"/>
                <w:color w:val="auto"/>
              </w:rPr>
            </w:pPr>
            <w:r>
              <w:rPr>
                <w:rFonts w:ascii="Arial" w:cs="Arial" w:eastAsia="Arial" w:hAnsi="Arial"/>
                <w:sz w:val="17"/>
                <w:szCs w:val="17"/>
                <w:color w:val="auto"/>
                <w:w w:val="98"/>
              </w:rPr>
              <w:t>HEC Purchaser Corp.</w:t>
            </w:r>
          </w:p>
        </w:tc>
        <w:tc>
          <w:tcPr>
            <w:tcW w:w="1360" w:type="dxa"/>
            <w:vAlign w:val="bottom"/>
            <w:gridSpan w:val="3"/>
          </w:tcPr>
          <w:p>
            <w:pPr>
              <w:ind w:left="80"/>
              <w:spacing w:after="0"/>
              <w:rPr>
                <w:sz w:val="20"/>
                <w:szCs w:val="20"/>
                <w:color w:val="auto"/>
              </w:rPr>
            </w:pPr>
            <w:r>
              <w:rPr>
                <w:rFonts w:ascii="Arial" w:cs="Arial" w:eastAsia="Arial" w:hAnsi="Arial"/>
                <w:sz w:val="17"/>
                <w:szCs w:val="17"/>
                <w:color w:val="auto"/>
              </w:rPr>
              <w:t>4,651,625.00</w:t>
            </w: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84"/>
        </w:trPr>
        <w:tc>
          <w:tcPr>
            <w:tcW w:w="2560" w:type="dxa"/>
            <w:vAlign w:val="bottom"/>
            <w:gridSpan w:val="3"/>
          </w:tcPr>
          <w:p>
            <w:pPr>
              <w:spacing w:after="0"/>
              <w:rPr>
                <w:sz w:val="20"/>
                <w:szCs w:val="20"/>
                <w:color w:val="auto"/>
              </w:rPr>
            </w:pPr>
            <w:r>
              <w:rPr>
                <w:rFonts w:ascii="Arial" w:cs="Arial" w:eastAsia="Arial" w:hAnsi="Arial"/>
                <w:sz w:val="17"/>
                <w:szCs w:val="17"/>
                <w:color w:val="auto"/>
              </w:rPr>
              <w:t>HW Holdco, LLC 1,502,372.68</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70"/>
        </w:trPr>
        <w:tc>
          <w:tcPr>
            <w:tcW w:w="2560" w:type="dxa"/>
            <w:vAlign w:val="bottom"/>
            <w:gridSpan w:val="3"/>
          </w:tcPr>
          <w:p>
            <w:pPr>
              <w:spacing w:after="0"/>
              <w:rPr>
                <w:sz w:val="20"/>
                <w:szCs w:val="20"/>
                <w:color w:val="auto"/>
              </w:rPr>
            </w:pPr>
            <w:r>
              <w:rPr>
                <w:rFonts w:ascii="Arial" w:cs="Arial" w:eastAsia="Arial" w:hAnsi="Arial"/>
                <w:sz w:val="17"/>
                <w:szCs w:val="17"/>
                <w:color w:val="auto"/>
              </w:rPr>
              <w:t>IG Investments Holdings, LLC</w:t>
            </w:r>
          </w:p>
        </w:tc>
        <w:tc>
          <w:tcPr>
            <w:tcW w:w="1140" w:type="dxa"/>
            <w:vAlign w:val="bottom"/>
            <w:gridSpan w:val="2"/>
          </w:tcPr>
          <w:p>
            <w:pPr>
              <w:ind w:left="20"/>
              <w:spacing w:after="0"/>
              <w:rPr>
                <w:sz w:val="20"/>
                <w:szCs w:val="20"/>
                <w:color w:val="auto"/>
              </w:rPr>
            </w:pPr>
            <w:r>
              <w:rPr>
                <w:rFonts w:ascii="Arial" w:cs="Arial" w:eastAsia="Arial" w:hAnsi="Arial"/>
                <w:sz w:val="17"/>
                <w:szCs w:val="17"/>
                <w:color w:val="auto"/>
              </w:rPr>
              <w:t>104,737.50</w:t>
            </w:r>
          </w:p>
        </w:tc>
        <w:tc>
          <w:tcPr>
            <w:tcW w:w="7540" w:type="dxa"/>
            <w:vAlign w:val="bottom"/>
          </w:tcPr>
          <w:p>
            <w:pPr>
              <w:spacing w:after="0"/>
              <w:rPr>
                <w:sz w:val="23"/>
                <w:szCs w:val="23"/>
                <w:color w:val="auto"/>
              </w:rPr>
            </w:pPr>
          </w:p>
        </w:tc>
      </w:tr>
      <w:tr>
        <w:trPr>
          <w:trHeight w:val="283"/>
        </w:trPr>
        <w:tc>
          <w:tcPr>
            <w:tcW w:w="3000" w:type="dxa"/>
            <w:vAlign w:val="bottom"/>
            <w:gridSpan w:val="4"/>
          </w:tcPr>
          <w:p>
            <w:pPr>
              <w:spacing w:after="0"/>
              <w:rPr>
                <w:sz w:val="20"/>
                <w:szCs w:val="20"/>
                <w:color w:val="auto"/>
              </w:rPr>
            </w:pPr>
            <w:r>
              <w:rPr>
                <w:rFonts w:ascii="Arial" w:cs="Arial" w:eastAsia="Arial" w:hAnsi="Arial"/>
                <w:sz w:val="17"/>
                <w:szCs w:val="17"/>
                <w:color w:val="auto"/>
              </w:rPr>
              <w:t>Infinity Home Services Holdco, Inc.</w:t>
            </w:r>
          </w:p>
        </w:tc>
        <w:tc>
          <w:tcPr>
            <w:tcW w:w="8240" w:type="dxa"/>
            <w:vAlign w:val="bottom"/>
            <w:gridSpan w:val="2"/>
          </w:tcPr>
          <w:p>
            <w:pPr>
              <w:jc w:val="right"/>
              <w:ind w:right="7157"/>
              <w:spacing w:after="0"/>
              <w:rPr>
                <w:sz w:val="20"/>
                <w:szCs w:val="20"/>
                <w:color w:val="auto"/>
              </w:rPr>
            </w:pPr>
            <w:r>
              <w:rPr>
                <w:rFonts w:ascii="Arial" w:cs="Arial" w:eastAsia="Arial" w:hAnsi="Arial"/>
                <w:sz w:val="17"/>
                <w:szCs w:val="17"/>
                <w:color w:val="auto"/>
                <w:w w:val="98"/>
              </w:rPr>
              <w:t>8,000,000.00</w:t>
            </w:r>
          </w:p>
        </w:tc>
      </w:tr>
      <w:tr>
        <w:trPr>
          <w:trHeight w:val="270"/>
        </w:trPr>
        <w:tc>
          <w:tcPr>
            <w:tcW w:w="2100" w:type="dxa"/>
            <w:vAlign w:val="bottom"/>
            <w:gridSpan w:val="2"/>
          </w:tcPr>
          <w:p>
            <w:pPr>
              <w:spacing w:after="0"/>
              <w:rPr>
                <w:sz w:val="20"/>
                <w:szCs w:val="20"/>
                <w:color w:val="auto"/>
              </w:rPr>
            </w:pPr>
            <w:r>
              <w:rPr>
                <w:rFonts w:ascii="Arial" w:cs="Arial" w:eastAsia="Arial" w:hAnsi="Arial"/>
                <w:sz w:val="17"/>
                <w:szCs w:val="17"/>
                <w:color w:val="auto"/>
              </w:rPr>
              <w:t>Infolinks Media Buyco, LLC</w:t>
            </w:r>
          </w:p>
        </w:tc>
        <w:tc>
          <w:tcPr>
            <w:tcW w:w="1600" w:type="dxa"/>
            <w:vAlign w:val="bottom"/>
            <w:gridSpan w:val="3"/>
          </w:tcPr>
          <w:p>
            <w:pPr>
              <w:ind w:left="40"/>
              <w:spacing w:after="0"/>
              <w:rPr>
                <w:sz w:val="20"/>
                <w:szCs w:val="20"/>
                <w:color w:val="auto"/>
              </w:rPr>
            </w:pPr>
            <w:r>
              <w:rPr>
                <w:rFonts w:ascii="Arial" w:cs="Arial" w:eastAsia="Arial" w:hAnsi="Arial"/>
                <w:sz w:val="17"/>
                <w:szCs w:val="17"/>
                <w:color w:val="auto"/>
              </w:rPr>
              <w:t>2,535,051.79</w:t>
            </w:r>
          </w:p>
        </w:tc>
        <w:tc>
          <w:tcPr>
            <w:tcW w:w="7540" w:type="dxa"/>
            <w:vAlign w:val="bottom"/>
          </w:tcPr>
          <w:p>
            <w:pPr>
              <w:spacing w:after="0"/>
              <w:rPr>
                <w:sz w:val="23"/>
                <w:szCs w:val="23"/>
                <w:color w:val="auto"/>
              </w:rPr>
            </w:pPr>
          </w:p>
        </w:tc>
      </w:tr>
      <w:tr>
        <w:trPr>
          <w:trHeight w:val="283"/>
        </w:trPr>
        <w:tc>
          <w:tcPr>
            <w:tcW w:w="1640" w:type="dxa"/>
            <w:vAlign w:val="bottom"/>
          </w:tcPr>
          <w:p>
            <w:pPr>
              <w:spacing w:after="0"/>
              <w:rPr>
                <w:sz w:val="20"/>
                <w:szCs w:val="20"/>
                <w:color w:val="auto"/>
              </w:rPr>
            </w:pPr>
            <w:r>
              <w:rPr>
                <w:rFonts w:ascii="Arial" w:cs="Arial" w:eastAsia="Arial" w:hAnsi="Arial"/>
                <w:sz w:val="17"/>
                <w:szCs w:val="17"/>
                <w:color w:val="auto"/>
              </w:rPr>
              <w:t>Inventus Power, Inc.</w:t>
            </w:r>
          </w:p>
        </w:tc>
        <w:tc>
          <w:tcPr>
            <w:tcW w:w="1360" w:type="dxa"/>
            <w:vAlign w:val="bottom"/>
            <w:gridSpan w:val="3"/>
          </w:tcPr>
          <w:p>
            <w:pPr>
              <w:ind w:left="80"/>
              <w:spacing w:after="0"/>
              <w:rPr>
                <w:sz w:val="20"/>
                <w:szCs w:val="20"/>
                <w:color w:val="auto"/>
              </w:rPr>
            </w:pPr>
            <w:r>
              <w:rPr>
                <w:rFonts w:ascii="Arial" w:cs="Arial" w:eastAsia="Arial" w:hAnsi="Arial"/>
                <w:sz w:val="17"/>
                <w:szCs w:val="17"/>
                <w:color w:val="auto"/>
              </w:rPr>
              <w:t>4,925,000.00</w:t>
            </w: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84"/>
        </w:trPr>
        <w:tc>
          <w:tcPr>
            <w:tcW w:w="1640" w:type="dxa"/>
            <w:vAlign w:val="bottom"/>
          </w:tcPr>
          <w:p>
            <w:pPr>
              <w:spacing w:after="0"/>
              <w:rPr>
                <w:sz w:val="20"/>
                <w:szCs w:val="20"/>
                <w:color w:val="auto"/>
              </w:rPr>
            </w:pPr>
            <w:r>
              <w:rPr>
                <w:rFonts w:ascii="Arial" w:cs="Arial" w:eastAsia="Arial" w:hAnsi="Arial"/>
                <w:sz w:val="17"/>
                <w:szCs w:val="17"/>
                <w:color w:val="auto"/>
              </w:rPr>
              <w:t>Keel Platform, LLC</w:t>
            </w:r>
          </w:p>
        </w:tc>
        <w:tc>
          <w:tcPr>
            <w:tcW w:w="1360" w:type="dxa"/>
            <w:vAlign w:val="bottom"/>
            <w:gridSpan w:val="3"/>
          </w:tcPr>
          <w:p>
            <w:pPr>
              <w:ind w:left="80"/>
              <w:spacing w:after="0"/>
              <w:rPr>
                <w:sz w:val="20"/>
                <w:szCs w:val="20"/>
                <w:color w:val="auto"/>
              </w:rPr>
            </w:pPr>
            <w:r>
              <w:rPr>
                <w:rFonts w:ascii="Arial" w:cs="Arial" w:eastAsia="Arial" w:hAnsi="Arial"/>
                <w:sz w:val="17"/>
                <w:szCs w:val="17"/>
                <w:color w:val="auto"/>
              </w:rPr>
              <w:t>4,267,407.60</w:t>
            </w: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83"/>
        </w:trPr>
        <w:tc>
          <w:tcPr>
            <w:tcW w:w="3000" w:type="dxa"/>
            <w:vAlign w:val="bottom"/>
            <w:gridSpan w:val="4"/>
          </w:tcPr>
          <w:p>
            <w:pPr>
              <w:spacing w:after="0"/>
              <w:rPr>
                <w:sz w:val="20"/>
                <w:szCs w:val="20"/>
                <w:color w:val="auto"/>
              </w:rPr>
            </w:pPr>
            <w:r>
              <w:rPr>
                <w:rFonts w:ascii="Arial" w:cs="Arial" w:eastAsia="Arial" w:hAnsi="Arial"/>
                <w:sz w:val="17"/>
                <w:szCs w:val="17"/>
                <w:color w:val="auto"/>
              </w:rPr>
              <w:t>Lightspeed Buyer Inc. 8,000,000.00</w:t>
            </w: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70"/>
        </w:trPr>
        <w:tc>
          <w:tcPr>
            <w:tcW w:w="2100" w:type="dxa"/>
            <w:vAlign w:val="bottom"/>
            <w:gridSpan w:val="2"/>
          </w:tcPr>
          <w:p>
            <w:pPr>
              <w:spacing w:after="0"/>
              <w:rPr>
                <w:sz w:val="20"/>
                <w:szCs w:val="20"/>
                <w:color w:val="auto"/>
              </w:rPr>
            </w:pPr>
            <w:r>
              <w:rPr>
                <w:rFonts w:ascii="Arial" w:cs="Arial" w:eastAsia="Arial" w:hAnsi="Arial"/>
                <w:sz w:val="17"/>
                <w:szCs w:val="17"/>
                <w:color w:val="auto"/>
              </w:rPr>
              <w:t>LJ Avalon Holdings, LLC</w:t>
            </w:r>
          </w:p>
        </w:tc>
        <w:tc>
          <w:tcPr>
            <w:tcW w:w="1600" w:type="dxa"/>
            <w:vAlign w:val="bottom"/>
            <w:gridSpan w:val="3"/>
          </w:tcPr>
          <w:p>
            <w:pPr>
              <w:ind w:left="40"/>
              <w:spacing w:after="0"/>
              <w:rPr>
                <w:sz w:val="20"/>
                <w:szCs w:val="20"/>
                <w:color w:val="auto"/>
              </w:rPr>
            </w:pPr>
            <w:r>
              <w:rPr>
                <w:rFonts w:ascii="Arial" w:cs="Arial" w:eastAsia="Arial" w:hAnsi="Arial"/>
                <w:sz w:val="17"/>
                <w:szCs w:val="17"/>
                <w:color w:val="auto"/>
              </w:rPr>
              <w:t>1,712,069.99</w:t>
            </w:r>
          </w:p>
        </w:tc>
        <w:tc>
          <w:tcPr>
            <w:tcW w:w="7540" w:type="dxa"/>
            <w:vAlign w:val="bottom"/>
          </w:tcPr>
          <w:p>
            <w:pPr>
              <w:spacing w:after="0"/>
              <w:rPr>
                <w:sz w:val="23"/>
                <w:szCs w:val="23"/>
                <w:color w:val="auto"/>
              </w:rPr>
            </w:pPr>
          </w:p>
        </w:tc>
      </w:tr>
      <w:tr>
        <w:trPr>
          <w:trHeight w:val="284"/>
        </w:trPr>
        <w:tc>
          <w:tcPr>
            <w:tcW w:w="3700" w:type="dxa"/>
            <w:vAlign w:val="bottom"/>
            <w:gridSpan w:val="5"/>
          </w:tcPr>
          <w:p>
            <w:pPr>
              <w:spacing w:after="0"/>
              <w:rPr>
                <w:sz w:val="20"/>
                <w:szCs w:val="20"/>
                <w:color w:val="auto"/>
              </w:rPr>
            </w:pPr>
            <w:r>
              <w:rPr>
                <w:rFonts w:ascii="Arial" w:cs="Arial" w:eastAsia="Arial" w:hAnsi="Arial"/>
                <w:sz w:val="17"/>
                <w:szCs w:val="17"/>
                <w:color w:val="auto"/>
              </w:rPr>
              <w:t>Loving Tan Intermediate II, Inc.  8,000,000.00</w:t>
            </w:r>
          </w:p>
        </w:tc>
        <w:tc>
          <w:tcPr>
            <w:tcW w:w="7540" w:type="dxa"/>
            <w:vAlign w:val="bottom"/>
          </w:tcPr>
          <w:p>
            <w:pPr>
              <w:spacing w:after="0"/>
              <w:rPr>
                <w:sz w:val="24"/>
                <w:szCs w:val="24"/>
                <w:color w:val="auto"/>
              </w:rPr>
            </w:pPr>
          </w:p>
        </w:tc>
      </w:tr>
      <w:tr>
        <w:trPr>
          <w:trHeight w:val="270"/>
        </w:trPr>
        <w:tc>
          <w:tcPr>
            <w:tcW w:w="2100" w:type="dxa"/>
            <w:vAlign w:val="bottom"/>
            <w:gridSpan w:val="2"/>
          </w:tcPr>
          <w:p>
            <w:pPr>
              <w:spacing w:after="0"/>
              <w:rPr>
                <w:sz w:val="20"/>
                <w:szCs w:val="20"/>
                <w:color w:val="auto"/>
              </w:rPr>
            </w:pPr>
            <w:r>
              <w:rPr>
                <w:rFonts w:ascii="Arial" w:cs="Arial" w:eastAsia="Arial" w:hAnsi="Arial"/>
                <w:sz w:val="17"/>
                <w:szCs w:val="17"/>
                <w:color w:val="auto"/>
                <w:w w:val="97"/>
              </w:rPr>
              <w:t>LSF9 Atlantis Holdings, LLC</w:t>
            </w:r>
          </w:p>
        </w:tc>
        <w:tc>
          <w:tcPr>
            <w:tcW w:w="1600" w:type="dxa"/>
            <w:vAlign w:val="bottom"/>
            <w:gridSpan w:val="3"/>
          </w:tcPr>
          <w:p>
            <w:pPr>
              <w:ind w:left="40"/>
              <w:spacing w:after="0"/>
              <w:rPr>
                <w:sz w:val="20"/>
                <w:szCs w:val="20"/>
                <w:color w:val="auto"/>
              </w:rPr>
            </w:pPr>
            <w:r>
              <w:rPr>
                <w:rFonts w:ascii="Arial" w:cs="Arial" w:eastAsia="Arial" w:hAnsi="Arial"/>
                <w:sz w:val="17"/>
                <w:szCs w:val="17"/>
                <w:color w:val="auto"/>
              </w:rPr>
              <w:t>4,465,399.79</w:t>
            </w:r>
          </w:p>
        </w:tc>
        <w:tc>
          <w:tcPr>
            <w:tcW w:w="7540" w:type="dxa"/>
            <w:vAlign w:val="bottom"/>
          </w:tcPr>
          <w:p>
            <w:pPr>
              <w:spacing w:after="0"/>
              <w:rPr>
                <w:sz w:val="23"/>
                <w:szCs w:val="23"/>
                <w:color w:val="auto"/>
              </w:rPr>
            </w:pPr>
          </w:p>
        </w:tc>
      </w:tr>
      <w:tr>
        <w:trPr>
          <w:trHeight w:val="283"/>
        </w:trPr>
        <w:tc>
          <w:tcPr>
            <w:tcW w:w="2560" w:type="dxa"/>
            <w:vAlign w:val="bottom"/>
            <w:gridSpan w:val="3"/>
          </w:tcPr>
          <w:p>
            <w:pPr>
              <w:spacing w:after="0"/>
              <w:rPr>
                <w:sz w:val="20"/>
                <w:szCs w:val="20"/>
                <w:color w:val="auto"/>
              </w:rPr>
            </w:pPr>
            <w:r>
              <w:rPr>
                <w:rFonts w:ascii="Arial" w:cs="Arial" w:eastAsia="Arial" w:hAnsi="Arial"/>
                <w:sz w:val="17"/>
                <w:szCs w:val="17"/>
                <w:color w:val="auto"/>
              </w:rPr>
              <w:t>MAG DS Corp.   2,452,103.24</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70"/>
        </w:trPr>
        <w:tc>
          <w:tcPr>
            <w:tcW w:w="3000" w:type="dxa"/>
            <w:vAlign w:val="bottom"/>
            <w:gridSpan w:val="4"/>
          </w:tcPr>
          <w:p>
            <w:pPr>
              <w:spacing w:after="0"/>
              <w:rPr>
                <w:sz w:val="20"/>
                <w:szCs w:val="20"/>
                <w:color w:val="auto"/>
              </w:rPr>
            </w:pPr>
            <w:r>
              <w:rPr>
                <w:rFonts w:ascii="Arial" w:cs="Arial" w:eastAsia="Arial" w:hAnsi="Arial"/>
                <w:sz w:val="17"/>
                <w:szCs w:val="17"/>
                <w:color w:val="auto"/>
              </w:rPr>
              <w:t>Marketplace Events Acquisition, LLC</w:t>
            </w:r>
          </w:p>
        </w:tc>
        <w:tc>
          <w:tcPr>
            <w:tcW w:w="8240" w:type="dxa"/>
            <w:vAlign w:val="bottom"/>
            <w:gridSpan w:val="2"/>
          </w:tcPr>
          <w:p>
            <w:pPr>
              <w:jc w:val="right"/>
              <w:ind w:right="7157"/>
              <w:spacing w:after="0"/>
              <w:rPr>
                <w:sz w:val="20"/>
                <w:szCs w:val="20"/>
                <w:color w:val="auto"/>
              </w:rPr>
            </w:pPr>
            <w:r>
              <w:rPr>
                <w:rFonts w:ascii="Arial" w:cs="Arial" w:eastAsia="Arial" w:hAnsi="Arial"/>
                <w:sz w:val="17"/>
                <w:szCs w:val="17"/>
                <w:color w:val="auto"/>
                <w:w w:val="98"/>
              </w:rPr>
              <w:t>8,000,000.00</w:t>
            </w:r>
          </w:p>
        </w:tc>
      </w:tr>
      <w:tr>
        <w:trPr>
          <w:trHeight w:val="284"/>
        </w:trPr>
        <w:tc>
          <w:tcPr>
            <w:tcW w:w="1640" w:type="dxa"/>
            <w:vAlign w:val="bottom"/>
          </w:tcPr>
          <w:p>
            <w:pPr>
              <w:spacing w:after="0"/>
              <w:rPr>
                <w:sz w:val="20"/>
                <w:szCs w:val="20"/>
                <w:color w:val="auto"/>
              </w:rPr>
            </w:pPr>
            <w:r>
              <w:rPr>
                <w:rFonts w:ascii="Arial" w:cs="Arial" w:eastAsia="Arial" w:hAnsi="Arial"/>
                <w:sz w:val="17"/>
                <w:szCs w:val="17"/>
                <w:color w:val="auto"/>
              </w:rPr>
              <w:t>Medina Health, LLC</w:t>
            </w:r>
          </w:p>
        </w:tc>
        <w:tc>
          <w:tcPr>
            <w:tcW w:w="1360" w:type="dxa"/>
            <w:vAlign w:val="bottom"/>
            <w:gridSpan w:val="3"/>
          </w:tcPr>
          <w:p>
            <w:pPr>
              <w:ind w:left="80"/>
              <w:spacing w:after="0"/>
              <w:rPr>
                <w:sz w:val="20"/>
                <w:szCs w:val="20"/>
                <w:color w:val="auto"/>
              </w:rPr>
            </w:pPr>
            <w:r>
              <w:rPr>
                <w:rFonts w:ascii="Arial" w:cs="Arial" w:eastAsia="Arial" w:hAnsi="Arial"/>
                <w:sz w:val="17"/>
                <w:szCs w:val="17"/>
                <w:color w:val="auto"/>
              </w:rPr>
              <w:t>5,870,011.70</w:t>
            </w: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70"/>
        </w:trPr>
        <w:tc>
          <w:tcPr>
            <w:tcW w:w="2100" w:type="dxa"/>
            <w:vAlign w:val="bottom"/>
            <w:gridSpan w:val="2"/>
          </w:tcPr>
          <w:p>
            <w:pPr>
              <w:spacing w:after="0"/>
              <w:rPr>
                <w:sz w:val="20"/>
                <w:szCs w:val="20"/>
                <w:color w:val="auto"/>
              </w:rPr>
            </w:pPr>
            <w:r>
              <w:rPr>
                <w:rFonts w:ascii="Arial" w:cs="Arial" w:eastAsia="Arial" w:hAnsi="Arial"/>
                <w:sz w:val="17"/>
                <w:szCs w:val="17"/>
                <w:color w:val="auto"/>
              </w:rPr>
              <w:t>MOREGroup Holdings, Inc.</w:t>
            </w:r>
          </w:p>
        </w:tc>
        <w:tc>
          <w:tcPr>
            <w:tcW w:w="1600" w:type="dxa"/>
            <w:vAlign w:val="bottom"/>
            <w:gridSpan w:val="3"/>
          </w:tcPr>
          <w:p>
            <w:pPr>
              <w:ind w:left="40"/>
              <w:spacing w:after="0"/>
              <w:rPr>
                <w:sz w:val="20"/>
                <w:szCs w:val="20"/>
                <w:color w:val="auto"/>
              </w:rPr>
            </w:pPr>
            <w:r>
              <w:rPr>
                <w:rFonts w:ascii="Arial" w:cs="Arial" w:eastAsia="Arial" w:hAnsi="Arial"/>
                <w:sz w:val="17"/>
                <w:szCs w:val="17"/>
                <w:color w:val="auto"/>
              </w:rPr>
              <w:t>8,000,000.00</w:t>
            </w:r>
          </w:p>
        </w:tc>
        <w:tc>
          <w:tcPr>
            <w:tcW w:w="7540" w:type="dxa"/>
            <w:vAlign w:val="bottom"/>
          </w:tcPr>
          <w:p>
            <w:pPr>
              <w:spacing w:after="0"/>
              <w:rPr>
                <w:sz w:val="23"/>
                <w:szCs w:val="23"/>
                <w:color w:val="auto"/>
              </w:rPr>
            </w:pPr>
          </w:p>
        </w:tc>
      </w:tr>
      <w:tr>
        <w:trPr>
          <w:trHeight w:val="284"/>
        </w:trPr>
        <w:tc>
          <w:tcPr>
            <w:tcW w:w="3000" w:type="dxa"/>
            <w:vAlign w:val="bottom"/>
            <w:gridSpan w:val="4"/>
          </w:tcPr>
          <w:p>
            <w:pPr>
              <w:spacing w:after="0"/>
              <w:rPr>
                <w:sz w:val="20"/>
                <w:szCs w:val="20"/>
                <w:color w:val="auto"/>
              </w:rPr>
            </w:pPr>
            <w:r>
              <w:rPr>
                <w:rFonts w:ascii="Arial" w:cs="Arial" w:eastAsia="Arial" w:hAnsi="Arial"/>
                <w:sz w:val="17"/>
                <w:szCs w:val="17"/>
                <w:color w:val="auto"/>
              </w:rPr>
              <w:t>Municipal Emergency Services, Inc.</w:t>
            </w:r>
          </w:p>
        </w:tc>
        <w:tc>
          <w:tcPr>
            <w:tcW w:w="8240" w:type="dxa"/>
            <w:vAlign w:val="bottom"/>
            <w:gridSpan w:val="2"/>
          </w:tcPr>
          <w:p>
            <w:pPr>
              <w:jc w:val="right"/>
              <w:ind w:right="7157"/>
              <w:spacing w:after="0"/>
              <w:rPr>
                <w:sz w:val="20"/>
                <w:szCs w:val="20"/>
                <w:color w:val="auto"/>
              </w:rPr>
            </w:pPr>
            <w:r>
              <w:rPr>
                <w:rFonts w:ascii="Arial" w:cs="Arial" w:eastAsia="Arial" w:hAnsi="Arial"/>
                <w:sz w:val="17"/>
                <w:szCs w:val="17"/>
                <w:color w:val="auto"/>
                <w:w w:val="98"/>
              </w:rPr>
              <w:t>2,125,479.12</w:t>
            </w:r>
          </w:p>
        </w:tc>
      </w:tr>
      <w:tr>
        <w:trPr>
          <w:trHeight w:val="283"/>
        </w:trPr>
        <w:tc>
          <w:tcPr>
            <w:tcW w:w="2100" w:type="dxa"/>
            <w:vAlign w:val="bottom"/>
            <w:gridSpan w:val="2"/>
          </w:tcPr>
          <w:p>
            <w:pPr>
              <w:spacing w:after="0"/>
              <w:rPr>
                <w:sz w:val="20"/>
                <w:szCs w:val="20"/>
                <w:color w:val="auto"/>
              </w:rPr>
            </w:pPr>
            <w:r>
              <w:rPr>
                <w:rFonts w:ascii="Arial" w:cs="Arial" w:eastAsia="Arial" w:hAnsi="Arial"/>
                <w:sz w:val="17"/>
                <w:szCs w:val="17"/>
                <w:color w:val="auto"/>
              </w:rPr>
              <w:t>NFS - CFP Holdings LLC</w:t>
            </w:r>
          </w:p>
        </w:tc>
        <w:tc>
          <w:tcPr>
            <w:tcW w:w="1600" w:type="dxa"/>
            <w:vAlign w:val="bottom"/>
            <w:gridSpan w:val="3"/>
          </w:tcPr>
          <w:p>
            <w:pPr>
              <w:ind w:left="40"/>
              <w:spacing w:after="0"/>
              <w:rPr>
                <w:sz w:val="20"/>
                <w:szCs w:val="20"/>
                <w:color w:val="auto"/>
              </w:rPr>
            </w:pPr>
            <w:r>
              <w:rPr>
                <w:rFonts w:ascii="Arial" w:cs="Arial" w:eastAsia="Arial" w:hAnsi="Arial"/>
                <w:sz w:val="17"/>
                <w:szCs w:val="17"/>
                <w:color w:val="auto"/>
              </w:rPr>
              <w:t>8,000,000.00</w:t>
            </w:r>
          </w:p>
        </w:tc>
        <w:tc>
          <w:tcPr>
            <w:tcW w:w="7540" w:type="dxa"/>
            <w:vAlign w:val="bottom"/>
          </w:tcPr>
          <w:p>
            <w:pPr>
              <w:spacing w:after="0"/>
              <w:rPr>
                <w:sz w:val="24"/>
                <w:szCs w:val="24"/>
                <w:color w:val="auto"/>
              </w:rPr>
            </w:pPr>
          </w:p>
        </w:tc>
      </w:tr>
      <w:tr>
        <w:trPr>
          <w:trHeight w:val="984"/>
        </w:trPr>
        <w:tc>
          <w:tcPr>
            <w:tcW w:w="16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4" w:right="339" w:bottom="1108"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195"/>
        </w:trPr>
        <w:tc>
          <w:tcPr>
            <w:tcW w:w="1700" w:type="dxa"/>
            <w:vAlign w:val="bottom"/>
          </w:tcPr>
          <w:p>
            <w:pPr>
              <w:spacing w:after="0"/>
              <w:rPr>
                <w:sz w:val="20"/>
                <w:szCs w:val="20"/>
                <w:color w:val="auto"/>
              </w:rPr>
            </w:pPr>
            <w:r>
              <w:rPr>
                <w:rFonts w:ascii="Arial" w:cs="Arial" w:eastAsia="Arial" w:hAnsi="Arial"/>
                <w:sz w:val="17"/>
                <w:szCs w:val="17"/>
                <w:color w:val="auto"/>
                <w:w w:val="95"/>
              </w:rPr>
              <w:t>NORA Acquisition, LLC</w:t>
            </w:r>
          </w:p>
        </w:tc>
        <w:tc>
          <w:tcPr>
            <w:tcW w:w="1580" w:type="dxa"/>
            <w:vAlign w:val="bottom"/>
            <w:gridSpan w:val="2"/>
          </w:tcPr>
          <w:p>
            <w:pPr>
              <w:jc w:val="right"/>
              <w:ind w:right="57"/>
              <w:spacing w:after="0"/>
              <w:rPr>
                <w:sz w:val="20"/>
                <w:szCs w:val="20"/>
                <w:color w:val="auto"/>
              </w:rPr>
            </w:pPr>
            <w:r>
              <w:rPr>
                <w:rFonts w:ascii="Arial" w:cs="Arial" w:eastAsia="Arial" w:hAnsi="Arial"/>
                <w:sz w:val="17"/>
                <w:szCs w:val="17"/>
                <w:color w:val="auto"/>
              </w:rPr>
              <w:t>6,398,950.52</w:t>
            </w:r>
          </w:p>
        </w:tc>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70"/>
        </w:trPr>
        <w:tc>
          <w:tcPr>
            <w:tcW w:w="2420" w:type="dxa"/>
            <w:vAlign w:val="bottom"/>
            <w:gridSpan w:val="2"/>
          </w:tcPr>
          <w:p>
            <w:pPr>
              <w:spacing w:after="0"/>
              <w:rPr>
                <w:sz w:val="20"/>
                <w:szCs w:val="20"/>
                <w:color w:val="auto"/>
              </w:rPr>
            </w:pPr>
            <w:r>
              <w:rPr>
                <w:rFonts w:ascii="Arial" w:cs="Arial" w:eastAsia="Arial" w:hAnsi="Arial"/>
                <w:sz w:val="17"/>
                <w:szCs w:val="17"/>
                <w:color w:val="auto"/>
              </w:rPr>
              <w:t>Omnia Exterior Solutions, LLC</w:t>
            </w:r>
          </w:p>
        </w:tc>
        <w:tc>
          <w:tcPr>
            <w:tcW w:w="2140" w:type="dxa"/>
            <w:vAlign w:val="bottom"/>
            <w:gridSpan w:val="2"/>
          </w:tcPr>
          <w:p>
            <w:pPr>
              <w:jc w:val="right"/>
              <w:ind w:right="917"/>
              <w:spacing w:after="0"/>
              <w:rPr>
                <w:sz w:val="20"/>
                <w:szCs w:val="20"/>
                <w:color w:val="auto"/>
              </w:rPr>
            </w:pPr>
            <w:r>
              <w:rPr>
                <w:rFonts w:ascii="Arial" w:cs="Arial" w:eastAsia="Arial" w:hAnsi="Arial"/>
                <w:sz w:val="17"/>
                <w:szCs w:val="17"/>
                <w:color w:val="auto"/>
              </w:rPr>
              <w:t>8,000,000.00</w:t>
            </w:r>
          </w:p>
        </w:tc>
        <w:tc>
          <w:tcPr>
            <w:tcW w:w="1140" w:type="dxa"/>
            <w:vAlign w:val="bottom"/>
          </w:tcPr>
          <w:p>
            <w:pPr>
              <w:spacing w:after="0"/>
              <w:rPr>
                <w:sz w:val="23"/>
                <w:szCs w:val="23"/>
                <w:color w:val="auto"/>
              </w:rPr>
            </w:pPr>
          </w:p>
        </w:tc>
      </w:tr>
      <w:tr>
        <w:trPr>
          <w:trHeight w:val="283"/>
        </w:trPr>
        <w:tc>
          <w:tcPr>
            <w:tcW w:w="2420" w:type="dxa"/>
            <w:vAlign w:val="bottom"/>
            <w:gridSpan w:val="2"/>
          </w:tcPr>
          <w:p>
            <w:pPr>
              <w:spacing w:after="0"/>
              <w:rPr>
                <w:sz w:val="20"/>
                <w:szCs w:val="20"/>
                <w:color w:val="auto"/>
              </w:rPr>
            </w:pPr>
            <w:r>
              <w:rPr>
                <w:rFonts w:ascii="Arial" w:cs="Arial" w:eastAsia="Arial" w:hAnsi="Arial"/>
                <w:sz w:val="17"/>
                <w:szCs w:val="17"/>
                <w:color w:val="auto"/>
              </w:rPr>
              <w:t>PAR Excellence Holdings, Inc.</w:t>
            </w:r>
          </w:p>
        </w:tc>
        <w:tc>
          <w:tcPr>
            <w:tcW w:w="2140" w:type="dxa"/>
            <w:vAlign w:val="bottom"/>
            <w:gridSpan w:val="2"/>
          </w:tcPr>
          <w:p>
            <w:pPr>
              <w:jc w:val="right"/>
              <w:ind w:right="917"/>
              <w:spacing w:after="0"/>
              <w:rPr>
                <w:sz w:val="20"/>
                <w:szCs w:val="20"/>
                <w:color w:val="auto"/>
              </w:rPr>
            </w:pPr>
            <w:r>
              <w:rPr>
                <w:rFonts w:ascii="Arial" w:cs="Arial" w:eastAsia="Arial" w:hAnsi="Arial"/>
                <w:sz w:val="17"/>
                <w:szCs w:val="17"/>
                <w:color w:val="auto"/>
              </w:rPr>
              <w:t>5,500,000.00</w:t>
            </w:r>
          </w:p>
        </w:tc>
        <w:tc>
          <w:tcPr>
            <w:tcW w:w="1140" w:type="dxa"/>
            <w:vAlign w:val="bottom"/>
          </w:tcPr>
          <w:p>
            <w:pPr>
              <w:spacing w:after="0"/>
              <w:rPr>
                <w:sz w:val="24"/>
                <w:szCs w:val="24"/>
                <w:color w:val="auto"/>
              </w:rPr>
            </w:pPr>
          </w:p>
        </w:tc>
      </w:tr>
      <w:tr>
        <w:trPr>
          <w:trHeight w:val="283"/>
        </w:trPr>
        <w:tc>
          <w:tcPr>
            <w:tcW w:w="2420" w:type="dxa"/>
            <w:vAlign w:val="bottom"/>
            <w:gridSpan w:val="2"/>
          </w:tcPr>
          <w:p>
            <w:pPr>
              <w:spacing w:after="0"/>
              <w:rPr>
                <w:sz w:val="20"/>
                <w:szCs w:val="20"/>
                <w:color w:val="auto"/>
              </w:rPr>
            </w:pPr>
            <w:r>
              <w:rPr>
                <w:rFonts w:ascii="Arial" w:cs="Arial" w:eastAsia="Arial" w:hAnsi="Arial"/>
                <w:sz w:val="17"/>
                <w:szCs w:val="17"/>
                <w:color w:val="auto"/>
              </w:rPr>
              <w:t>PCS Midco, Inc. 4,436,827.56</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7"/>
                <w:szCs w:val="17"/>
                <w:color w:val="auto"/>
              </w:rPr>
              <w:t>RRA Corporate, LLC</w:t>
            </w:r>
          </w:p>
        </w:tc>
        <w:tc>
          <w:tcPr>
            <w:tcW w:w="1580" w:type="dxa"/>
            <w:vAlign w:val="bottom"/>
            <w:gridSpan w:val="2"/>
          </w:tcPr>
          <w:p>
            <w:pPr>
              <w:jc w:val="right"/>
              <w:ind w:right="477"/>
              <w:spacing w:after="0"/>
              <w:rPr>
                <w:sz w:val="20"/>
                <w:szCs w:val="20"/>
                <w:color w:val="auto"/>
              </w:rPr>
            </w:pPr>
            <w:r>
              <w:rPr>
                <w:rFonts w:ascii="Arial" w:cs="Arial" w:eastAsia="Arial" w:hAnsi="Arial"/>
                <w:sz w:val="17"/>
                <w:szCs w:val="17"/>
                <w:color w:val="auto"/>
              </w:rPr>
              <w:t>7,182,000.00</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83"/>
        </w:trPr>
        <w:tc>
          <w:tcPr>
            <w:tcW w:w="2420" w:type="dxa"/>
            <w:vAlign w:val="bottom"/>
            <w:gridSpan w:val="2"/>
          </w:tcPr>
          <w:p>
            <w:pPr>
              <w:spacing w:after="0"/>
              <w:rPr>
                <w:sz w:val="20"/>
                <w:szCs w:val="20"/>
                <w:color w:val="auto"/>
              </w:rPr>
            </w:pPr>
            <w:r>
              <w:rPr>
                <w:rFonts w:ascii="Arial" w:cs="Arial" w:eastAsia="Arial" w:hAnsi="Arial"/>
                <w:sz w:val="17"/>
                <w:szCs w:val="17"/>
                <w:color w:val="auto"/>
              </w:rPr>
              <w:t>RTIC Subsidiary Holdings, LLC</w:t>
            </w:r>
          </w:p>
        </w:tc>
        <w:tc>
          <w:tcPr>
            <w:tcW w:w="2140" w:type="dxa"/>
            <w:vAlign w:val="bottom"/>
            <w:gridSpan w:val="2"/>
          </w:tcPr>
          <w:p>
            <w:pPr>
              <w:jc w:val="right"/>
              <w:ind w:right="917"/>
              <w:spacing w:after="0"/>
              <w:rPr>
                <w:sz w:val="20"/>
                <w:szCs w:val="20"/>
                <w:color w:val="auto"/>
              </w:rPr>
            </w:pPr>
            <w:r>
              <w:rPr>
                <w:rFonts w:ascii="Arial" w:cs="Arial" w:eastAsia="Arial" w:hAnsi="Arial"/>
                <w:sz w:val="17"/>
                <w:szCs w:val="17"/>
                <w:color w:val="auto"/>
              </w:rPr>
              <w:t>8,000,000.00</w:t>
            </w:r>
          </w:p>
        </w:tc>
        <w:tc>
          <w:tcPr>
            <w:tcW w:w="1140" w:type="dxa"/>
            <w:vAlign w:val="bottom"/>
          </w:tcPr>
          <w:p>
            <w:pPr>
              <w:spacing w:after="0"/>
              <w:rPr>
                <w:sz w:val="24"/>
                <w:szCs w:val="24"/>
                <w:color w:val="auto"/>
              </w:rPr>
            </w:pPr>
          </w:p>
        </w:tc>
      </w:tr>
      <w:tr>
        <w:trPr>
          <w:trHeight w:val="284"/>
        </w:trPr>
        <w:tc>
          <w:tcPr>
            <w:tcW w:w="4560" w:type="dxa"/>
            <w:vAlign w:val="bottom"/>
            <w:gridSpan w:val="4"/>
          </w:tcPr>
          <w:p>
            <w:pPr>
              <w:spacing w:after="0"/>
              <w:rPr>
                <w:sz w:val="20"/>
                <w:szCs w:val="20"/>
                <w:color w:val="auto"/>
              </w:rPr>
            </w:pPr>
            <w:r>
              <w:rPr>
                <w:rFonts w:ascii="Arial" w:cs="Arial" w:eastAsia="Arial" w:hAnsi="Arial"/>
                <w:sz w:val="17"/>
                <w:szCs w:val="17"/>
                <w:color w:val="auto"/>
              </w:rPr>
              <w:t>Rural Sourcing Holdings, Inc. (HPA SPQ Merger Sub, Inc.)</w:t>
            </w:r>
          </w:p>
        </w:tc>
        <w:tc>
          <w:tcPr>
            <w:tcW w:w="1140" w:type="dxa"/>
            <w:vAlign w:val="bottom"/>
          </w:tcPr>
          <w:p>
            <w:pPr>
              <w:jc w:val="right"/>
              <w:spacing w:after="0"/>
              <w:rPr>
                <w:sz w:val="20"/>
                <w:szCs w:val="20"/>
                <w:color w:val="auto"/>
              </w:rPr>
            </w:pPr>
            <w:r>
              <w:rPr>
                <w:rFonts w:ascii="Arial" w:cs="Arial" w:eastAsia="Arial" w:hAnsi="Arial"/>
                <w:sz w:val="17"/>
                <w:szCs w:val="17"/>
                <w:color w:val="auto"/>
              </w:rPr>
              <w:t>1,137,625.52</w:t>
            </w:r>
          </w:p>
        </w:tc>
      </w:tr>
      <w:tr>
        <w:trPr>
          <w:trHeight w:val="270"/>
        </w:trPr>
        <w:tc>
          <w:tcPr>
            <w:tcW w:w="3280" w:type="dxa"/>
            <w:vAlign w:val="bottom"/>
            <w:gridSpan w:val="3"/>
          </w:tcPr>
          <w:p>
            <w:pPr>
              <w:spacing w:after="0"/>
              <w:rPr>
                <w:sz w:val="20"/>
                <w:szCs w:val="20"/>
                <w:color w:val="auto"/>
              </w:rPr>
            </w:pPr>
            <w:r>
              <w:rPr>
                <w:rFonts w:ascii="Arial" w:cs="Arial" w:eastAsia="Arial" w:hAnsi="Arial"/>
                <w:sz w:val="17"/>
                <w:szCs w:val="17"/>
                <w:color w:val="auto"/>
              </w:rPr>
              <w:t>Sabel Systems Technology Solutions, LLC</w:t>
            </w:r>
          </w:p>
        </w:tc>
        <w:tc>
          <w:tcPr>
            <w:tcW w:w="1280" w:type="dxa"/>
            <w:vAlign w:val="bottom"/>
          </w:tcPr>
          <w:p>
            <w:pPr>
              <w:jc w:val="right"/>
              <w:ind w:right="57"/>
              <w:spacing w:after="0"/>
              <w:rPr>
                <w:sz w:val="20"/>
                <w:szCs w:val="20"/>
                <w:color w:val="auto"/>
              </w:rPr>
            </w:pPr>
            <w:r>
              <w:rPr>
                <w:rFonts w:ascii="Arial" w:cs="Arial" w:eastAsia="Arial" w:hAnsi="Arial"/>
                <w:sz w:val="17"/>
                <w:szCs w:val="17"/>
                <w:color w:val="auto"/>
              </w:rPr>
              <w:t>8,000,000.00</w:t>
            </w:r>
          </w:p>
        </w:tc>
        <w:tc>
          <w:tcPr>
            <w:tcW w:w="1140" w:type="dxa"/>
            <w:vAlign w:val="bottom"/>
          </w:tcPr>
          <w:p>
            <w:pPr>
              <w:spacing w:after="0"/>
              <w:rPr>
                <w:sz w:val="23"/>
                <w:szCs w:val="23"/>
                <w:color w:val="auto"/>
              </w:rPr>
            </w:pPr>
          </w:p>
        </w:tc>
      </w:tr>
      <w:tr>
        <w:trPr>
          <w:trHeight w:val="283"/>
        </w:trPr>
        <w:tc>
          <w:tcPr>
            <w:tcW w:w="2420" w:type="dxa"/>
            <w:vAlign w:val="bottom"/>
            <w:gridSpan w:val="2"/>
          </w:tcPr>
          <w:p>
            <w:pPr>
              <w:spacing w:after="0"/>
              <w:rPr>
                <w:sz w:val="20"/>
                <w:szCs w:val="20"/>
                <w:color w:val="auto"/>
              </w:rPr>
            </w:pPr>
            <w:r>
              <w:rPr>
                <w:rFonts w:ascii="Arial" w:cs="Arial" w:eastAsia="Arial" w:hAnsi="Arial"/>
                <w:sz w:val="17"/>
                <w:szCs w:val="17"/>
                <w:color w:val="auto"/>
              </w:rPr>
              <w:t>Safe Haven Defense US LLC</w:t>
            </w:r>
          </w:p>
        </w:tc>
        <w:tc>
          <w:tcPr>
            <w:tcW w:w="2140" w:type="dxa"/>
            <w:vAlign w:val="bottom"/>
            <w:gridSpan w:val="2"/>
          </w:tcPr>
          <w:p>
            <w:pPr>
              <w:jc w:val="right"/>
              <w:ind w:right="917"/>
              <w:spacing w:after="0"/>
              <w:rPr>
                <w:sz w:val="20"/>
                <w:szCs w:val="20"/>
                <w:color w:val="auto"/>
              </w:rPr>
            </w:pPr>
            <w:r>
              <w:rPr>
                <w:rFonts w:ascii="Arial" w:cs="Arial" w:eastAsia="Arial" w:hAnsi="Arial"/>
                <w:sz w:val="17"/>
                <w:szCs w:val="17"/>
                <w:color w:val="auto"/>
              </w:rPr>
              <w:t>8,000,000.00</w:t>
            </w:r>
          </w:p>
        </w:tc>
        <w:tc>
          <w:tcPr>
            <w:tcW w:w="1140" w:type="dxa"/>
            <w:vAlign w:val="bottom"/>
          </w:tcPr>
          <w:p>
            <w:pPr>
              <w:spacing w:after="0"/>
              <w:rPr>
                <w:sz w:val="24"/>
                <w:szCs w:val="24"/>
                <w:color w:val="auto"/>
              </w:rPr>
            </w:pPr>
          </w:p>
        </w:tc>
      </w:tr>
      <w:tr>
        <w:trPr>
          <w:trHeight w:val="270"/>
        </w:trPr>
        <w:tc>
          <w:tcPr>
            <w:tcW w:w="2420" w:type="dxa"/>
            <w:vAlign w:val="bottom"/>
            <w:gridSpan w:val="2"/>
          </w:tcPr>
          <w:p>
            <w:pPr>
              <w:spacing w:after="0"/>
              <w:rPr>
                <w:sz w:val="20"/>
                <w:szCs w:val="20"/>
                <w:color w:val="auto"/>
              </w:rPr>
            </w:pPr>
            <w:r>
              <w:rPr>
                <w:rFonts w:ascii="Arial" w:cs="Arial" w:eastAsia="Arial" w:hAnsi="Arial"/>
                <w:sz w:val="17"/>
                <w:szCs w:val="17"/>
                <w:color w:val="auto"/>
              </w:rPr>
              <w:t>Sigma Defense Systems, LLC</w:t>
            </w:r>
          </w:p>
        </w:tc>
        <w:tc>
          <w:tcPr>
            <w:tcW w:w="2140" w:type="dxa"/>
            <w:vAlign w:val="bottom"/>
            <w:gridSpan w:val="2"/>
          </w:tcPr>
          <w:p>
            <w:pPr>
              <w:jc w:val="right"/>
              <w:ind w:right="917"/>
              <w:spacing w:after="0"/>
              <w:rPr>
                <w:sz w:val="20"/>
                <w:szCs w:val="20"/>
                <w:color w:val="auto"/>
              </w:rPr>
            </w:pPr>
            <w:r>
              <w:rPr>
                <w:rFonts w:ascii="Arial" w:cs="Arial" w:eastAsia="Arial" w:hAnsi="Arial"/>
                <w:sz w:val="17"/>
                <w:szCs w:val="17"/>
                <w:color w:val="auto"/>
              </w:rPr>
              <w:t>8,000,000.00</w:t>
            </w:r>
          </w:p>
        </w:tc>
        <w:tc>
          <w:tcPr>
            <w:tcW w:w="1140" w:type="dxa"/>
            <w:vAlign w:val="bottom"/>
          </w:tcPr>
          <w:p>
            <w:pPr>
              <w:spacing w:after="0"/>
              <w:rPr>
                <w:sz w:val="23"/>
                <w:szCs w:val="23"/>
                <w:color w:val="auto"/>
              </w:rPr>
            </w:pPr>
          </w:p>
        </w:tc>
      </w:tr>
    </w:tbl>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60" w:type="dxa"/>
            <w:vAlign w:val="bottom"/>
          </w:tcPr>
          <w:p>
            <w:pPr>
              <w:spacing w:after="0"/>
              <w:rPr>
                <w:sz w:val="20"/>
                <w:szCs w:val="20"/>
                <w:color w:val="auto"/>
              </w:rPr>
            </w:pPr>
            <w:r>
              <w:rPr>
                <w:rFonts w:ascii="Arial" w:cs="Arial" w:eastAsia="Arial" w:hAnsi="Arial"/>
                <w:sz w:val="17"/>
                <w:szCs w:val="17"/>
                <w:color w:val="auto"/>
              </w:rPr>
              <w:t>Spendmend Holdings LLC</w:t>
            </w:r>
          </w:p>
        </w:tc>
        <w:tc>
          <w:tcPr>
            <w:tcW w:w="940" w:type="dxa"/>
            <w:vAlign w:val="bottom"/>
          </w:tcPr>
          <w:p>
            <w:pPr>
              <w:ind w:left="80"/>
              <w:spacing w:after="0"/>
              <w:rPr>
                <w:sz w:val="20"/>
                <w:szCs w:val="20"/>
                <w:color w:val="auto"/>
              </w:rPr>
            </w:pPr>
            <w:r>
              <w:rPr>
                <w:rFonts w:ascii="Arial" w:cs="Arial" w:eastAsia="Arial" w:hAnsi="Arial"/>
                <w:sz w:val="17"/>
                <w:szCs w:val="17"/>
                <w:color w:val="auto"/>
                <w:w w:val="98"/>
              </w:rPr>
              <w:t>596,049.96</w:t>
            </w:r>
          </w:p>
        </w:tc>
        <w:tc>
          <w:tcPr>
            <w:tcW w:w="1000" w:type="dxa"/>
            <w:vAlign w:val="bottom"/>
          </w:tcPr>
          <w:p>
            <w:pPr>
              <w:spacing w:after="0"/>
              <w:rPr>
                <w:sz w:val="16"/>
                <w:szCs w:val="16"/>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7"/>
                <w:szCs w:val="17"/>
                <w:color w:val="auto"/>
              </w:rPr>
              <w:t>SV-Aero Holdings, LLC - Term Loan</w:t>
            </w:r>
          </w:p>
        </w:tc>
        <w:tc>
          <w:tcPr>
            <w:tcW w:w="1000" w:type="dxa"/>
            <w:vAlign w:val="bottom"/>
          </w:tcPr>
          <w:p>
            <w:pPr>
              <w:jc w:val="right"/>
              <w:spacing w:after="0"/>
              <w:rPr>
                <w:sz w:val="20"/>
                <w:szCs w:val="20"/>
                <w:color w:val="auto"/>
              </w:rPr>
            </w:pPr>
            <w:r>
              <w:rPr>
                <w:rFonts w:ascii="Arial" w:cs="Arial" w:eastAsia="Arial" w:hAnsi="Arial"/>
                <w:sz w:val="17"/>
                <w:szCs w:val="17"/>
                <w:color w:val="auto"/>
                <w:w w:val="98"/>
              </w:rPr>
              <w:t>7,567,164.18</w:t>
            </w:r>
          </w:p>
        </w:tc>
      </w:tr>
      <w:tr>
        <w:trPr>
          <w:trHeight w:val="283"/>
        </w:trPr>
        <w:tc>
          <w:tcPr>
            <w:tcW w:w="3000" w:type="dxa"/>
            <w:vAlign w:val="bottom"/>
            <w:gridSpan w:val="2"/>
          </w:tcPr>
          <w:p>
            <w:pPr>
              <w:spacing w:after="0"/>
              <w:rPr>
                <w:sz w:val="20"/>
                <w:szCs w:val="20"/>
                <w:color w:val="auto"/>
              </w:rPr>
            </w:pPr>
            <w:r>
              <w:rPr>
                <w:rFonts w:ascii="Arial" w:cs="Arial" w:eastAsia="Arial" w:hAnsi="Arial"/>
                <w:sz w:val="17"/>
                <w:szCs w:val="17"/>
                <w:color w:val="auto"/>
              </w:rPr>
              <w:t>System Planning and Analysis, Inc.</w:t>
            </w:r>
          </w:p>
        </w:tc>
        <w:tc>
          <w:tcPr>
            <w:tcW w:w="1000" w:type="dxa"/>
            <w:vAlign w:val="bottom"/>
          </w:tcPr>
          <w:p>
            <w:pPr>
              <w:jc w:val="right"/>
              <w:spacing w:after="0"/>
              <w:rPr>
                <w:sz w:val="20"/>
                <w:szCs w:val="20"/>
                <w:color w:val="auto"/>
              </w:rPr>
            </w:pPr>
            <w:r>
              <w:rPr>
                <w:rFonts w:ascii="Arial" w:cs="Arial" w:eastAsia="Arial" w:hAnsi="Arial"/>
                <w:sz w:val="17"/>
                <w:szCs w:val="17"/>
                <w:color w:val="auto"/>
                <w:w w:val="98"/>
              </w:rPr>
              <w:t>8,000,000.00</w:t>
            </w:r>
          </w:p>
        </w:tc>
      </w:tr>
      <w:tr>
        <w:trPr>
          <w:trHeight w:val="270"/>
        </w:trPr>
        <w:tc>
          <w:tcPr>
            <w:tcW w:w="2060" w:type="dxa"/>
            <w:vAlign w:val="bottom"/>
          </w:tcPr>
          <w:p>
            <w:pPr>
              <w:spacing w:after="0"/>
              <w:rPr>
                <w:sz w:val="20"/>
                <w:szCs w:val="20"/>
                <w:color w:val="auto"/>
              </w:rPr>
            </w:pPr>
            <w:r>
              <w:rPr>
                <w:rFonts w:ascii="Arial" w:cs="Arial" w:eastAsia="Arial" w:hAnsi="Arial"/>
                <w:sz w:val="17"/>
                <w:szCs w:val="17"/>
                <w:color w:val="auto"/>
                <w:w w:val="99"/>
              </w:rPr>
              <w:t>Team Services Group, LLC</w:t>
            </w:r>
          </w:p>
        </w:tc>
        <w:tc>
          <w:tcPr>
            <w:tcW w:w="1940" w:type="dxa"/>
            <w:vAlign w:val="bottom"/>
            <w:gridSpan w:val="2"/>
          </w:tcPr>
          <w:p>
            <w:pPr>
              <w:ind w:left="80"/>
              <w:spacing w:after="0"/>
              <w:rPr>
                <w:sz w:val="20"/>
                <w:szCs w:val="20"/>
                <w:color w:val="auto"/>
              </w:rPr>
            </w:pPr>
            <w:r>
              <w:rPr>
                <w:rFonts w:ascii="Arial" w:cs="Arial" w:eastAsia="Arial" w:hAnsi="Arial"/>
                <w:sz w:val="17"/>
                <w:szCs w:val="17"/>
                <w:color w:val="auto"/>
              </w:rPr>
              <w:t>8,000,000.00</w:t>
            </w:r>
          </w:p>
        </w:tc>
      </w:tr>
      <w:tr>
        <w:trPr>
          <w:trHeight w:val="283"/>
        </w:trPr>
        <w:tc>
          <w:tcPr>
            <w:tcW w:w="2060" w:type="dxa"/>
            <w:vAlign w:val="bottom"/>
          </w:tcPr>
          <w:p>
            <w:pPr>
              <w:spacing w:after="0"/>
              <w:rPr>
                <w:sz w:val="20"/>
                <w:szCs w:val="20"/>
                <w:color w:val="auto"/>
              </w:rPr>
            </w:pPr>
            <w:r>
              <w:rPr>
                <w:rFonts w:ascii="Arial" w:cs="Arial" w:eastAsia="Arial" w:hAnsi="Arial"/>
                <w:sz w:val="17"/>
                <w:szCs w:val="17"/>
                <w:color w:val="auto"/>
              </w:rPr>
              <w:t>The Bluebird Group LLC</w:t>
            </w:r>
          </w:p>
        </w:tc>
        <w:tc>
          <w:tcPr>
            <w:tcW w:w="1940" w:type="dxa"/>
            <w:vAlign w:val="bottom"/>
            <w:gridSpan w:val="2"/>
          </w:tcPr>
          <w:p>
            <w:pPr>
              <w:ind w:left="80"/>
              <w:spacing w:after="0"/>
              <w:rPr>
                <w:sz w:val="20"/>
                <w:szCs w:val="20"/>
                <w:color w:val="auto"/>
              </w:rPr>
            </w:pPr>
            <w:r>
              <w:rPr>
                <w:rFonts w:ascii="Arial" w:cs="Arial" w:eastAsia="Arial" w:hAnsi="Arial"/>
                <w:sz w:val="17"/>
                <w:szCs w:val="17"/>
                <w:color w:val="auto"/>
              </w:rPr>
              <w:t>6,203,273.98</w:t>
            </w: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0" w:type="dxa"/>
            <w:vAlign w:val="bottom"/>
            <w:gridSpan w:val="3"/>
          </w:tcPr>
          <w:p>
            <w:pPr>
              <w:spacing w:after="0"/>
              <w:rPr>
                <w:sz w:val="20"/>
                <w:szCs w:val="20"/>
                <w:color w:val="auto"/>
              </w:rPr>
            </w:pPr>
            <w:r>
              <w:rPr>
                <w:rFonts w:ascii="Arial" w:cs="Arial" w:eastAsia="Arial" w:hAnsi="Arial"/>
                <w:sz w:val="17"/>
                <w:szCs w:val="17"/>
                <w:color w:val="auto"/>
              </w:rPr>
              <w:t>TPC US Parent, LLC</w:t>
            </w:r>
          </w:p>
        </w:tc>
        <w:tc>
          <w:tcPr>
            <w:tcW w:w="1260" w:type="dxa"/>
            <w:vAlign w:val="bottom"/>
            <w:gridSpan w:val="2"/>
          </w:tcPr>
          <w:p>
            <w:pPr>
              <w:ind w:left="120"/>
              <w:spacing w:after="0"/>
              <w:rPr>
                <w:sz w:val="20"/>
                <w:szCs w:val="20"/>
                <w:color w:val="auto"/>
              </w:rPr>
            </w:pPr>
            <w:r>
              <w:rPr>
                <w:rFonts w:ascii="Arial" w:cs="Arial" w:eastAsia="Arial" w:hAnsi="Arial"/>
                <w:sz w:val="17"/>
                <w:szCs w:val="17"/>
                <w:color w:val="auto"/>
              </w:rPr>
              <w:t>160,234.95</w:t>
            </w:r>
          </w:p>
        </w:tc>
        <w:tc>
          <w:tcPr>
            <w:tcW w:w="1140" w:type="dxa"/>
            <w:vAlign w:val="bottom"/>
          </w:tcPr>
          <w:p>
            <w:pPr>
              <w:spacing w:after="0"/>
              <w:rPr>
                <w:sz w:val="16"/>
                <w:szCs w:val="16"/>
                <w:color w:val="auto"/>
              </w:rPr>
            </w:pPr>
          </w:p>
        </w:tc>
      </w:tr>
      <w:tr>
        <w:trPr>
          <w:trHeight w:val="283"/>
        </w:trPr>
        <w:tc>
          <w:tcPr>
            <w:tcW w:w="1220" w:type="dxa"/>
            <w:vAlign w:val="bottom"/>
            <w:gridSpan w:val="2"/>
          </w:tcPr>
          <w:p>
            <w:pPr>
              <w:spacing w:after="0"/>
              <w:rPr>
                <w:sz w:val="20"/>
                <w:szCs w:val="20"/>
                <w:color w:val="auto"/>
              </w:rPr>
            </w:pPr>
            <w:r>
              <w:rPr>
                <w:rFonts w:ascii="Arial" w:cs="Arial" w:eastAsia="Arial" w:hAnsi="Arial"/>
                <w:sz w:val="17"/>
                <w:szCs w:val="17"/>
                <w:color w:val="auto"/>
              </w:rPr>
              <w:t>Azureon, LLC</w:t>
            </w:r>
          </w:p>
        </w:tc>
        <w:tc>
          <w:tcPr>
            <w:tcW w:w="1640" w:type="dxa"/>
            <w:vAlign w:val="bottom"/>
            <w:gridSpan w:val="3"/>
          </w:tcPr>
          <w:p>
            <w:pPr>
              <w:jc w:val="right"/>
              <w:ind w:right="497"/>
              <w:spacing w:after="0"/>
              <w:rPr>
                <w:sz w:val="20"/>
                <w:szCs w:val="20"/>
                <w:color w:val="auto"/>
              </w:rPr>
            </w:pPr>
            <w:r>
              <w:rPr>
                <w:rFonts w:ascii="Arial" w:cs="Arial" w:eastAsia="Arial" w:hAnsi="Arial"/>
                <w:sz w:val="17"/>
                <w:szCs w:val="17"/>
                <w:color w:val="auto"/>
              </w:rPr>
              <w:t>6,634,251.00</w:t>
            </w:r>
          </w:p>
        </w:tc>
        <w:tc>
          <w:tcPr>
            <w:tcW w:w="1140" w:type="dxa"/>
            <w:vAlign w:val="bottom"/>
          </w:tcPr>
          <w:p>
            <w:pPr>
              <w:spacing w:after="0"/>
              <w:rPr>
                <w:sz w:val="24"/>
                <w:szCs w:val="24"/>
                <w:color w:val="auto"/>
              </w:rPr>
            </w:pPr>
          </w:p>
        </w:tc>
      </w:tr>
      <w:tr>
        <w:trPr>
          <w:trHeight w:val="284"/>
        </w:trPr>
        <w:tc>
          <w:tcPr>
            <w:tcW w:w="2860" w:type="dxa"/>
            <w:vAlign w:val="bottom"/>
            <w:gridSpan w:val="5"/>
          </w:tcPr>
          <w:p>
            <w:pPr>
              <w:spacing w:after="0"/>
              <w:rPr>
                <w:sz w:val="20"/>
                <w:szCs w:val="20"/>
                <w:color w:val="auto"/>
              </w:rPr>
            </w:pPr>
            <w:r>
              <w:rPr>
                <w:rFonts w:ascii="Arial" w:cs="Arial" w:eastAsia="Arial" w:hAnsi="Arial"/>
                <w:sz w:val="17"/>
                <w:szCs w:val="17"/>
                <w:color w:val="auto"/>
              </w:rPr>
              <w:t>Urology Management Holdings, Inc.</w:t>
            </w:r>
          </w:p>
        </w:tc>
        <w:tc>
          <w:tcPr>
            <w:tcW w:w="1140" w:type="dxa"/>
            <w:vAlign w:val="bottom"/>
          </w:tcPr>
          <w:p>
            <w:pPr>
              <w:jc w:val="right"/>
              <w:spacing w:after="0"/>
              <w:rPr>
                <w:sz w:val="20"/>
                <w:szCs w:val="20"/>
                <w:color w:val="auto"/>
              </w:rPr>
            </w:pPr>
            <w:r>
              <w:rPr>
                <w:rFonts w:ascii="Arial" w:cs="Arial" w:eastAsia="Arial" w:hAnsi="Arial"/>
                <w:sz w:val="17"/>
                <w:szCs w:val="17"/>
                <w:color w:val="auto"/>
              </w:rPr>
              <w:t>3,597,000.00</w:t>
            </w:r>
          </w:p>
        </w:tc>
      </w:tr>
      <w:tr>
        <w:trPr>
          <w:trHeight w:val="270"/>
        </w:trPr>
        <w:tc>
          <w:tcPr>
            <w:tcW w:w="2860" w:type="dxa"/>
            <w:vAlign w:val="bottom"/>
            <w:gridSpan w:val="5"/>
          </w:tcPr>
          <w:p>
            <w:pPr>
              <w:spacing w:after="0"/>
              <w:rPr>
                <w:sz w:val="20"/>
                <w:szCs w:val="20"/>
                <w:color w:val="auto"/>
              </w:rPr>
            </w:pPr>
            <w:r>
              <w:rPr>
                <w:rFonts w:ascii="Arial" w:cs="Arial" w:eastAsia="Arial" w:hAnsi="Arial"/>
                <w:sz w:val="17"/>
                <w:szCs w:val="17"/>
                <w:color w:val="auto"/>
              </w:rPr>
              <w:t>Velocity Rail Solutions 8,000,000.00</w:t>
            </w:r>
          </w:p>
        </w:tc>
        <w:tc>
          <w:tcPr>
            <w:tcW w:w="1140" w:type="dxa"/>
            <w:vAlign w:val="bottom"/>
          </w:tcPr>
          <w:p>
            <w:pPr>
              <w:spacing w:after="0"/>
              <w:rPr>
                <w:sz w:val="23"/>
                <w:szCs w:val="23"/>
                <w:color w:val="auto"/>
              </w:rPr>
            </w:pPr>
          </w:p>
        </w:tc>
      </w:tr>
      <w:tr>
        <w:trPr>
          <w:trHeight w:val="284"/>
        </w:trPr>
        <w:tc>
          <w:tcPr>
            <w:tcW w:w="4000" w:type="dxa"/>
            <w:vAlign w:val="bottom"/>
            <w:gridSpan w:val="6"/>
          </w:tcPr>
          <w:p>
            <w:pPr>
              <w:spacing w:after="0"/>
              <w:rPr>
                <w:sz w:val="20"/>
                <w:szCs w:val="20"/>
                <w:color w:val="auto"/>
              </w:rPr>
            </w:pPr>
            <w:r>
              <w:rPr>
                <w:rFonts w:ascii="Arial" w:cs="Arial" w:eastAsia="Arial" w:hAnsi="Arial"/>
                <w:sz w:val="17"/>
                <w:szCs w:val="17"/>
                <w:color w:val="auto"/>
              </w:rPr>
              <w:t>Watchtower Intermediate, LLC   2,084,250.00</w:t>
            </w:r>
          </w:p>
        </w:tc>
      </w:tr>
      <w:tr>
        <w:trPr>
          <w:trHeight w:val="284"/>
        </w:trPr>
        <w:tc>
          <w:tcPr>
            <w:tcW w:w="1600" w:type="dxa"/>
            <w:vAlign w:val="bottom"/>
            <w:gridSpan w:val="3"/>
          </w:tcPr>
          <w:p>
            <w:pPr>
              <w:spacing w:after="0"/>
              <w:rPr>
                <w:sz w:val="20"/>
                <w:szCs w:val="20"/>
                <w:color w:val="auto"/>
              </w:rPr>
            </w:pPr>
            <w:r>
              <w:rPr>
                <w:rFonts w:ascii="Arial" w:cs="Arial" w:eastAsia="Arial" w:hAnsi="Arial"/>
                <w:sz w:val="17"/>
                <w:szCs w:val="17"/>
                <w:color w:val="auto"/>
              </w:rPr>
              <w:t>Bland Landscaping</w:t>
            </w:r>
          </w:p>
        </w:tc>
        <w:tc>
          <w:tcPr>
            <w:tcW w:w="1260" w:type="dxa"/>
            <w:vAlign w:val="bottom"/>
            <w:gridSpan w:val="2"/>
          </w:tcPr>
          <w:p>
            <w:pPr>
              <w:ind w:left="120"/>
              <w:spacing w:after="0"/>
              <w:rPr>
                <w:sz w:val="20"/>
                <w:szCs w:val="20"/>
                <w:color w:val="auto"/>
              </w:rPr>
            </w:pPr>
            <w:r>
              <w:rPr>
                <w:rFonts w:ascii="Arial" w:cs="Arial" w:eastAsia="Arial" w:hAnsi="Arial"/>
                <w:sz w:val="17"/>
                <w:szCs w:val="17"/>
                <w:color w:val="auto"/>
              </w:rPr>
              <w:t>8,000,000.00</w:t>
            </w:r>
          </w:p>
        </w:tc>
        <w:tc>
          <w:tcPr>
            <w:tcW w:w="1140" w:type="dxa"/>
            <w:vAlign w:val="bottom"/>
          </w:tcPr>
          <w:p>
            <w:pPr>
              <w:spacing w:after="0"/>
              <w:rPr>
                <w:sz w:val="24"/>
                <w:szCs w:val="24"/>
                <w:color w:val="auto"/>
              </w:rPr>
            </w:pPr>
          </w:p>
        </w:tc>
      </w:tr>
      <w:tr>
        <w:trPr>
          <w:trHeight w:val="270"/>
        </w:trPr>
        <w:tc>
          <w:tcPr>
            <w:tcW w:w="2000" w:type="dxa"/>
            <w:vAlign w:val="bottom"/>
            <w:gridSpan w:val="4"/>
          </w:tcPr>
          <w:p>
            <w:pPr>
              <w:spacing w:after="0"/>
              <w:rPr>
                <w:sz w:val="20"/>
                <w:szCs w:val="20"/>
                <w:color w:val="auto"/>
              </w:rPr>
            </w:pPr>
            <w:r>
              <w:rPr>
                <w:rFonts w:ascii="Arial" w:cs="Arial" w:eastAsia="Arial" w:hAnsi="Arial"/>
                <w:sz w:val="17"/>
                <w:szCs w:val="17"/>
                <w:color w:val="auto"/>
              </w:rPr>
              <w:t>Best Practice Associates</w:t>
            </w:r>
          </w:p>
        </w:tc>
        <w:tc>
          <w:tcPr>
            <w:tcW w:w="2000" w:type="dxa"/>
            <w:vAlign w:val="bottom"/>
            <w:gridSpan w:val="2"/>
          </w:tcPr>
          <w:p>
            <w:pPr>
              <w:jc w:val="right"/>
              <w:ind w:right="777"/>
              <w:spacing w:after="0"/>
              <w:rPr>
                <w:sz w:val="20"/>
                <w:szCs w:val="20"/>
                <w:color w:val="auto"/>
              </w:rPr>
            </w:pPr>
            <w:r>
              <w:rPr>
                <w:rFonts w:ascii="Arial" w:cs="Arial" w:eastAsia="Arial" w:hAnsi="Arial"/>
                <w:sz w:val="17"/>
                <w:szCs w:val="17"/>
                <w:color w:val="auto"/>
              </w:rPr>
              <w:t>8,000,000.00</w:t>
            </w:r>
          </w:p>
        </w:tc>
      </w:tr>
      <w:tr>
        <w:trPr>
          <w:trHeight w:val="283"/>
        </w:trPr>
        <w:tc>
          <w:tcPr>
            <w:tcW w:w="1220" w:type="dxa"/>
            <w:vAlign w:val="bottom"/>
            <w:gridSpan w:val="2"/>
          </w:tcPr>
          <w:p>
            <w:pPr>
              <w:spacing w:after="0"/>
              <w:rPr>
                <w:sz w:val="20"/>
                <w:szCs w:val="20"/>
                <w:color w:val="auto"/>
              </w:rPr>
            </w:pPr>
            <w:r>
              <w:rPr>
                <w:rFonts w:ascii="Arial" w:cs="Arial" w:eastAsia="Arial" w:hAnsi="Arial"/>
                <w:sz w:val="17"/>
                <w:szCs w:val="17"/>
                <w:color w:val="auto"/>
              </w:rPr>
              <w:t>Boss Industries</w:t>
            </w:r>
          </w:p>
        </w:tc>
        <w:tc>
          <w:tcPr>
            <w:tcW w:w="1640" w:type="dxa"/>
            <w:vAlign w:val="bottom"/>
            <w:gridSpan w:val="3"/>
          </w:tcPr>
          <w:p>
            <w:pPr>
              <w:jc w:val="right"/>
              <w:ind w:right="497"/>
              <w:spacing w:after="0"/>
              <w:rPr>
                <w:sz w:val="20"/>
                <w:szCs w:val="20"/>
                <w:color w:val="auto"/>
              </w:rPr>
            </w:pPr>
            <w:r>
              <w:rPr>
                <w:rFonts w:ascii="Arial" w:cs="Arial" w:eastAsia="Arial" w:hAnsi="Arial"/>
                <w:sz w:val="17"/>
                <w:szCs w:val="17"/>
                <w:color w:val="auto"/>
              </w:rPr>
              <w:t>8,000,000.00</w:t>
            </w:r>
          </w:p>
        </w:tc>
        <w:tc>
          <w:tcPr>
            <w:tcW w:w="1140" w:type="dxa"/>
            <w:vAlign w:val="bottom"/>
          </w:tcPr>
          <w:p>
            <w:pPr>
              <w:spacing w:after="0"/>
              <w:rPr>
                <w:sz w:val="24"/>
                <w:szCs w:val="24"/>
                <w:color w:val="auto"/>
              </w:rPr>
            </w:pPr>
          </w:p>
        </w:tc>
      </w:tr>
      <w:tr>
        <w:trPr>
          <w:trHeight w:val="283"/>
        </w:trPr>
        <w:tc>
          <w:tcPr>
            <w:tcW w:w="760" w:type="dxa"/>
            <w:vAlign w:val="bottom"/>
          </w:tcPr>
          <w:p>
            <w:pPr>
              <w:spacing w:after="0"/>
              <w:rPr>
                <w:sz w:val="20"/>
                <w:szCs w:val="20"/>
                <w:color w:val="auto"/>
              </w:rPr>
            </w:pPr>
            <w:r>
              <w:rPr>
                <w:rFonts w:ascii="Arial" w:cs="Arial" w:eastAsia="Arial" w:hAnsi="Arial"/>
                <w:sz w:val="17"/>
                <w:szCs w:val="17"/>
                <w:color w:val="auto"/>
              </w:rPr>
              <w:t>360DG</w:t>
            </w:r>
          </w:p>
        </w:tc>
        <w:tc>
          <w:tcPr>
            <w:tcW w:w="1240" w:type="dxa"/>
            <w:vAlign w:val="bottom"/>
            <w:gridSpan w:val="3"/>
          </w:tcPr>
          <w:p>
            <w:pPr>
              <w:jc w:val="right"/>
              <w:ind w:right="57"/>
              <w:spacing w:after="0"/>
              <w:rPr>
                <w:sz w:val="20"/>
                <w:szCs w:val="20"/>
                <w:color w:val="auto"/>
              </w:rPr>
            </w:pPr>
            <w:r>
              <w:rPr>
                <w:rFonts w:ascii="Arial" w:cs="Arial" w:eastAsia="Arial" w:hAnsi="Arial"/>
                <w:sz w:val="17"/>
                <w:szCs w:val="17"/>
                <w:color w:val="auto"/>
              </w:rPr>
              <w:t>8,000,000.00</w:t>
            </w: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4"/>
        </w:trPr>
        <w:tc>
          <w:tcPr>
            <w:tcW w:w="760" w:type="dxa"/>
            <w:vAlign w:val="bottom"/>
          </w:tcPr>
          <w:p>
            <w:pPr>
              <w:spacing w:after="0"/>
              <w:rPr>
                <w:sz w:val="20"/>
                <w:szCs w:val="20"/>
                <w:color w:val="auto"/>
              </w:rPr>
            </w:pPr>
            <w:r>
              <w:rPr>
                <w:rFonts w:ascii="Arial" w:cs="Arial" w:eastAsia="Arial" w:hAnsi="Arial"/>
                <w:sz w:val="17"/>
                <w:szCs w:val="17"/>
                <w:color w:val="auto"/>
              </w:rPr>
              <w:t>Seacoast</w:t>
            </w:r>
          </w:p>
        </w:tc>
        <w:tc>
          <w:tcPr>
            <w:tcW w:w="1240" w:type="dxa"/>
            <w:vAlign w:val="bottom"/>
            <w:gridSpan w:val="3"/>
          </w:tcPr>
          <w:p>
            <w:pPr>
              <w:jc w:val="right"/>
              <w:ind w:right="57"/>
              <w:spacing w:after="0"/>
              <w:rPr>
                <w:sz w:val="20"/>
                <w:szCs w:val="20"/>
                <w:color w:val="auto"/>
              </w:rPr>
            </w:pPr>
            <w:r>
              <w:rPr>
                <w:rFonts w:ascii="Arial" w:cs="Arial" w:eastAsia="Arial" w:hAnsi="Arial"/>
                <w:sz w:val="17"/>
                <w:szCs w:val="17"/>
                <w:color w:val="auto"/>
              </w:rPr>
              <w:t>7,833,400.00</w:t>
            </w: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3"/>
        </w:trPr>
        <w:tc>
          <w:tcPr>
            <w:tcW w:w="2000" w:type="dxa"/>
            <w:vAlign w:val="bottom"/>
            <w:gridSpan w:val="4"/>
          </w:tcPr>
          <w:p>
            <w:pPr>
              <w:spacing w:after="0"/>
              <w:rPr>
                <w:sz w:val="20"/>
                <w:szCs w:val="20"/>
                <w:color w:val="auto"/>
              </w:rPr>
            </w:pPr>
            <w:r>
              <w:rPr>
                <w:rFonts w:ascii="Arial" w:cs="Arial" w:eastAsia="Arial" w:hAnsi="Arial"/>
                <w:sz w:val="17"/>
                <w:szCs w:val="17"/>
                <w:color w:val="auto"/>
              </w:rPr>
              <w:t>RealmOne 8,000,000.00</w:t>
            </w: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760" w:type="dxa"/>
            <w:vAlign w:val="bottom"/>
          </w:tcPr>
          <w:p>
            <w:pPr>
              <w:spacing w:after="0"/>
              <w:rPr>
                <w:sz w:val="20"/>
                <w:szCs w:val="20"/>
                <w:color w:val="auto"/>
              </w:rPr>
            </w:pPr>
            <w:r>
              <w:rPr>
                <w:rFonts w:ascii="Arial" w:cs="Arial" w:eastAsia="Arial" w:hAnsi="Arial"/>
                <w:sz w:val="17"/>
                <w:szCs w:val="17"/>
                <w:color w:val="auto"/>
              </w:rPr>
              <w:t>Tranzact</w:t>
            </w:r>
          </w:p>
        </w:tc>
        <w:tc>
          <w:tcPr>
            <w:tcW w:w="1240" w:type="dxa"/>
            <w:vAlign w:val="bottom"/>
            <w:gridSpan w:val="3"/>
          </w:tcPr>
          <w:p>
            <w:pPr>
              <w:jc w:val="right"/>
              <w:ind w:right="57"/>
              <w:spacing w:after="0"/>
              <w:rPr>
                <w:sz w:val="20"/>
                <w:szCs w:val="20"/>
                <w:color w:val="auto"/>
              </w:rPr>
            </w:pPr>
            <w:r>
              <w:rPr>
                <w:rFonts w:ascii="Arial" w:cs="Arial" w:eastAsia="Arial" w:hAnsi="Arial"/>
                <w:sz w:val="17"/>
                <w:szCs w:val="17"/>
                <w:color w:val="auto"/>
              </w:rPr>
              <w:t>8,000,000.00</w:t>
            </w:r>
          </w:p>
        </w:tc>
        <w:tc>
          <w:tcPr>
            <w:tcW w:w="860" w:type="dxa"/>
            <w:vAlign w:val="bottom"/>
          </w:tcPr>
          <w:p>
            <w:pPr>
              <w:spacing w:after="0"/>
              <w:rPr>
                <w:sz w:val="23"/>
                <w:szCs w:val="23"/>
                <w:color w:val="auto"/>
              </w:rPr>
            </w:pPr>
          </w:p>
        </w:tc>
        <w:tc>
          <w:tcPr>
            <w:tcW w:w="1140" w:type="dxa"/>
            <w:vAlign w:val="bottom"/>
          </w:tcPr>
          <w:p>
            <w:pPr>
              <w:spacing w:after="0"/>
              <w:rPr>
                <w:sz w:val="23"/>
                <w:szCs w:val="23"/>
                <w:color w:val="auto"/>
              </w:rPr>
            </w:pPr>
          </w:p>
        </w:tc>
      </w:tr>
    </w:tbl>
    <w:p>
      <w:pPr>
        <w:spacing w:after="0" w:line="61" w:lineRule="exact"/>
        <w:rPr>
          <w:sz w:val="20"/>
          <w:szCs w:val="20"/>
          <w:color w:val="auto"/>
        </w:rPr>
      </w:pPr>
    </w:p>
    <w:p>
      <w:pPr>
        <w:jc w:val="right"/>
        <w:spacing w:after="0"/>
        <w:rPr>
          <w:sz w:val="20"/>
          <w:szCs w:val="20"/>
          <w:color w:val="auto"/>
        </w:rPr>
      </w:pPr>
      <w:r>
        <w:rPr>
          <w:rFonts w:ascii="Arial" w:cs="Arial" w:eastAsia="Arial" w:hAnsi="Arial"/>
          <w:sz w:val="17"/>
          <w:szCs w:val="17"/>
          <w:color w:val="auto"/>
          <w:highlight w:val="black"/>
        </w:rPr>
        <w:t>423,633,151.34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2527935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7" w:right="379" w:bottom="1440" w:gutter="0" w:footer="0" w:header="0"/>
        </w:sectPr>
      </w:pPr>
    </w:p>
    <w:bookmarkStart w:id="257" w:name="page258"/>
    <w:bookmarkEnd w:id="257"/>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CALCULATION OF S&amp;P EQUIVALENT DIVERSITY SCORE</w:t>
      </w:r>
    </w:p>
    <w:p>
      <w:pPr>
        <w:spacing w:after="0" w:line="206"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Equivalent Diversity Score</w:t>
      </w:r>
      <w:r>
        <w:rPr>
          <w:rFonts w:ascii="Times New Roman" w:cs="Times New Roman" w:eastAsia="Times New Roman" w:hAnsi="Times New Roman"/>
          <w:sz w:val="22"/>
          <w:szCs w:val="22"/>
          <w:color w:val="auto"/>
        </w:rPr>
        <w:t>" means the sum of each of the Industry Diversity Scores for each S&amp;P Industry Classification, which are calculated as follows:</w:t>
      </w:r>
    </w:p>
    <w:p>
      <w:pPr>
        <w:spacing w:after="0" w:line="158" w:lineRule="exact"/>
        <w:rPr>
          <w:sz w:val="20"/>
          <w:szCs w:val="20"/>
          <w:color w:val="auto"/>
        </w:rPr>
      </w:pPr>
    </w:p>
    <w:p>
      <w:pPr>
        <w:ind w:firstLine="757"/>
        <w:spacing w:after="0" w:line="258" w:lineRule="auto"/>
        <w:tabs>
          <w:tab w:leader="none" w:pos="1181"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Issuer Par Amount</w:t>
      </w:r>
      <w:r>
        <w:rPr>
          <w:rFonts w:ascii="Times New Roman" w:cs="Times New Roman" w:eastAsia="Times New Roman" w:hAnsi="Times New Roman"/>
          <w:sz w:val="22"/>
          <w:szCs w:val="22"/>
          <w:color w:val="auto"/>
        </w:rPr>
        <w:t>" is calculated for each Obligor in respect of a Collateral Obligation, and is equal to the Aggregate Principal Balance of all the Collateral Obligations issued by that Obligor and all its affiliates.</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Average Par Amount</w:t>
      </w:r>
      <w:r>
        <w:rPr>
          <w:rFonts w:ascii="Times New Roman" w:cs="Times New Roman" w:eastAsia="Times New Roman" w:hAnsi="Times New Roman"/>
          <w:sz w:val="22"/>
          <w:szCs w:val="22"/>
          <w:color w:val="auto"/>
        </w:rPr>
        <w:t>" is calculated by dividing the sum of the Issuer Par Amounts for all Obligors by the number of Obligors; provided that, for purposes of calculating the Average Par Amount, any affiliated Obligors in the same S&amp;P Industry Classification will be considered one Obligor.</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Equivalent Unit Score</w:t>
      </w:r>
      <w:r>
        <w:rPr>
          <w:rFonts w:ascii="Times New Roman" w:cs="Times New Roman" w:eastAsia="Times New Roman" w:hAnsi="Times New Roman"/>
          <w:sz w:val="22"/>
          <w:szCs w:val="22"/>
          <w:color w:val="auto"/>
        </w:rPr>
        <w:t xml:space="preserve">" is calculated for each Obligor by taking the lesser of (a) one and (b) the Issuer Par Amount for such Obligor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the Average Par Amount.</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Aggregate Industry Equivalent Unit Score</w:t>
      </w:r>
      <w:r>
        <w:rPr>
          <w:rFonts w:ascii="Times New Roman" w:cs="Times New Roman" w:eastAsia="Times New Roman" w:hAnsi="Times New Roman"/>
          <w:sz w:val="22"/>
          <w:szCs w:val="22"/>
          <w:color w:val="auto"/>
        </w:rPr>
        <w:t>" is then calculated for each S&amp;P Industry Classification, by adding the Equivalent Unit Scores for each Obligor in such S&amp;P Industry Classification.</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 </w:t>
      </w:r>
      <w:r>
        <w:rPr>
          <w:rFonts w:ascii="Times New Roman" w:cs="Times New Roman" w:eastAsia="Times New Roman" w:hAnsi="Times New Roman"/>
          <w:sz w:val="22"/>
          <w:szCs w:val="22"/>
          <w:u w:val="single" w:color="auto"/>
          <w:color w:val="auto"/>
        </w:rPr>
        <w:t>Industry Diversity Score</w:t>
      </w:r>
      <w:r>
        <w:rPr>
          <w:rFonts w:ascii="Times New Roman" w:cs="Times New Roman" w:eastAsia="Times New Roman" w:hAnsi="Times New Roman"/>
          <w:sz w:val="22"/>
          <w:szCs w:val="22"/>
          <w:color w:val="auto"/>
        </w:rPr>
        <w:t xml:space="preserve">" is determined for each S&amp;P Industry Classification by reference to the S&amp;P Equivalent Diversity Score Table set forth below for the related Aggregate Industry Equivalent Unit Score;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any Aggregate Industry Equivalent Unit Score falls between any two such scores, then the Industry Diversity Score for that industry will be the lower of the two Diversity Scores in the table.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S&amp;P Equivalent Diversity Score Table</w:t>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color w:val="auto"/>
              </w:rPr>
              <w:t>Aggregate Industry</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Aggregate Industry</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Aggregate Industry</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Aggregate Industry</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480" w:type="dxa"/>
            <w:vAlign w:val="bottom"/>
            <w:gridSpan w:val="3"/>
          </w:tcPr>
          <w:p>
            <w:pPr>
              <w:jc w:val="center"/>
              <w:ind w:right="300"/>
              <w:spacing w:after="0" w:line="166" w:lineRule="exact"/>
              <w:rPr>
                <w:sz w:val="20"/>
                <w:szCs w:val="20"/>
                <w:color w:val="auto"/>
              </w:rPr>
            </w:pPr>
            <w:r>
              <w:rPr>
                <w:rFonts w:ascii="Times New Roman" w:cs="Times New Roman" w:eastAsia="Times New Roman" w:hAnsi="Times New Roman"/>
                <w:sz w:val="15"/>
                <w:szCs w:val="15"/>
                <w:color w:val="auto"/>
              </w:rPr>
              <w:t>Equivalent</w:t>
            </w:r>
          </w:p>
        </w:tc>
        <w:tc>
          <w:tcPr>
            <w:tcW w:w="112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5"/>
                <w:szCs w:val="15"/>
                <w:color w:val="auto"/>
              </w:rPr>
              <w:t>Diversity</w:t>
            </w:r>
          </w:p>
        </w:tc>
        <w:tc>
          <w:tcPr>
            <w:tcW w:w="1720" w:type="dxa"/>
            <w:vAlign w:val="bottom"/>
            <w:gridSpan w:val="3"/>
          </w:tcPr>
          <w:p>
            <w:pPr>
              <w:jc w:val="center"/>
              <w:ind w:right="20"/>
              <w:spacing w:after="0" w:line="166" w:lineRule="exact"/>
              <w:rPr>
                <w:sz w:val="20"/>
                <w:szCs w:val="20"/>
                <w:color w:val="auto"/>
              </w:rPr>
            </w:pPr>
            <w:r>
              <w:rPr>
                <w:rFonts w:ascii="Times New Roman" w:cs="Times New Roman" w:eastAsia="Times New Roman" w:hAnsi="Times New Roman"/>
                <w:sz w:val="15"/>
                <w:szCs w:val="15"/>
                <w:color w:val="auto"/>
              </w:rPr>
              <w:t>Equivalent</w:t>
            </w:r>
          </w:p>
        </w:tc>
        <w:tc>
          <w:tcPr>
            <w:tcW w:w="110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5"/>
                <w:szCs w:val="15"/>
                <w:color w:val="auto"/>
              </w:rPr>
              <w:t>Diversity</w:t>
            </w:r>
          </w:p>
        </w:tc>
        <w:tc>
          <w:tcPr>
            <w:tcW w:w="174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5"/>
                <w:szCs w:val="15"/>
                <w:color w:val="auto"/>
              </w:rPr>
              <w:t>Equivalent</w:t>
            </w:r>
          </w:p>
        </w:tc>
        <w:tc>
          <w:tcPr>
            <w:tcW w:w="104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5"/>
                <w:szCs w:val="15"/>
                <w:color w:val="auto"/>
              </w:rPr>
              <w:t>Diversity</w:t>
            </w:r>
          </w:p>
        </w:tc>
        <w:tc>
          <w:tcPr>
            <w:tcW w:w="1760" w:type="dxa"/>
            <w:vAlign w:val="bottom"/>
            <w:gridSpan w:val="3"/>
          </w:tcPr>
          <w:p>
            <w:pPr>
              <w:ind w:left="200"/>
              <w:spacing w:after="0" w:line="166" w:lineRule="exact"/>
              <w:rPr>
                <w:sz w:val="20"/>
                <w:szCs w:val="20"/>
                <w:color w:val="auto"/>
              </w:rPr>
            </w:pPr>
            <w:r>
              <w:rPr>
                <w:rFonts w:ascii="Times New Roman" w:cs="Times New Roman" w:eastAsia="Times New Roman" w:hAnsi="Times New Roman"/>
                <w:sz w:val="15"/>
                <w:szCs w:val="15"/>
                <w:color w:val="auto"/>
              </w:rPr>
              <w:t>Equivalent Unit Score</w:t>
            </w:r>
          </w:p>
        </w:tc>
        <w:tc>
          <w:tcPr>
            <w:tcW w:w="780" w:type="dxa"/>
            <w:vAlign w:val="bottom"/>
            <w:gridSpan w:val="3"/>
          </w:tcPr>
          <w:p>
            <w:pPr>
              <w:jc w:val="center"/>
              <w:ind w:left="124"/>
              <w:spacing w:after="0" w:line="166" w:lineRule="exact"/>
              <w:rPr>
                <w:sz w:val="20"/>
                <w:szCs w:val="20"/>
                <w:color w:val="auto"/>
              </w:rPr>
            </w:pPr>
            <w:r>
              <w:rPr>
                <w:rFonts w:ascii="Times New Roman" w:cs="Times New Roman" w:eastAsia="Times New Roman" w:hAnsi="Times New Roman"/>
                <w:sz w:val="15"/>
                <w:szCs w:val="15"/>
                <w:color w:val="auto"/>
              </w:rPr>
              <w:t>Diversity</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20" w:type="dxa"/>
            <w:vAlign w:val="bottom"/>
            <w:gridSpan w:val="2"/>
            <w:vMerge w:val="restart"/>
          </w:tcPr>
          <w:p>
            <w:pPr>
              <w:jc w:val="center"/>
              <w:ind w:right="560"/>
              <w:spacing w:after="0" w:line="162" w:lineRule="exact"/>
              <w:rPr>
                <w:sz w:val="20"/>
                <w:szCs w:val="20"/>
                <w:color w:val="auto"/>
              </w:rPr>
            </w:pPr>
            <w:r>
              <w:rPr>
                <w:rFonts w:ascii="Times New Roman" w:cs="Times New Roman" w:eastAsia="Times New Roman" w:hAnsi="Times New Roman"/>
                <w:sz w:val="15"/>
                <w:szCs w:val="15"/>
                <w:color w:val="auto"/>
              </w:rPr>
              <w:t>Unit Score</w:t>
            </w:r>
          </w:p>
        </w:tc>
        <w:tc>
          <w:tcPr>
            <w:tcW w:w="380" w:type="dxa"/>
            <w:vAlign w:val="bottom"/>
          </w:tcPr>
          <w:p>
            <w:pPr>
              <w:spacing w:after="0" w:line="20" w:lineRule="exact"/>
              <w:rPr>
                <w:sz w:val="1"/>
                <w:szCs w:val="1"/>
                <w:color w:val="auto"/>
              </w:rPr>
            </w:pPr>
          </w:p>
        </w:tc>
        <w:tc>
          <w:tcPr>
            <w:tcW w:w="740" w:type="dxa"/>
            <w:vAlign w:val="bottom"/>
            <w:gridSpan w:val="2"/>
            <w:vMerge w:val="restart"/>
          </w:tcPr>
          <w:p>
            <w:pPr>
              <w:jc w:val="center"/>
              <w:ind w:right="380"/>
              <w:spacing w:after="0" w:line="162" w:lineRule="exact"/>
              <w:rPr>
                <w:sz w:val="20"/>
                <w:szCs w:val="20"/>
                <w:color w:val="auto"/>
              </w:rPr>
            </w:pPr>
            <w:r>
              <w:rPr>
                <w:rFonts w:ascii="Times New Roman" w:cs="Times New Roman" w:eastAsia="Times New Roman" w:hAnsi="Times New Roman"/>
                <w:sz w:val="15"/>
                <w:szCs w:val="15"/>
                <w:color w:val="auto"/>
              </w:rPr>
              <w:t>Score</w:t>
            </w:r>
          </w:p>
        </w:tc>
        <w:tc>
          <w:tcPr>
            <w:tcW w:w="540" w:type="dxa"/>
            <w:vAlign w:val="bottom"/>
          </w:tcPr>
          <w:p>
            <w:pPr>
              <w:spacing w:after="0" w:line="20" w:lineRule="exact"/>
              <w:rPr>
                <w:sz w:val="1"/>
                <w:szCs w:val="1"/>
                <w:color w:val="auto"/>
              </w:rPr>
            </w:pPr>
          </w:p>
        </w:tc>
        <w:tc>
          <w:tcPr>
            <w:tcW w:w="1180" w:type="dxa"/>
            <w:vAlign w:val="bottom"/>
            <w:gridSpan w:val="2"/>
            <w:vMerge w:val="restart"/>
          </w:tcPr>
          <w:p>
            <w:pPr>
              <w:spacing w:after="0" w:line="162" w:lineRule="exact"/>
              <w:rPr>
                <w:sz w:val="20"/>
                <w:szCs w:val="20"/>
                <w:color w:val="auto"/>
              </w:rPr>
            </w:pPr>
            <w:r>
              <w:rPr>
                <w:rFonts w:ascii="Times New Roman" w:cs="Times New Roman" w:eastAsia="Times New Roman" w:hAnsi="Times New Roman"/>
                <w:sz w:val="15"/>
                <w:szCs w:val="15"/>
                <w:color w:val="auto"/>
              </w:rPr>
              <w:t>Unit Score</w:t>
            </w:r>
          </w:p>
        </w:tc>
        <w:tc>
          <w:tcPr>
            <w:tcW w:w="380" w:type="dxa"/>
            <w:vAlign w:val="bottom"/>
          </w:tcPr>
          <w:p>
            <w:pPr>
              <w:spacing w:after="0" w:line="20" w:lineRule="exact"/>
              <w:rPr>
                <w:sz w:val="1"/>
                <w:szCs w:val="1"/>
                <w:color w:val="auto"/>
              </w:rPr>
            </w:pPr>
          </w:p>
        </w:tc>
        <w:tc>
          <w:tcPr>
            <w:tcW w:w="720" w:type="dxa"/>
            <w:vAlign w:val="bottom"/>
            <w:gridSpan w:val="2"/>
            <w:vMerge w:val="restart"/>
          </w:tcPr>
          <w:p>
            <w:pPr>
              <w:jc w:val="center"/>
              <w:ind w:right="360"/>
              <w:spacing w:after="0" w:line="162" w:lineRule="exact"/>
              <w:rPr>
                <w:sz w:val="20"/>
                <w:szCs w:val="20"/>
                <w:color w:val="auto"/>
              </w:rPr>
            </w:pPr>
            <w:r>
              <w:rPr>
                <w:rFonts w:ascii="Times New Roman" w:cs="Times New Roman" w:eastAsia="Times New Roman" w:hAnsi="Times New Roman"/>
                <w:sz w:val="15"/>
                <w:szCs w:val="15"/>
                <w:color w:val="auto"/>
              </w:rPr>
              <w:t>Score</w:t>
            </w:r>
          </w:p>
        </w:tc>
        <w:tc>
          <w:tcPr>
            <w:tcW w:w="1740" w:type="dxa"/>
            <w:vAlign w:val="bottom"/>
            <w:gridSpan w:val="3"/>
            <w:vMerge w:val="restart"/>
          </w:tcPr>
          <w:p>
            <w:pPr>
              <w:jc w:val="center"/>
              <w:spacing w:after="0" w:line="162" w:lineRule="exact"/>
              <w:rPr>
                <w:sz w:val="20"/>
                <w:szCs w:val="20"/>
                <w:color w:val="auto"/>
              </w:rPr>
            </w:pPr>
            <w:r>
              <w:rPr>
                <w:rFonts w:ascii="Times New Roman" w:cs="Times New Roman" w:eastAsia="Times New Roman" w:hAnsi="Times New Roman"/>
                <w:sz w:val="15"/>
                <w:szCs w:val="15"/>
                <w:color w:val="auto"/>
              </w:rPr>
              <w:t>Unit Score</w:t>
            </w:r>
          </w:p>
        </w:tc>
        <w:tc>
          <w:tcPr>
            <w:tcW w:w="380" w:type="dxa"/>
            <w:vAlign w:val="bottom"/>
          </w:tcPr>
          <w:p>
            <w:pPr>
              <w:spacing w:after="0" w:line="20" w:lineRule="exact"/>
              <w:rPr>
                <w:sz w:val="1"/>
                <w:szCs w:val="1"/>
                <w:color w:val="auto"/>
              </w:rPr>
            </w:pPr>
          </w:p>
        </w:tc>
        <w:tc>
          <w:tcPr>
            <w:tcW w:w="660" w:type="dxa"/>
            <w:vAlign w:val="bottom"/>
            <w:gridSpan w:val="2"/>
            <w:vMerge w:val="restart"/>
          </w:tcPr>
          <w:p>
            <w:pPr>
              <w:jc w:val="center"/>
              <w:ind w:right="320"/>
              <w:spacing w:after="0" w:line="162" w:lineRule="exact"/>
              <w:rPr>
                <w:sz w:val="20"/>
                <w:szCs w:val="20"/>
                <w:color w:val="auto"/>
              </w:rPr>
            </w:pPr>
            <w:r>
              <w:rPr>
                <w:rFonts w:ascii="Times New Roman" w:cs="Times New Roman" w:eastAsia="Times New Roman" w:hAnsi="Times New Roman"/>
                <w:sz w:val="15"/>
                <w:szCs w:val="15"/>
                <w:color w:val="auto"/>
                <w:w w:val="99"/>
              </w:rPr>
              <w:t>Score</w:t>
            </w:r>
          </w:p>
        </w:tc>
        <w:tc>
          <w:tcPr>
            <w:tcW w:w="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3"/>
            <w:vMerge w:val="restart"/>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w w:val="99"/>
              </w:rPr>
              <w:t>Score</w:t>
            </w:r>
          </w:p>
        </w:tc>
        <w:tc>
          <w:tcPr>
            <w:tcW w:w="0" w:type="dxa"/>
            <w:vAlign w:val="bottom"/>
          </w:tcPr>
          <w:p>
            <w:pPr>
              <w:spacing w:after="0" w:line="20" w:lineRule="exact"/>
              <w:rPr>
                <w:sz w:val="1"/>
                <w:szCs w:val="1"/>
                <w:color w:val="auto"/>
              </w:rPr>
            </w:pPr>
          </w:p>
        </w:tc>
      </w:tr>
      <w:tr>
        <w:trPr>
          <w:trHeight w:val="142"/>
        </w:trPr>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560" w:type="dxa"/>
            <w:vAlign w:val="bottom"/>
            <w:gridSpan w:val="2"/>
            <w:vMerge w:val="restart"/>
          </w:tcPr>
          <w:p>
            <w:pPr>
              <w:jc w:val="center"/>
              <w:ind w:left="144"/>
              <w:spacing w:after="0"/>
              <w:rPr>
                <w:sz w:val="20"/>
                <w:szCs w:val="20"/>
                <w:color w:val="auto"/>
              </w:rPr>
            </w:pPr>
            <w:r>
              <w:rPr>
                <w:rFonts w:ascii="Times New Roman" w:cs="Times New Roman" w:eastAsia="Times New Roman" w:hAnsi="Times New Roman"/>
                <w:sz w:val="15"/>
                <w:szCs w:val="15"/>
                <w:color w:val="auto"/>
              </w:rPr>
              <w:t>15.2500</w:t>
            </w:r>
          </w:p>
        </w:tc>
        <w:tc>
          <w:tcPr>
            <w:tcW w:w="2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60" w:type="dxa"/>
            <w:vAlign w:val="bottom"/>
            <w:vMerge w:val="continue"/>
          </w:tcPr>
          <w:p>
            <w:pPr>
              <w:spacing w:after="0"/>
              <w:rPr>
                <w:sz w:val="12"/>
                <w:szCs w:val="12"/>
                <w:color w:val="auto"/>
              </w:rPr>
            </w:pPr>
          </w:p>
        </w:tc>
        <w:tc>
          <w:tcPr>
            <w:tcW w:w="660" w:type="dxa"/>
            <w:vAlign w:val="bottom"/>
          </w:tcPr>
          <w:p>
            <w:pPr>
              <w:jc w:val="center"/>
              <w:spacing w:after="0" w:line="138" w:lineRule="exact"/>
              <w:rPr>
                <w:sz w:val="20"/>
                <w:szCs w:val="20"/>
                <w:color w:val="auto"/>
              </w:rPr>
            </w:pPr>
            <w:r>
              <w:rPr>
                <w:rFonts w:ascii="Times New Roman" w:cs="Times New Roman" w:eastAsia="Times New Roman" w:hAnsi="Times New Roman"/>
                <w:sz w:val="15"/>
                <w:szCs w:val="15"/>
                <w:color w:val="auto"/>
              </w:rPr>
              <w:t>0.0000</w:t>
            </w:r>
          </w:p>
        </w:tc>
        <w:tc>
          <w:tcPr>
            <w:tcW w:w="560" w:type="dxa"/>
            <w:vAlign w:val="bottom"/>
          </w:tcPr>
          <w:p>
            <w:pPr>
              <w:spacing w:after="0"/>
              <w:rPr>
                <w:sz w:val="12"/>
                <w:szCs w:val="12"/>
                <w:color w:val="auto"/>
              </w:rPr>
            </w:pPr>
          </w:p>
        </w:tc>
        <w:tc>
          <w:tcPr>
            <w:tcW w:w="740" w:type="dxa"/>
            <w:vAlign w:val="bottom"/>
            <w:gridSpan w:val="2"/>
          </w:tcPr>
          <w:p>
            <w:pPr>
              <w:ind w:left="360"/>
              <w:spacing w:after="0" w:line="138" w:lineRule="exact"/>
              <w:rPr>
                <w:sz w:val="20"/>
                <w:szCs w:val="20"/>
                <w:color w:val="auto"/>
              </w:rPr>
            </w:pPr>
            <w:r>
              <w:rPr>
                <w:rFonts w:ascii="Times New Roman" w:cs="Times New Roman" w:eastAsia="Times New Roman" w:hAnsi="Times New Roman"/>
                <w:sz w:val="15"/>
                <w:szCs w:val="15"/>
                <w:color w:val="auto"/>
                <w:w w:val="87"/>
              </w:rPr>
              <w:t>0.0000</w:t>
            </w:r>
          </w:p>
        </w:tc>
        <w:tc>
          <w:tcPr>
            <w:tcW w:w="380" w:type="dxa"/>
            <w:vAlign w:val="bottom"/>
          </w:tcPr>
          <w:p>
            <w:pPr>
              <w:spacing w:after="0"/>
              <w:rPr>
                <w:sz w:val="12"/>
                <w:szCs w:val="12"/>
                <w:color w:val="auto"/>
              </w:rPr>
            </w:pPr>
          </w:p>
        </w:tc>
        <w:tc>
          <w:tcPr>
            <w:tcW w:w="1200" w:type="dxa"/>
            <w:vAlign w:val="bottom"/>
            <w:gridSpan w:val="2"/>
          </w:tcPr>
          <w:p>
            <w:pPr>
              <w:jc w:val="center"/>
              <w:ind w:left="464"/>
              <w:spacing w:after="0" w:line="138" w:lineRule="exact"/>
              <w:rPr>
                <w:sz w:val="20"/>
                <w:szCs w:val="20"/>
                <w:color w:val="auto"/>
              </w:rPr>
            </w:pPr>
            <w:r>
              <w:rPr>
                <w:rFonts w:ascii="Times New Roman" w:cs="Times New Roman" w:eastAsia="Times New Roman" w:hAnsi="Times New Roman"/>
                <w:sz w:val="15"/>
                <w:szCs w:val="15"/>
                <w:color w:val="auto"/>
              </w:rPr>
              <w:t>5.0500</w:t>
            </w:r>
          </w:p>
        </w:tc>
        <w:tc>
          <w:tcPr>
            <w:tcW w:w="520" w:type="dxa"/>
            <w:vAlign w:val="bottom"/>
          </w:tcPr>
          <w:p>
            <w:pPr>
              <w:spacing w:after="0"/>
              <w:rPr>
                <w:sz w:val="12"/>
                <w:szCs w:val="12"/>
                <w:color w:val="auto"/>
              </w:rPr>
            </w:pPr>
          </w:p>
        </w:tc>
        <w:tc>
          <w:tcPr>
            <w:tcW w:w="1100" w:type="dxa"/>
            <w:vAlign w:val="bottom"/>
            <w:gridSpan w:val="3"/>
          </w:tcPr>
          <w:p>
            <w:pPr>
              <w:jc w:val="center"/>
              <w:spacing w:after="0" w:line="138" w:lineRule="exact"/>
              <w:rPr>
                <w:sz w:val="20"/>
                <w:szCs w:val="20"/>
                <w:color w:val="auto"/>
              </w:rPr>
            </w:pPr>
            <w:r>
              <w:rPr>
                <w:rFonts w:ascii="Times New Roman" w:cs="Times New Roman" w:eastAsia="Times New Roman" w:hAnsi="Times New Roman"/>
                <w:sz w:val="15"/>
                <w:szCs w:val="15"/>
                <w:color w:val="auto"/>
              </w:rPr>
              <w:t>2.7000</w:t>
            </w:r>
          </w:p>
        </w:tc>
        <w:tc>
          <w:tcPr>
            <w:tcW w:w="1220" w:type="dxa"/>
            <w:vAlign w:val="bottom"/>
            <w:gridSpan w:val="2"/>
          </w:tcPr>
          <w:p>
            <w:pPr>
              <w:jc w:val="center"/>
              <w:ind w:left="484"/>
              <w:spacing w:after="0" w:line="138" w:lineRule="exact"/>
              <w:rPr>
                <w:sz w:val="20"/>
                <w:szCs w:val="20"/>
                <w:color w:val="auto"/>
              </w:rPr>
            </w:pPr>
            <w:r>
              <w:rPr>
                <w:rFonts w:ascii="Times New Roman" w:cs="Times New Roman" w:eastAsia="Times New Roman" w:hAnsi="Times New Roman"/>
                <w:sz w:val="15"/>
                <w:szCs w:val="15"/>
                <w:color w:val="auto"/>
              </w:rPr>
              <w:t>10.1500</w:t>
            </w:r>
          </w:p>
        </w:tc>
        <w:tc>
          <w:tcPr>
            <w:tcW w:w="520" w:type="dxa"/>
            <w:vAlign w:val="bottom"/>
          </w:tcPr>
          <w:p>
            <w:pPr>
              <w:spacing w:after="0"/>
              <w:rPr>
                <w:sz w:val="12"/>
                <w:szCs w:val="12"/>
                <w:color w:val="auto"/>
              </w:rPr>
            </w:pPr>
          </w:p>
        </w:tc>
        <w:tc>
          <w:tcPr>
            <w:tcW w:w="1040" w:type="dxa"/>
            <w:vAlign w:val="bottom"/>
            <w:gridSpan w:val="3"/>
          </w:tcPr>
          <w:p>
            <w:pPr>
              <w:jc w:val="center"/>
              <w:spacing w:after="0" w:line="138" w:lineRule="exact"/>
              <w:rPr>
                <w:sz w:val="20"/>
                <w:szCs w:val="20"/>
                <w:color w:val="auto"/>
              </w:rPr>
            </w:pPr>
            <w:r>
              <w:rPr>
                <w:rFonts w:ascii="Times New Roman" w:cs="Times New Roman" w:eastAsia="Times New Roman" w:hAnsi="Times New Roman"/>
                <w:sz w:val="15"/>
                <w:szCs w:val="15"/>
                <w:color w:val="auto"/>
              </w:rPr>
              <w:t>4.0200</w:t>
            </w:r>
          </w:p>
        </w:tc>
        <w:tc>
          <w:tcPr>
            <w:tcW w:w="1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jc w:val="center"/>
              <w:ind w:left="124"/>
              <w:spacing w:after="0" w:line="138" w:lineRule="exact"/>
              <w:rPr>
                <w:sz w:val="20"/>
                <w:szCs w:val="20"/>
                <w:color w:val="auto"/>
              </w:rPr>
            </w:pPr>
            <w:r>
              <w:rPr>
                <w:rFonts w:ascii="Times New Roman" w:cs="Times New Roman" w:eastAsia="Times New Roman" w:hAnsi="Times New Roman"/>
                <w:sz w:val="15"/>
                <w:szCs w:val="15"/>
                <w:color w:val="auto"/>
              </w:rPr>
              <w:t>4.5300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0.0500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0.1000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5.1500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2.7333</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10.2500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4.0300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15.3500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4.5400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0.1500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0.2000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5.2500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2.7667</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10.3500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4.0400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15.4500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4.5500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0.2500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0.3000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5.3500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2.8000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10.4500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4.0500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15.5500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4.5600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0.3500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0.4000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5.4500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2.8333</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10.5500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4.0600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15.6500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4.5700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0.4500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0.5000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5.5500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2.8667</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10.6500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4.0700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15.7500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4.5800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0.5500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0.6000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5.6500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2.9000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10.7500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4.0800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15.8500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4.5900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0.6500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0.7000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5.7500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2.9333</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10.8500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4.0900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15.9500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4.6000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0.7500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0.8000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5.8500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2.9667</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10.9500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4.1000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16.0500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4.6100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0.8500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0.9000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5.9500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3.0000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11.0500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4.1100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16.1500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4.6200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0.9500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6.0500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3.0250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11.1500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4.1200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16.2500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4.6300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1.0500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1.0500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6.1500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3.0500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11.2500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4.1300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16.3500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4.6400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1.1500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1.1000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6.2500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3.0750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11.3500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4.1400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16.4500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4.6500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1.2500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1.1500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6.3500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3.1000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11.4500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4.1500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16.5500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4.6600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1.3500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1.2000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6.4500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3.1250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11.5500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4.1600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16.6500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4.6700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1.4500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1.2500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6.5500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3.1500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11.6500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4.1700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16.7500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4.6800</w:t>
            </w:r>
          </w:p>
        </w:tc>
        <w:tc>
          <w:tcPr>
            <w:tcW w:w="0" w:type="dxa"/>
            <w:vAlign w:val="bottom"/>
          </w:tcPr>
          <w:p>
            <w:pPr>
              <w:spacing w:after="0"/>
              <w:rPr>
                <w:sz w:val="1"/>
                <w:szCs w:val="1"/>
                <w:color w:val="auto"/>
              </w:rPr>
            </w:pPr>
          </w:p>
        </w:tc>
      </w:tr>
      <w:tr>
        <w:trPr>
          <w:trHeight w:val="198"/>
        </w:trPr>
        <w:tc>
          <w:tcPr>
            <w:tcW w:w="920" w:type="dxa"/>
            <w:vAlign w:val="bottom"/>
            <w:gridSpan w:val="2"/>
          </w:tcPr>
          <w:p>
            <w:pPr>
              <w:jc w:val="center"/>
              <w:ind w:left="184"/>
              <w:spacing w:after="0"/>
              <w:rPr>
                <w:sz w:val="20"/>
                <w:szCs w:val="20"/>
                <w:color w:val="auto"/>
              </w:rPr>
            </w:pPr>
            <w:r>
              <w:rPr>
                <w:rFonts w:ascii="Times New Roman" w:cs="Times New Roman" w:eastAsia="Times New Roman" w:hAnsi="Times New Roman"/>
                <w:sz w:val="15"/>
                <w:szCs w:val="15"/>
                <w:color w:val="auto"/>
              </w:rPr>
              <w:t>1.5500</w:t>
            </w:r>
          </w:p>
        </w:tc>
        <w:tc>
          <w:tcPr>
            <w:tcW w:w="560" w:type="dxa"/>
            <w:vAlign w:val="bottom"/>
          </w:tcPr>
          <w:p>
            <w:pPr>
              <w:spacing w:after="0"/>
              <w:rPr>
                <w:sz w:val="17"/>
                <w:szCs w:val="17"/>
                <w:color w:val="auto"/>
              </w:rPr>
            </w:pPr>
          </w:p>
        </w:tc>
        <w:tc>
          <w:tcPr>
            <w:tcW w:w="1120" w:type="dxa"/>
            <w:vAlign w:val="bottom"/>
            <w:gridSpan w:val="3"/>
          </w:tcPr>
          <w:p>
            <w:pPr>
              <w:ind w:left="360"/>
              <w:spacing w:after="0"/>
              <w:rPr>
                <w:sz w:val="20"/>
                <w:szCs w:val="20"/>
                <w:color w:val="auto"/>
              </w:rPr>
            </w:pPr>
            <w:r>
              <w:rPr>
                <w:rFonts w:ascii="Times New Roman" w:cs="Times New Roman" w:eastAsia="Times New Roman" w:hAnsi="Times New Roman"/>
                <w:sz w:val="15"/>
                <w:szCs w:val="15"/>
                <w:color w:val="auto"/>
              </w:rPr>
              <w:t>1.3000</w:t>
            </w:r>
          </w:p>
        </w:tc>
        <w:tc>
          <w:tcPr>
            <w:tcW w:w="1200" w:type="dxa"/>
            <w:vAlign w:val="bottom"/>
            <w:gridSpan w:val="2"/>
          </w:tcPr>
          <w:p>
            <w:pPr>
              <w:jc w:val="center"/>
              <w:ind w:left="464"/>
              <w:spacing w:after="0"/>
              <w:rPr>
                <w:sz w:val="20"/>
                <w:szCs w:val="20"/>
                <w:color w:val="auto"/>
              </w:rPr>
            </w:pPr>
            <w:r>
              <w:rPr>
                <w:rFonts w:ascii="Times New Roman" w:cs="Times New Roman" w:eastAsia="Times New Roman" w:hAnsi="Times New Roman"/>
                <w:sz w:val="15"/>
                <w:szCs w:val="15"/>
                <w:color w:val="auto"/>
              </w:rPr>
              <w:t>6.6500</w:t>
            </w:r>
          </w:p>
        </w:tc>
        <w:tc>
          <w:tcPr>
            <w:tcW w:w="52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3.1750</w:t>
            </w:r>
          </w:p>
        </w:tc>
        <w:tc>
          <w:tcPr>
            <w:tcW w:w="1220" w:type="dxa"/>
            <w:vAlign w:val="bottom"/>
            <w:gridSpan w:val="2"/>
          </w:tcPr>
          <w:p>
            <w:pPr>
              <w:jc w:val="center"/>
              <w:ind w:left="484"/>
              <w:spacing w:after="0"/>
              <w:rPr>
                <w:sz w:val="20"/>
                <w:szCs w:val="20"/>
                <w:color w:val="auto"/>
              </w:rPr>
            </w:pPr>
            <w:r>
              <w:rPr>
                <w:rFonts w:ascii="Times New Roman" w:cs="Times New Roman" w:eastAsia="Times New Roman" w:hAnsi="Times New Roman"/>
                <w:sz w:val="15"/>
                <w:szCs w:val="15"/>
                <w:color w:val="auto"/>
              </w:rPr>
              <w:t>11.7500</w:t>
            </w:r>
          </w:p>
        </w:tc>
        <w:tc>
          <w:tcPr>
            <w:tcW w:w="520" w:type="dxa"/>
            <w:vAlign w:val="bottom"/>
          </w:tcPr>
          <w:p>
            <w:pPr>
              <w:spacing w:after="0"/>
              <w:rPr>
                <w:sz w:val="17"/>
                <w:szCs w:val="17"/>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4.1800</w:t>
            </w:r>
          </w:p>
        </w:tc>
        <w:tc>
          <w:tcPr>
            <w:tcW w:w="1560" w:type="dxa"/>
            <w:vAlign w:val="bottom"/>
            <w:gridSpan w:val="2"/>
          </w:tcPr>
          <w:p>
            <w:pPr>
              <w:jc w:val="center"/>
              <w:ind w:left="144"/>
              <w:spacing w:after="0"/>
              <w:rPr>
                <w:sz w:val="20"/>
                <w:szCs w:val="20"/>
                <w:color w:val="auto"/>
              </w:rPr>
            </w:pPr>
            <w:r>
              <w:rPr>
                <w:rFonts w:ascii="Times New Roman" w:cs="Times New Roman" w:eastAsia="Times New Roman" w:hAnsi="Times New Roman"/>
                <w:sz w:val="15"/>
                <w:szCs w:val="15"/>
                <w:color w:val="auto"/>
              </w:rPr>
              <w:t>16.8500</w:t>
            </w:r>
          </w:p>
        </w:tc>
        <w:tc>
          <w:tcPr>
            <w:tcW w:w="200" w:type="dxa"/>
            <w:vAlign w:val="bottom"/>
          </w:tcPr>
          <w:p>
            <w:pPr>
              <w:spacing w:after="0"/>
              <w:rPr>
                <w:sz w:val="17"/>
                <w:szCs w:val="17"/>
                <w:color w:val="auto"/>
              </w:rPr>
            </w:pPr>
          </w:p>
        </w:tc>
        <w:tc>
          <w:tcPr>
            <w:tcW w:w="780" w:type="dxa"/>
            <w:vAlign w:val="bottom"/>
            <w:gridSpan w:val="3"/>
          </w:tcPr>
          <w:p>
            <w:pPr>
              <w:jc w:val="center"/>
              <w:ind w:left="124"/>
              <w:spacing w:after="0"/>
              <w:rPr>
                <w:sz w:val="20"/>
                <w:szCs w:val="20"/>
                <w:color w:val="auto"/>
              </w:rPr>
            </w:pPr>
            <w:r>
              <w:rPr>
                <w:rFonts w:ascii="Times New Roman" w:cs="Times New Roman" w:eastAsia="Times New Roman" w:hAnsi="Times New Roman"/>
                <w:sz w:val="15"/>
                <w:szCs w:val="15"/>
                <w:color w:val="auto"/>
              </w:rPr>
              <w:t>4.6900</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8" w:name="page259"/>
    <w:bookmarkEnd w:id="258"/>
    <w:p>
      <w:pPr>
        <w:jc w:val="center"/>
        <w:ind w:right="-339"/>
        <w:spacing w:after="0"/>
        <w:rPr>
          <w:sz w:val="20"/>
          <w:szCs w:val="20"/>
          <w:color w:val="auto"/>
        </w:rPr>
      </w:pPr>
      <w:r>
        <w:rPr>
          <w:rFonts w:ascii="Times New Roman" w:cs="Times New Roman" w:eastAsia="Times New Roman" w:hAnsi="Times New Roman"/>
          <w:sz w:val="22"/>
          <w:szCs w:val="22"/>
          <w:color w:val="auto"/>
        </w:rPr>
        <w:t>S&amp;P Equivalent Diversity Score Table</w:t>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color w:val="auto"/>
              </w:rPr>
              <w:t>Aggregate Industry</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Aggregate Industry</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Aggregate Industry</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Aggregate Industry</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480" w:type="dxa"/>
            <w:vAlign w:val="bottom"/>
            <w:gridSpan w:val="3"/>
          </w:tcPr>
          <w:p>
            <w:pPr>
              <w:jc w:val="center"/>
              <w:ind w:right="300"/>
              <w:spacing w:after="0" w:line="166" w:lineRule="exact"/>
              <w:rPr>
                <w:sz w:val="20"/>
                <w:szCs w:val="20"/>
                <w:color w:val="auto"/>
              </w:rPr>
            </w:pPr>
            <w:r>
              <w:rPr>
                <w:rFonts w:ascii="Times New Roman" w:cs="Times New Roman" w:eastAsia="Times New Roman" w:hAnsi="Times New Roman"/>
                <w:sz w:val="15"/>
                <w:szCs w:val="15"/>
                <w:color w:val="auto"/>
              </w:rPr>
              <w:t>Equivalent</w:t>
            </w:r>
          </w:p>
        </w:tc>
        <w:tc>
          <w:tcPr>
            <w:tcW w:w="112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5"/>
                <w:szCs w:val="15"/>
                <w:color w:val="auto"/>
              </w:rPr>
              <w:t>Diversity</w:t>
            </w:r>
          </w:p>
        </w:tc>
        <w:tc>
          <w:tcPr>
            <w:tcW w:w="1720" w:type="dxa"/>
            <w:vAlign w:val="bottom"/>
            <w:gridSpan w:val="3"/>
          </w:tcPr>
          <w:p>
            <w:pPr>
              <w:jc w:val="center"/>
              <w:ind w:right="20"/>
              <w:spacing w:after="0" w:line="166" w:lineRule="exact"/>
              <w:rPr>
                <w:sz w:val="20"/>
                <w:szCs w:val="20"/>
                <w:color w:val="auto"/>
              </w:rPr>
            </w:pPr>
            <w:r>
              <w:rPr>
                <w:rFonts w:ascii="Times New Roman" w:cs="Times New Roman" w:eastAsia="Times New Roman" w:hAnsi="Times New Roman"/>
                <w:sz w:val="15"/>
                <w:szCs w:val="15"/>
                <w:color w:val="auto"/>
              </w:rPr>
              <w:t>Equivalent</w:t>
            </w:r>
          </w:p>
        </w:tc>
        <w:tc>
          <w:tcPr>
            <w:tcW w:w="110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5"/>
                <w:szCs w:val="15"/>
                <w:color w:val="auto"/>
              </w:rPr>
              <w:t>Diversity</w:t>
            </w:r>
          </w:p>
        </w:tc>
        <w:tc>
          <w:tcPr>
            <w:tcW w:w="174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5"/>
                <w:szCs w:val="15"/>
                <w:color w:val="auto"/>
              </w:rPr>
              <w:t>Equivalent</w:t>
            </w:r>
          </w:p>
        </w:tc>
        <w:tc>
          <w:tcPr>
            <w:tcW w:w="104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5"/>
                <w:szCs w:val="15"/>
                <w:color w:val="auto"/>
              </w:rPr>
              <w:t>Diversity</w:t>
            </w:r>
          </w:p>
        </w:tc>
        <w:tc>
          <w:tcPr>
            <w:tcW w:w="1760" w:type="dxa"/>
            <w:vAlign w:val="bottom"/>
            <w:gridSpan w:val="3"/>
          </w:tcPr>
          <w:p>
            <w:pPr>
              <w:ind w:left="200"/>
              <w:spacing w:after="0" w:line="166" w:lineRule="exact"/>
              <w:rPr>
                <w:sz w:val="20"/>
                <w:szCs w:val="20"/>
                <w:color w:val="auto"/>
              </w:rPr>
            </w:pPr>
            <w:r>
              <w:rPr>
                <w:rFonts w:ascii="Times New Roman" w:cs="Times New Roman" w:eastAsia="Times New Roman" w:hAnsi="Times New Roman"/>
                <w:sz w:val="15"/>
                <w:szCs w:val="15"/>
                <w:color w:val="auto"/>
              </w:rPr>
              <w:t>Equivalent Unit Score</w:t>
            </w:r>
          </w:p>
        </w:tc>
        <w:tc>
          <w:tcPr>
            <w:tcW w:w="780" w:type="dxa"/>
            <w:vAlign w:val="bottom"/>
            <w:gridSpan w:val="3"/>
          </w:tcPr>
          <w:p>
            <w:pPr>
              <w:jc w:val="center"/>
              <w:ind w:left="124"/>
              <w:spacing w:after="0" w:line="166" w:lineRule="exact"/>
              <w:rPr>
                <w:sz w:val="20"/>
                <w:szCs w:val="20"/>
                <w:color w:val="auto"/>
              </w:rPr>
            </w:pPr>
            <w:r>
              <w:rPr>
                <w:rFonts w:ascii="Times New Roman" w:cs="Times New Roman" w:eastAsia="Times New Roman" w:hAnsi="Times New Roman"/>
                <w:sz w:val="15"/>
                <w:szCs w:val="15"/>
                <w:color w:val="auto"/>
              </w:rPr>
              <w:t>Diversity</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20" w:type="dxa"/>
            <w:vAlign w:val="bottom"/>
            <w:gridSpan w:val="2"/>
            <w:vMerge w:val="restart"/>
          </w:tcPr>
          <w:p>
            <w:pPr>
              <w:jc w:val="center"/>
              <w:ind w:right="560"/>
              <w:spacing w:after="0" w:line="162" w:lineRule="exact"/>
              <w:rPr>
                <w:sz w:val="20"/>
                <w:szCs w:val="20"/>
                <w:color w:val="auto"/>
              </w:rPr>
            </w:pPr>
            <w:r>
              <w:rPr>
                <w:rFonts w:ascii="Times New Roman" w:cs="Times New Roman" w:eastAsia="Times New Roman" w:hAnsi="Times New Roman"/>
                <w:sz w:val="15"/>
                <w:szCs w:val="15"/>
                <w:color w:val="auto"/>
              </w:rPr>
              <w:t>Unit Score</w:t>
            </w:r>
          </w:p>
        </w:tc>
        <w:tc>
          <w:tcPr>
            <w:tcW w:w="380" w:type="dxa"/>
            <w:vAlign w:val="bottom"/>
          </w:tcPr>
          <w:p>
            <w:pPr>
              <w:spacing w:after="0" w:line="20" w:lineRule="exact"/>
              <w:rPr>
                <w:sz w:val="1"/>
                <w:szCs w:val="1"/>
                <w:color w:val="auto"/>
              </w:rPr>
            </w:pPr>
          </w:p>
        </w:tc>
        <w:tc>
          <w:tcPr>
            <w:tcW w:w="740" w:type="dxa"/>
            <w:vAlign w:val="bottom"/>
            <w:gridSpan w:val="2"/>
            <w:vMerge w:val="restart"/>
          </w:tcPr>
          <w:p>
            <w:pPr>
              <w:jc w:val="center"/>
              <w:ind w:right="380"/>
              <w:spacing w:after="0" w:line="162" w:lineRule="exact"/>
              <w:rPr>
                <w:sz w:val="20"/>
                <w:szCs w:val="20"/>
                <w:color w:val="auto"/>
              </w:rPr>
            </w:pPr>
            <w:r>
              <w:rPr>
                <w:rFonts w:ascii="Times New Roman" w:cs="Times New Roman" w:eastAsia="Times New Roman" w:hAnsi="Times New Roman"/>
                <w:sz w:val="15"/>
                <w:szCs w:val="15"/>
                <w:color w:val="auto"/>
              </w:rPr>
              <w:t>Score</w:t>
            </w:r>
          </w:p>
        </w:tc>
        <w:tc>
          <w:tcPr>
            <w:tcW w:w="540" w:type="dxa"/>
            <w:vAlign w:val="bottom"/>
          </w:tcPr>
          <w:p>
            <w:pPr>
              <w:spacing w:after="0" w:line="20" w:lineRule="exact"/>
              <w:rPr>
                <w:sz w:val="1"/>
                <w:szCs w:val="1"/>
                <w:color w:val="auto"/>
              </w:rPr>
            </w:pPr>
          </w:p>
        </w:tc>
        <w:tc>
          <w:tcPr>
            <w:tcW w:w="1180" w:type="dxa"/>
            <w:vAlign w:val="bottom"/>
            <w:gridSpan w:val="2"/>
            <w:vMerge w:val="restart"/>
          </w:tcPr>
          <w:p>
            <w:pPr>
              <w:spacing w:after="0" w:line="162" w:lineRule="exact"/>
              <w:rPr>
                <w:sz w:val="20"/>
                <w:szCs w:val="20"/>
                <w:color w:val="auto"/>
              </w:rPr>
            </w:pPr>
            <w:r>
              <w:rPr>
                <w:rFonts w:ascii="Times New Roman" w:cs="Times New Roman" w:eastAsia="Times New Roman" w:hAnsi="Times New Roman"/>
                <w:sz w:val="15"/>
                <w:szCs w:val="15"/>
                <w:color w:val="auto"/>
              </w:rPr>
              <w:t>Unit Score</w:t>
            </w:r>
          </w:p>
        </w:tc>
        <w:tc>
          <w:tcPr>
            <w:tcW w:w="380" w:type="dxa"/>
            <w:vAlign w:val="bottom"/>
          </w:tcPr>
          <w:p>
            <w:pPr>
              <w:spacing w:after="0" w:line="20" w:lineRule="exact"/>
              <w:rPr>
                <w:sz w:val="1"/>
                <w:szCs w:val="1"/>
                <w:color w:val="auto"/>
              </w:rPr>
            </w:pPr>
          </w:p>
        </w:tc>
        <w:tc>
          <w:tcPr>
            <w:tcW w:w="720" w:type="dxa"/>
            <w:vAlign w:val="bottom"/>
            <w:gridSpan w:val="2"/>
            <w:vMerge w:val="restart"/>
          </w:tcPr>
          <w:p>
            <w:pPr>
              <w:jc w:val="center"/>
              <w:ind w:right="360"/>
              <w:spacing w:after="0" w:line="162" w:lineRule="exact"/>
              <w:rPr>
                <w:sz w:val="20"/>
                <w:szCs w:val="20"/>
                <w:color w:val="auto"/>
              </w:rPr>
            </w:pPr>
            <w:r>
              <w:rPr>
                <w:rFonts w:ascii="Times New Roman" w:cs="Times New Roman" w:eastAsia="Times New Roman" w:hAnsi="Times New Roman"/>
                <w:sz w:val="15"/>
                <w:szCs w:val="15"/>
                <w:color w:val="auto"/>
              </w:rPr>
              <w:t>Score</w:t>
            </w:r>
          </w:p>
        </w:tc>
        <w:tc>
          <w:tcPr>
            <w:tcW w:w="1740" w:type="dxa"/>
            <w:vAlign w:val="bottom"/>
            <w:gridSpan w:val="3"/>
            <w:vMerge w:val="restart"/>
          </w:tcPr>
          <w:p>
            <w:pPr>
              <w:jc w:val="center"/>
              <w:spacing w:after="0" w:line="162" w:lineRule="exact"/>
              <w:rPr>
                <w:sz w:val="20"/>
                <w:szCs w:val="20"/>
                <w:color w:val="auto"/>
              </w:rPr>
            </w:pPr>
            <w:r>
              <w:rPr>
                <w:rFonts w:ascii="Times New Roman" w:cs="Times New Roman" w:eastAsia="Times New Roman" w:hAnsi="Times New Roman"/>
                <w:sz w:val="15"/>
                <w:szCs w:val="15"/>
                <w:color w:val="auto"/>
              </w:rPr>
              <w:t>Unit Score</w:t>
            </w:r>
          </w:p>
        </w:tc>
        <w:tc>
          <w:tcPr>
            <w:tcW w:w="380" w:type="dxa"/>
            <w:vAlign w:val="bottom"/>
          </w:tcPr>
          <w:p>
            <w:pPr>
              <w:spacing w:after="0" w:line="20" w:lineRule="exact"/>
              <w:rPr>
                <w:sz w:val="1"/>
                <w:szCs w:val="1"/>
                <w:color w:val="auto"/>
              </w:rPr>
            </w:pPr>
          </w:p>
        </w:tc>
        <w:tc>
          <w:tcPr>
            <w:tcW w:w="660" w:type="dxa"/>
            <w:vAlign w:val="bottom"/>
            <w:gridSpan w:val="2"/>
            <w:vMerge w:val="restart"/>
          </w:tcPr>
          <w:p>
            <w:pPr>
              <w:jc w:val="center"/>
              <w:ind w:right="320"/>
              <w:spacing w:after="0" w:line="162" w:lineRule="exact"/>
              <w:rPr>
                <w:sz w:val="20"/>
                <w:szCs w:val="20"/>
                <w:color w:val="auto"/>
              </w:rPr>
            </w:pPr>
            <w:r>
              <w:rPr>
                <w:rFonts w:ascii="Times New Roman" w:cs="Times New Roman" w:eastAsia="Times New Roman" w:hAnsi="Times New Roman"/>
                <w:sz w:val="15"/>
                <w:szCs w:val="15"/>
                <w:color w:val="auto"/>
                <w:w w:val="99"/>
              </w:rPr>
              <w:t>Score</w:t>
            </w:r>
          </w:p>
        </w:tc>
        <w:tc>
          <w:tcPr>
            <w:tcW w:w="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3"/>
            <w:vMerge w:val="restart"/>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w w:val="99"/>
              </w:rPr>
              <w:t>Score</w:t>
            </w:r>
          </w:p>
        </w:tc>
        <w:tc>
          <w:tcPr>
            <w:tcW w:w="0" w:type="dxa"/>
            <w:vAlign w:val="bottom"/>
          </w:tcPr>
          <w:p>
            <w:pPr>
              <w:spacing w:after="0" w:line="20" w:lineRule="exact"/>
              <w:rPr>
                <w:sz w:val="1"/>
                <w:szCs w:val="1"/>
                <w:color w:val="auto"/>
              </w:rPr>
            </w:pPr>
          </w:p>
        </w:tc>
      </w:tr>
      <w:tr>
        <w:trPr>
          <w:trHeight w:val="142"/>
        </w:trPr>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560" w:type="dxa"/>
            <w:vAlign w:val="bottom"/>
            <w:gridSpan w:val="2"/>
            <w:vMerge w:val="restart"/>
          </w:tcPr>
          <w:p>
            <w:pPr>
              <w:jc w:val="center"/>
              <w:ind w:left="144"/>
              <w:spacing w:after="0"/>
              <w:rPr>
                <w:sz w:val="20"/>
                <w:szCs w:val="20"/>
                <w:color w:val="auto"/>
              </w:rPr>
            </w:pPr>
            <w:r>
              <w:rPr>
                <w:rFonts w:ascii="Times New Roman" w:cs="Times New Roman" w:eastAsia="Times New Roman" w:hAnsi="Times New Roman"/>
                <w:sz w:val="15"/>
                <w:szCs w:val="15"/>
                <w:color w:val="auto"/>
              </w:rPr>
              <w:t>16.9500</w:t>
            </w:r>
          </w:p>
        </w:tc>
        <w:tc>
          <w:tcPr>
            <w:tcW w:w="2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60" w:type="dxa"/>
            <w:vAlign w:val="bottom"/>
            <w:vMerge w:val="continue"/>
          </w:tcPr>
          <w:p>
            <w:pPr>
              <w:spacing w:after="0"/>
              <w:rPr>
                <w:sz w:val="12"/>
                <w:szCs w:val="12"/>
                <w:color w:val="auto"/>
              </w:rPr>
            </w:pPr>
          </w:p>
        </w:tc>
        <w:tc>
          <w:tcPr>
            <w:tcW w:w="660" w:type="dxa"/>
            <w:vAlign w:val="bottom"/>
          </w:tcPr>
          <w:p>
            <w:pPr>
              <w:jc w:val="center"/>
              <w:spacing w:after="0" w:line="138" w:lineRule="exact"/>
              <w:rPr>
                <w:sz w:val="20"/>
                <w:szCs w:val="20"/>
                <w:color w:val="auto"/>
              </w:rPr>
            </w:pPr>
            <w:r>
              <w:rPr>
                <w:rFonts w:ascii="Times New Roman" w:cs="Times New Roman" w:eastAsia="Times New Roman" w:hAnsi="Times New Roman"/>
                <w:sz w:val="15"/>
                <w:szCs w:val="15"/>
                <w:color w:val="auto"/>
              </w:rPr>
              <w:t>1.6500</w:t>
            </w:r>
          </w:p>
        </w:tc>
        <w:tc>
          <w:tcPr>
            <w:tcW w:w="560" w:type="dxa"/>
            <w:vAlign w:val="bottom"/>
          </w:tcPr>
          <w:p>
            <w:pPr>
              <w:spacing w:after="0"/>
              <w:rPr>
                <w:sz w:val="12"/>
                <w:szCs w:val="12"/>
                <w:color w:val="auto"/>
              </w:rPr>
            </w:pPr>
          </w:p>
        </w:tc>
        <w:tc>
          <w:tcPr>
            <w:tcW w:w="740" w:type="dxa"/>
            <w:vAlign w:val="bottom"/>
            <w:gridSpan w:val="2"/>
          </w:tcPr>
          <w:p>
            <w:pPr>
              <w:ind w:left="360"/>
              <w:spacing w:after="0" w:line="138" w:lineRule="exact"/>
              <w:rPr>
                <w:sz w:val="20"/>
                <w:szCs w:val="20"/>
                <w:color w:val="auto"/>
              </w:rPr>
            </w:pPr>
            <w:r>
              <w:rPr>
                <w:rFonts w:ascii="Times New Roman" w:cs="Times New Roman" w:eastAsia="Times New Roman" w:hAnsi="Times New Roman"/>
                <w:sz w:val="15"/>
                <w:szCs w:val="15"/>
                <w:color w:val="auto"/>
                <w:w w:val="87"/>
              </w:rPr>
              <w:t>1.3500</w:t>
            </w:r>
          </w:p>
        </w:tc>
        <w:tc>
          <w:tcPr>
            <w:tcW w:w="380" w:type="dxa"/>
            <w:vAlign w:val="bottom"/>
          </w:tcPr>
          <w:p>
            <w:pPr>
              <w:spacing w:after="0"/>
              <w:rPr>
                <w:sz w:val="12"/>
                <w:szCs w:val="12"/>
                <w:color w:val="auto"/>
              </w:rPr>
            </w:pPr>
          </w:p>
        </w:tc>
        <w:tc>
          <w:tcPr>
            <w:tcW w:w="1200" w:type="dxa"/>
            <w:vAlign w:val="bottom"/>
            <w:gridSpan w:val="2"/>
          </w:tcPr>
          <w:p>
            <w:pPr>
              <w:jc w:val="center"/>
              <w:ind w:left="464"/>
              <w:spacing w:after="0" w:line="138" w:lineRule="exact"/>
              <w:rPr>
                <w:sz w:val="20"/>
                <w:szCs w:val="20"/>
                <w:color w:val="auto"/>
              </w:rPr>
            </w:pPr>
            <w:r>
              <w:rPr>
                <w:rFonts w:ascii="Times New Roman" w:cs="Times New Roman" w:eastAsia="Times New Roman" w:hAnsi="Times New Roman"/>
                <w:sz w:val="15"/>
                <w:szCs w:val="15"/>
                <w:color w:val="auto"/>
              </w:rPr>
              <w:t>6.7500</w:t>
            </w:r>
          </w:p>
        </w:tc>
        <w:tc>
          <w:tcPr>
            <w:tcW w:w="520" w:type="dxa"/>
            <w:vAlign w:val="bottom"/>
          </w:tcPr>
          <w:p>
            <w:pPr>
              <w:spacing w:after="0"/>
              <w:rPr>
                <w:sz w:val="12"/>
                <w:szCs w:val="12"/>
                <w:color w:val="auto"/>
              </w:rPr>
            </w:pPr>
          </w:p>
        </w:tc>
        <w:tc>
          <w:tcPr>
            <w:tcW w:w="1100" w:type="dxa"/>
            <w:vAlign w:val="bottom"/>
            <w:gridSpan w:val="3"/>
          </w:tcPr>
          <w:p>
            <w:pPr>
              <w:jc w:val="center"/>
              <w:spacing w:after="0" w:line="138" w:lineRule="exact"/>
              <w:rPr>
                <w:sz w:val="20"/>
                <w:szCs w:val="20"/>
                <w:color w:val="auto"/>
              </w:rPr>
            </w:pPr>
            <w:r>
              <w:rPr>
                <w:rFonts w:ascii="Times New Roman" w:cs="Times New Roman" w:eastAsia="Times New Roman" w:hAnsi="Times New Roman"/>
                <w:sz w:val="15"/>
                <w:szCs w:val="15"/>
                <w:color w:val="auto"/>
              </w:rPr>
              <w:t>3.2000</w:t>
            </w:r>
          </w:p>
        </w:tc>
        <w:tc>
          <w:tcPr>
            <w:tcW w:w="1220" w:type="dxa"/>
            <w:vAlign w:val="bottom"/>
            <w:gridSpan w:val="2"/>
          </w:tcPr>
          <w:p>
            <w:pPr>
              <w:jc w:val="center"/>
              <w:ind w:left="484"/>
              <w:spacing w:after="0" w:line="138" w:lineRule="exact"/>
              <w:rPr>
                <w:sz w:val="20"/>
                <w:szCs w:val="20"/>
                <w:color w:val="auto"/>
              </w:rPr>
            </w:pPr>
            <w:r>
              <w:rPr>
                <w:rFonts w:ascii="Times New Roman" w:cs="Times New Roman" w:eastAsia="Times New Roman" w:hAnsi="Times New Roman"/>
                <w:sz w:val="15"/>
                <w:szCs w:val="15"/>
                <w:color w:val="auto"/>
              </w:rPr>
              <w:t>11.8500</w:t>
            </w:r>
          </w:p>
        </w:tc>
        <w:tc>
          <w:tcPr>
            <w:tcW w:w="520" w:type="dxa"/>
            <w:vAlign w:val="bottom"/>
          </w:tcPr>
          <w:p>
            <w:pPr>
              <w:spacing w:after="0"/>
              <w:rPr>
                <w:sz w:val="12"/>
                <w:szCs w:val="12"/>
                <w:color w:val="auto"/>
              </w:rPr>
            </w:pPr>
          </w:p>
        </w:tc>
        <w:tc>
          <w:tcPr>
            <w:tcW w:w="1040" w:type="dxa"/>
            <w:vAlign w:val="bottom"/>
            <w:gridSpan w:val="3"/>
          </w:tcPr>
          <w:p>
            <w:pPr>
              <w:jc w:val="center"/>
              <w:spacing w:after="0" w:line="138" w:lineRule="exact"/>
              <w:rPr>
                <w:sz w:val="20"/>
                <w:szCs w:val="20"/>
                <w:color w:val="auto"/>
              </w:rPr>
            </w:pPr>
            <w:r>
              <w:rPr>
                <w:rFonts w:ascii="Times New Roman" w:cs="Times New Roman" w:eastAsia="Times New Roman" w:hAnsi="Times New Roman"/>
                <w:sz w:val="15"/>
                <w:szCs w:val="15"/>
                <w:color w:val="auto"/>
              </w:rPr>
              <w:t>4.1900</w:t>
            </w:r>
          </w:p>
        </w:tc>
        <w:tc>
          <w:tcPr>
            <w:tcW w:w="1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jc w:val="center"/>
              <w:ind w:left="124"/>
              <w:spacing w:after="0" w:line="138" w:lineRule="exact"/>
              <w:rPr>
                <w:sz w:val="20"/>
                <w:szCs w:val="20"/>
                <w:color w:val="auto"/>
              </w:rPr>
            </w:pPr>
            <w:r>
              <w:rPr>
                <w:rFonts w:ascii="Times New Roman" w:cs="Times New Roman" w:eastAsia="Times New Roman" w:hAnsi="Times New Roman"/>
                <w:sz w:val="15"/>
                <w:szCs w:val="15"/>
                <w:color w:val="auto"/>
              </w:rPr>
              <w:t>4.7000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1.7500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1.4000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6.8500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3.2250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11.9500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4.2000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17.0500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4.7100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1.8500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1.4500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6.9500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3.2500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12.0500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4.2100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17.1500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4.7200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1.9500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7.0500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3.2750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12.1500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4.2200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17.2500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4.7300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2.0500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1.5500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7.1500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3.3000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12.2500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4.2300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17.3500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4.7400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2.1500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1.6000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7.2500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3.3250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12.3500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4.2400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17.4500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4.7500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2.2500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1.6500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7.3500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3.3500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12.4500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4.2500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17.5500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4.7600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2.3500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1.7000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7.4500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3.3750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12.5500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4.2600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17.6500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4.7700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2.4500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1.7500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7.5500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3.4000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12.6500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4.2700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17.7500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4.7800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2.5500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1.8000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7.6500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3.4250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12.7500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4.2800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17.8500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4.7900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2.6500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1.8500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7.7500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3.4500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12.8500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4.2900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17.9500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4.8000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2.7500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1.9000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7.8500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3.4750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12.9500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4.3000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18.0500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4.8100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2.8500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1.9500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7.9500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3.5000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13.0500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4.3100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18.1500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4.8200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2.9500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2.0000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8.0500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3.5250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13.1500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4.3200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18.2500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4.8300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3.0500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2.0333</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8.1500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3.5500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13.2500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4.3300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18.3500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4.8400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3.1500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2.0667</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8.2500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3.5750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13.3500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4.3400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18.4500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4.8500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3.2500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2.1000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8.3500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3.6000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13.4500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4.3500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18.5500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4.8600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3.3500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2.1333</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8.4500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3.6250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13.5500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4.3600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18.6500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4.8700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3.4500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2.1667</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8.5500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3.6500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13.6500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4.3700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18.7500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4.8800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3.5500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2.2000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8.6500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3.6750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13.7500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4.3800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18.8500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4.8900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3.6500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2.2333</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8.7500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3.7000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13.8500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4.3900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18.9500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4.9000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3.7500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2.2667</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8.8500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3.7250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13.9500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4.4000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19.0500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4.9100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3.8500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2.3000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8.9500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3.7500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14.0500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4.4100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19.1500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4.9200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3.9500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2.3333</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9.0500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3.7750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14.1500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4.4200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19.2500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4.9300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4.0500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2.3667</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9.1500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3.8000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14.2500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4.4300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19.3500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4.9400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4.1500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2.4000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9.2500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3.8250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14.3500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4.4400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19.4500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4.9500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4.2500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2.4333</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9.3500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3.8500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14.4500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4.4500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19.5500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4.9600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4.3500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2.4667</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9.4500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3.8750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14.5500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4.4600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19.6500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4.9700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4.4500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2.5000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9.5500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3.9000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14.6500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4.4700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19.7500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4.9800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4.5500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2.5333</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9.6500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3.9250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14.7500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4.4800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19.8500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4.9900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4.6500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2.5667</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9.7500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3.9500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14.8500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4.4900</w:t>
            </w:r>
          </w:p>
        </w:tc>
        <w:tc>
          <w:tcPr>
            <w:tcW w:w="1560" w:type="dxa"/>
            <w:vAlign w:val="bottom"/>
            <w:gridSpan w:val="2"/>
          </w:tcPr>
          <w:p>
            <w:pPr>
              <w:jc w:val="center"/>
              <w:ind w:left="144"/>
              <w:spacing w:after="0" w:line="162" w:lineRule="exact"/>
              <w:rPr>
                <w:sz w:val="20"/>
                <w:szCs w:val="20"/>
                <w:color w:val="auto"/>
              </w:rPr>
            </w:pPr>
            <w:r>
              <w:rPr>
                <w:rFonts w:ascii="Times New Roman" w:cs="Times New Roman" w:eastAsia="Times New Roman" w:hAnsi="Times New Roman"/>
                <w:sz w:val="15"/>
                <w:szCs w:val="15"/>
                <w:color w:val="auto"/>
              </w:rPr>
              <w:t>19.9500</w:t>
            </w:r>
          </w:p>
        </w:tc>
        <w:tc>
          <w:tcPr>
            <w:tcW w:w="200" w:type="dxa"/>
            <w:vAlign w:val="bottom"/>
          </w:tcPr>
          <w:p>
            <w:pPr>
              <w:spacing w:after="0"/>
              <w:rPr>
                <w:sz w:val="14"/>
                <w:szCs w:val="14"/>
                <w:color w:val="auto"/>
              </w:rPr>
            </w:pPr>
          </w:p>
        </w:tc>
        <w:tc>
          <w:tcPr>
            <w:tcW w:w="780" w:type="dxa"/>
            <w:vAlign w:val="bottom"/>
            <w:gridSpan w:val="3"/>
          </w:tcPr>
          <w:p>
            <w:pPr>
              <w:jc w:val="center"/>
              <w:ind w:left="124"/>
              <w:spacing w:after="0" w:line="162" w:lineRule="exact"/>
              <w:rPr>
                <w:sz w:val="20"/>
                <w:szCs w:val="20"/>
                <w:color w:val="auto"/>
              </w:rPr>
            </w:pPr>
            <w:r>
              <w:rPr>
                <w:rFonts w:ascii="Times New Roman" w:cs="Times New Roman" w:eastAsia="Times New Roman" w:hAnsi="Times New Roman"/>
                <w:sz w:val="15"/>
                <w:szCs w:val="15"/>
                <w:color w:val="auto"/>
              </w:rPr>
              <w:t>5.0000</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4.7500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2.6000</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9.8500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3.9750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14.9500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4.5000</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left="184"/>
              <w:spacing w:after="0" w:line="162" w:lineRule="exact"/>
              <w:rPr>
                <w:sz w:val="20"/>
                <w:szCs w:val="20"/>
                <w:color w:val="auto"/>
              </w:rPr>
            </w:pPr>
            <w:r>
              <w:rPr>
                <w:rFonts w:ascii="Times New Roman" w:cs="Times New Roman" w:eastAsia="Times New Roman" w:hAnsi="Times New Roman"/>
                <w:sz w:val="15"/>
                <w:szCs w:val="15"/>
                <w:color w:val="auto"/>
              </w:rPr>
              <w:t>4.8500</w:t>
            </w:r>
          </w:p>
        </w:tc>
        <w:tc>
          <w:tcPr>
            <w:tcW w:w="560" w:type="dxa"/>
            <w:vAlign w:val="bottom"/>
          </w:tcPr>
          <w:p>
            <w:pPr>
              <w:spacing w:after="0"/>
              <w:rPr>
                <w:sz w:val="14"/>
                <w:szCs w:val="14"/>
                <w:color w:val="auto"/>
              </w:rPr>
            </w:pPr>
          </w:p>
        </w:tc>
        <w:tc>
          <w:tcPr>
            <w:tcW w:w="1120" w:type="dxa"/>
            <w:vAlign w:val="bottom"/>
            <w:gridSpan w:val="3"/>
          </w:tcPr>
          <w:p>
            <w:pPr>
              <w:ind w:left="360"/>
              <w:spacing w:after="0" w:line="162" w:lineRule="exact"/>
              <w:rPr>
                <w:sz w:val="20"/>
                <w:szCs w:val="20"/>
                <w:color w:val="auto"/>
              </w:rPr>
            </w:pPr>
            <w:r>
              <w:rPr>
                <w:rFonts w:ascii="Times New Roman" w:cs="Times New Roman" w:eastAsia="Times New Roman" w:hAnsi="Times New Roman"/>
                <w:sz w:val="15"/>
                <w:szCs w:val="15"/>
                <w:color w:val="auto"/>
              </w:rPr>
              <w:t>2.6333</w:t>
            </w:r>
          </w:p>
        </w:tc>
        <w:tc>
          <w:tcPr>
            <w:tcW w:w="1200" w:type="dxa"/>
            <w:vAlign w:val="bottom"/>
            <w:gridSpan w:val="2"/>
          </w:tcPr>
          <w:p>
            <w:pPr>
              <w:jc w:val="center"/>
              <w:ind w:left="464"/>
              <w:spacing w:after="0" w:line="162" w:lineRule="exact"/>
              <w:rPr>
                <w:sz w:val="20"/>
                <w:szCs w:val="20"/>
                <w:color w:val="auto"/>
              </w:rPr>
            </w:pPr>
            <w:r>
              <w:rPr>
                <w:rFonts w:ascii="Times New Roman" w:cs="Times New Roman" w:eastAsia="Times New Roman" w:hAnsi="Times New Roman"/>
                <w:sz w:val="15"/>
                <w:szCs w:val="15"/>
                <w:color w:val="auto"/>
              </w:rPr>
              <w:t>9.9500</w:t>
            </w:r>
          </w:p>
        </w:tc>
        <w:tc>
          <w:tcPr>
            <w:tcW w:w="520" w:type="dxa"/>
            <w:vAlign w:val="bottom"/>
          </w:tcPr>
          <w:p>
            <w:pPr>
              <w:spacing w:after="0"/>
              <w:rPr>
                <w:sz w:val="14"/>
                <w:szCs w:val="14"/>
                <w:color w:val="auto"/>
              </w:rPr>
            </w:pPr>
          </w:p>
        </w:tc>
        <w:tc>
          <w:tcPr>
            <w:tcW w:w="11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4.0000</w:t>
            </w:r>
          </w:p>
        </w:tc>
        <w:tc>
          <w:tcPr>
            <w:tcW w:w="1220" w:type="dxa"/>
            <w:vAlign w:val="bottom"/>
            <w:gridSpan w:val="2"/>
          </w:tcPr>
          <w:p>
            <w:pPr>
              <w:jc w:val="center"/>
              <w:ind w:left="484"/>
              <w:spacing w:after="0" w:line="162" w:lineRule="exact"/>
              <w:rPr>
                <w:sz w:val="20"/>
                <w:szCs w:val="20"/>
                <w:color w:val="auto"/>
              </w:rPr>
            </w:pPr>
            <w:r>
              <w:rPr>
                <w:rFonts w:ascii="Times New Roman" w:cs="Times New Roman" w:eastAsia="Times New Roman" w:hAnsi="Times New Roman"/>
                <w:sz w:val="15"/>
                <w:szCs w:val="15"/>
                <w:color w:val="auto"/>
              </w:rPr>
              <w:t>15.0500</w:t>
            </w:r>
          </w:p>
        </w:tc>
        <w:tc>
          <w:tcPr>
            <w:tcW w:w="52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color w:val="auto"/>
              </w:rPr>
              <w:t>4.5100</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920" w:type="dxa"/>
            <w:vAlign w:val="bottom"/>
            <w:gridSpan w:val="2"/>
          </w:tcPr>
          <w:p>
            <w:pPr>
              <w:jc w:val="center"/>
              <w:ind w:left="184"/>
              <w:spacing w:after="0"/>
              <w:rPr>
                <w:sz w:val="20"/>
                <w:szCs w:val="20"/>
                <w:color w:val="auto"/>
              </w:rPr>
            </w:pPr>
            <w:r>
              <w:rPr>
                <w:rFonts w:ascii="Times New Roman" w:cs="Times New Roman" w:eastAsia="Times New Roman" w:hAnsi="Times New Roman"/>
                <w:sz w:val="15"/>
                <w:szCs w:val="15"/>
                <w:color w:val="auto"/>
              </w:rPr>
              <w:t>4.9500</w:t>
            </w:r>
          </w:p>
        </w:tc>
        <w:tc>
          <w:tcPr>
            <w:tcW w:w="560" w:type="dxa"/>
            <w:vAlign w:val="bottom"/>
          </w:tcPr>
          <w:p>
            <w:pPr>
              <w:spacing w:after="0"/>
              <w:rPr>
                <w:sz w:val="17"/>
                <w:szCs w:val="17"/>
                <w:color w:val="auto"/>
              </w:rPr>
            </w:pPr>
          </w:p>
        </w:tc>
        <w:tc>
          <w:tcPr>
            <w:tcW w:w="1120" w:type="dxa"/>
            <w:vAlign w:val="bottom"/>
            <w:gridSpan w:val="3"/>
          </w:tcPr>
          <w:p>
            <w:pPr>
              <w:ind w:left="360"/>
              <w:spacing w:after="0"/>
              <w:rPr>
                <w:sz w:val="20"/>
                <w:szCs w:val="20"/>
                <w:color w:val="auto"/>
              </w:rPr>
            </w:pPr>
            <w:r>
              <w:rPr>
                <w:rFonts w:ascii="Times New Roman" w:cs="Times New Roman" w:eastAsia="Times New Roman" w:hAnsi="Times New Roman"/>
                <w:sz w:val="15"/>
                <w:szCs w:val="15"/>
                <w:color w:val="auto"/>
              </w:rPr>
              <w:t>2.6667</w:t>
            </w:r>
          </w:p>
        </w:tc>
        <w:tc>
          <w:tcPr>
            <w:tcW w:w="1200" w:type="dxa"/>
            <w:vAlign w:val="bottom"/>
            <w:gridSpan w:val="2"/>
          </w:tcPr>
          <w:p>
            <w:pPr>
              <w:jc w:val="center"/>
              <w:ind w:left="464"/>
              <w:spacing w:after="0"/>
              <w:rPr>
                <w:sz w:val="20"/>
                <w:szCs w:val="20"/>
                <w:color w:val="auto"/>
              </w:rPr>
            </w:pPr>
            <w:r>
              <w:rPr>
                <w:rFonts w:ascii="Times New Roman" w:cs="Times New Roman" w:eastAsia="Times New Roman" w:hAnsi="Times New Roman"/>
                <w:sz w:val="15"/>
                <w:szCs w:val="15"/>
                <w:color w:val="auto"/>
              </w:rPr>
              <w:t>10.0500</w:t>
            </w:r>
          </w:p>
        </w:tc>
        <w:tc>
          <w:tcPr>
            <w:tcW w:w="52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4.0100</w:t>
            </w:r>
          </w:p>
        </w:tc>
        <w:tc>
          <w:tcPr>
            <w:tcW w:w="1220" w:type="dxa"/>
            <w:vAlign w:val="bottom"/>
            <w:gridSpan w:val="2"/>
          </w:tcPr>
          <w:p>
            <w:pPr>
              <w:jc w:val="center"/>
              <w:ind w:left="484"/>
              <w:spacing w:after="0"/>
              <w:rPr>
                <w:sz w:val="20"/>
                <w:szCs w:val="20"/>
                <w:color w:val="auto"/>
              </w:rPr>
            </w:pPr>
            <w:r>
              <w:rPr>
                <w:rFonts w:ascii="Times New Roman" w:cs="Times New Roman" w:eastAsia="Times New Roman" w:hAnsi="Times New Roman"/>
                <w:sz w:val="15"/>
                <w:szCs w:val="15"/>
                <w:color w:val="auto"/>
              </w:rPr>
              <w:t>15.1500</w:t>
            </w:r>
          </w:p>
        </w:tc>
        <w:tc>
          <w:tcPr>
            <w:tcW w:w="520" w:type="dxa"/>
            <w:vAlign w:val="bottom"/>
          </w:tcPr>
          <w:p>
            <w:pPr>
              <w:spacing w:after="0"/>
              <w:rPr>
                <w:sz w:val="17"/>
                <w:szCs w:val="17"/>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4.5200</w:t>
            </w: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ii</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408" w:right="679" w:bottom="1440" w:gutter="0" w:footer="0" w:header="0"/>
        </w:sectPr>
      </w:pPr>
    </w:p>
    <w:bookmarkStart w:id="259" w:name="page260"/>
    <w:bookmarkEnd w:id="259"/>
    <w:p>
      <w:pPr>
        <w:spacing w:after="0" w:line="181" w:lineRule="exact"/>
        <w:rPr>
          <w:sz w:val="20"/>
          <w:szCs w:val="20"/>
          <w:color w:val="auto"/>
        </w:rPr>
      </w:pPr>
    </w:p>
    <w:tbl>
      <w:tblPr>
        <w:tblLayout w:type="fixed"/>
        <w:tblInd w:w="1590" w:type="dxa"/>
        <w:tblCellMar>
          <w:top w:w="0" w:type="dxa"/>
          <w:left w:w="0" w:type="dxa"/>
          <w:bottom w:w="0" w:type="dxa"/>
          <w:right w:w="0" w:type="dxa"/>
        </w:tblCellMar>
      </w:tblPr>
      <w:tr>
        <w:trPr>
          <w:trHeight w:val="286"/>
        </w:trPr>
        <w:tc>
          <w:tcPr>
            <w:tcW w:w="1660" w:type="dxa"/>
            <w:vAlign w:val="bottom"/>
          </w:tcPr>
          <w:p>
            <w:pPr>
              <w:spacing w:after="0"/>
              <w:rPr>
                <w:sz w:val="24"/>
                <w:szCs w:val="24"/>
                <w:color w:val="auto"/>
              </w:rPr>
            </w:pPr>
          </w:p>
        </w:tc>
        <w:tc>
          <w:tcPr>
            <w:tcW w:w="6440" w:type="dxa"/>
            <w:vAlign w:val="bottom"/>
          </w:tcPr>
          <w:p>
            <w:pPr>
              <w:ind w:left="1880"/>
              <w:spacing w:after="0"/>
              <w:rPr>
                <w:sz w:val="20"/>
                <w:szCs w:val="20"/>
                <w:color w:val="auto"/>
              </w:rPr>
            </w:pPr>
            <w:r>
              <w:rPr>
                <w:rFonts w:ascii="Times New Roman" w:cs="Times New Roman" w:eastAsia="Times New Roman" w:hAnsi="Times New Roman"/>
                <w:sz w:val="22"/>
                <w:szCs w:val="22"/>
                <w:b w:val="1"/>
                <w:bCs w:val="1"/>
                <w:color w:val="auto"/>
              </w:rPr>
              <w:t>Schedule 3</w:t>
            </w:r>
          </w:p>
        </w:tc>
      </w:tr>
      <w:tr>
        <w:trPr>
          <w:trHeight w:val="486"/>
        </w:trPr>
        <w:tc>
          <w:tcPr>
            <w:tcW w:w="1660" w:type="dxa"/>
            <w:vAlign w:val="bottom"/>
          </w:tcPr>
          <w:p>
            <w:pPr>
              <w:spacing w:after="0"/>
              <w:rPr>
                <w:sz w:val="24"/>
                <w:szCs w:val="24"/>
                <w:color w:val="auto"/>
              </w:rPr>
            </w:pPr>
          </w:p>
        </w:tc>
        <w:tc>
          <w:tcPr>
            <w:tcW w:w="644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S&amp;P INDUSTRY CLASSIFICATIONS</w:t>
            </w:r>
          </w:p>
        </w:tc>
      </w:tr>
      <w:tr>
        <w:trPr>
          <w:trHeight w:val="633"/>
        </w:trPr>
        <w:tc>
          <w:tcPr>
            <w:tcW w:w="16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r>
      <w:tr>
        <w:trPr>
          <w:trHeight w:val="208"/>
        </w:trPr>
        <w:tc>
          <w:tcPr>
            <w:tcW w:w="1660" w:type="dxa"/>
            <w:vAlign w:val="bottom"/>
            <w:tcBorders>
              <w:left w:val="single" w:sz="8" w:color="auto"/>
              <w:right w:val="single" w:sz="8" w:color="auto"/>
            </w:tcBorders>
          </w:tcPr>
          <w:p>
            <w:pPr>
              <w:ind w:left="20"/>
              <w:spacing w:after="0" w:line="208" w:lineRule="exact"/>
              <w:rPr>
                <w:sz w:val="20"/>
                <w:szCs w:val="20"/>
                <w:color w:val="auto"/>
              </w:rPr>
            </w:pPr>
            <w:r>
              <w:rPr>
                <w:rFonts w:ascii="Times New Roman" w:cs="Times New Roman" w:eastAsia="Times New Roman" w:hAnsi="Times New Roman"/>
                <w:sz w:val="22"/>
                <w:szCs w:val="22"/>
                <w:b w:val="1"/>
                <w:bCs w:val="1"/>
                <w:color w:val="auto"/>
              </w:rPr>
              <w:t>Asset Type</w:t>
            </w:r>
          </w:p>
        </w:tc>
        <w:tc>
          <w:tcPr>
            <w:tcW w:w="6440" w:type="dxa"/>
            <w:vAlign w:val="bottom"/>
            <w:tcBorders>
              <w:right w:val="single" w:sz="8" w:color="auto"/>
            </w:tcBorders>
          </w:tcPr>
          <w:p>
            <w:pPr>
              <w:spacing w:after="0"/>
              <w:rPr>
                <w:sz w:val="18"/>
                <w:szCs w:val="18"/>
                <w:color w:val="auto"/>
              </w:rPr>
            </w:pPr>
          </w:p>
        </w:tc>
      </w:tr>
      <w:tr>
        <w:trPr>
          <w:trHeight w:val="291"/>
        </w:trPr>
        <w:tc>
          <w:tcPr>
            <w:tcW w:w="16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Code</w:t>
            </w:r>
          </w:p>
        </w:tc>
        <w:tc>
          <w:tcPr>
            <w:tcW w:w="6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20"/>
        </w:trPr>
        <w:tc>
          <w:tcPr>
            <w:tcW w:w="1660" w:type="dxa"/>
            <w:vAlign w:val="bottom"/>
            <w:tcBorders>
              <w:bottom w:val="single" w:sz="8" w:color="auto"/>
              <w:right w:val="single" w:sz="8" w:color="auto"/>
            </w:tcBorders>
          </w:tcPr>
          <w:p>
            <w:pPr>
              <w:ind w:left="20"/>
              <w:spacing w:after="0" w:line="220" w:lineRule="exact"/>
              <w:rPr>
                <w:sz w:val="20"/>
                <w:szCs w:val="20"/>
                <w:color w:val="auto"/>
              </w:rPr>
            </w:pPr>
            <w:r>
              <w:rPr>
                <w:rFonts w:ascii="Times New Roman" w:cs="Times New Roman" w:eastAsia="Times New Roman" w:hAnsi="Times New Roman"/>
                <w:sz w:val="22"/>
                <w:szCs w:val="22"/>
                <w:color w:val="auto"/>
              </w:rPr>
              <w:t>1020000</w:t>
            </w:r>
          </w:p>
        </w:tc>
        <w:tc>
          <w:tcPr>
            <w:tcW w:w="644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22"/>
                <w:szCs w:val="22"/>
                <w:color w:val="auto"/>
              </w:rPr>
              <w:t>Energy Equipment and Services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1030000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Oil, Gas, and Consumable Fuels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1033403</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Mortgage Real Estate Investment Trusts (REITs)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2020000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Chemicals</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2030000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Construction Materials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2040000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Containers and Packaging</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2050000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Metals and Mining</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2060000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Paper and Forest Products</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3020000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Aerospace and Defense</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3030000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Building Products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3040000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Construction and Engineering</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3050000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Electrical Equipment</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3060000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Industrial Conglomerates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3070000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Machinery</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3080000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Trading Companies and Distributors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3110000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Commercial Services and Supplies</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3210000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Air Freight and Logistics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3220000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Passenger airlines</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3230000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Marine transportation</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3240000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Ground transportation</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3250000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Transportation Infrastructure</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4011000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Automobile Components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4020000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Automobiles</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4110000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Household Durables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4120000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Leisure Products</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4130000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Textiles, Apparel, and Luxury Goods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4210000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Hotels, Restaurants, and Leisure</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4300001</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Entertainment</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4300002</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Interactive Media and Services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4310000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Media</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4410000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Distributors</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4430000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Broadline retail</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4440000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Specialty Retail</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5020000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Consumer staples distribution and retail</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5110000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Beverages</w:t>
            </w:r>
          </w:p>
        </w:tc>
      </w:tr>
    </w:tbl>
    <w:p>
      <w:pPr>
        <w:spacing w:after="0" w:line="168"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60" w:name="page261"/>
    <w:bookmarkEnd w:id="260"/>
    <w:tbl>
      <w:tblPr>
        <w:tblLayout w:type="fixed"/>
        <w:tblInd w:w="1590" w:type="dxa"/>
        <w:tblCellMar>
          <w:top w:w="0" w:type="dxa"/>
          <w:left w:w="0" w:type="dxa"/>
          <w:bottom w:w="0" w:type="dxa"/>
          <w:right w:w="0" w:type="dxa"/>
        </w:tblCellMar>
      </w:tblPr>
      <w:tr>
        <w:trPr>
          <w:trHeight w:val="228"/>
        </w:trPr>
        <w:tc>
          <w:tcPr>
            <w:tcW w:w="1660" w:type="dxa"/>
            <w:vAlign w:val="bottom"/>
            <w:tcBorders>
              <w:top w:val="single" w:sz="8" w:color="auto"/>
              <w:left w:val="single" w:sz="8" w:color="auto"/>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2"/>
                <w:szCs w:val="22"/>
                <w:b w:val="1"/>
                <w:bCs w:val="1"/>
                <w:color w:val="auto"/>
              </w:rPr>
              <w:t>Asset Type</w:t>
            </w:r>
          </w:p>
        </w:tc>
        <w:tc>
          <w:tcPr>
            <w:tcW w:w="6440" w:type="dxa"/>
            <w:vAlign w:val="bottom"/>
            <w:tcBorders>
              <w:top w:val="single" w:sz="8" w:color="auto"/>
              <w:right w:val="single" w:sz="8" w:color="auto"/>
            </w:tcBorders>
          </w:tcPr>
          <w:p>
            <w:pPr>
              <w:spacing w:after="0"/>
              <w:rPr>
                <w:sz w:val="19"/>
                <w:szCs w:val="19"/>
                <w:color w:val="auto"/>
              </w:rPr>
            </w:pPr>
          </w:p>
        </w:tc>
      </w:tr>
      <w:tr>
        <w:trPr>
          <w:trHeight w:val="291"/>
        </w:trPr>
        <w:tc>
          <w:tcPr>
            <w:tcW w:w="16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Code</w:t>
            </w:r>
          </w:p>
        </w:tc>
        <w:tc>
          <w:tcPr>
            <w:tcW w:w="6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20"/>
        </w:trPr>
        <w:tc>
          <w:tcPr>
            <w:tcW w:w="1660" w:type="dxa"/>
            <w:vAlign w:val="bottom"/>
            <w:tcBorders>
              <w:bottom w:val="single" w:sz="8" w:color="auto"/>
              <w:right w:val="single" w:sz="8" w:color="auto"/>
            </w:tcBorders>
          </w:tcPr>
          <w:p>
            <w:pPr>
              <w:ind w:left="20"/>
              <w:spacing w:after="0" w:line="220" w:lineRule="exact"/>
              <w:rPr>
                <w:sz w:val="20"/>
                <w:szCs w:val="20"/>
                <w:color w:val="auto"/>
              </w:rPr>
            </w:pPr>
            <w:r>
              <w:rPr>
                <w:rFonts w:ascii="Times New Roman" w:cs="Times New Roman" w:eastAsia="Times New Roman" w:hAnsi="Times New Roman"/>
                <w:sz w:val="22"/>
                <w:szCs w:val="22"/>
                <w:color w:val="auto"/>
              </w:rPr>
              <w:t>5120000</w:t>
            </w:r>
          </w:p>
        </w:tc>
        <w:tc>
          <w:tcPr>
            <w:tcW w:w="644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22"/>
                <w:szCs w:val="22"/>
                <w:color w:val="auto"/>
              </w:rPr>
              <w:t>Food Products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5130000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Tobacco</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5210000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Household Products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5220000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Personal care products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6020000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Healthcare Equipment and Supplies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6030000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Healthcare Providers and Services</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6110000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Biotechnology</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6120000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Pharmaceuticals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7011000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Banks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7110000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Financial Services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7120000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Consumer Finance</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7130000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Capital Markets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7210000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Insurance</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7310000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Real Estate Management and Development</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7311000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Diversified REITS</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8030000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IT Services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8040000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Software</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8110000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Communications Equipment</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8120000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Technology Hardware, Storage, and Peripherals</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8130000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Electronic Equipment, Instruments, and Components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8210000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Semiconductors and Semiconductor Equipment</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9020000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Diversified Telecommunication Services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9030000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Wireless Telecommunication Services</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9520000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Electric Utilities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9530000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Gas Utilities</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9540000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Multi-Utilities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9550000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Water Utilities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9551701</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Diversified Consumer Services</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9551702</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Independent Power and Renewable Electricity Producers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9551727</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Life Sciences Tools and Services</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9551729</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Health Care Technology</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9612010</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Professional services</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9622292</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Residential REITs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9622294</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Industrial REITs</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9622295</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Hotel and resort REITs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9622296</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Office REITs</w:t>
            </w:r>
          </w:p>
        </w:tc>
      </w:tr>
      <w:tr>
        <w:trPr>
          <w:trHeight w:val="237"/>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9622297</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Health care REITs</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9622298</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Retail REITs</w:t>
            </w:r>
          </w:p>
        </w:tc>
      </w:tr>
      <w:tr>
        <w:trPr>
          <w:trHeight w:val="236"/>
        </w:trPr>
        <w:tc>
          <w:tcPr>
            <w:tcW w:w="16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9622299</w:t>
            </w:r>
          </w:p>
        </w:tc>
        <w:tc>
          <w:tcPr>
            <w:tcW w:w="644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Specialized REITs</w:t>
            </w:r>
          </w:p>
        </w:tc>
      </w:tr>
    </w:tbl>
    <w:p>
      <w:pPr>
        <w:spacing w:after="0" w:line="200" w:lineRule="exact"/>
        <w:rPr>
          <w:sz w:val="20"/>
          <w:szCs w:val="20"/>
          <w:color w:val="auto"/>
        </w:rPr>
      </w:pPr>
    </w:p>
    <w:p>
      <w:pPr>
        <w:spacing w:after="0" w:line="400"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2" w:right="1440" w:bottom="1440" w:gutter="0" w:footer="0" w:header="0"/>
        </w:sectPr>
      </w:pPr>
    </w:p>
    <w:bookmarkStart w:id="261" w:name="page262"/>
    <w:bookmarkEnd w:id="261"/>
    <w:tbl>
      <w:tblPr>
        <w:tblLayout w:type="fixed"/>
        <w:tblInd w:w="1590" w:type="dxa"/>
        <w:tblCellMar>
          <w:top w:w="0" w:type="dxa"/>
          <w:left w:w="0" w:type="dxa"/>
          <w:bottom w:w="0" w:type="dxa"/>
          <w:right w:w="0" w:type="dxa"/>
        </w:tblCellMar>
      </w:tblPr>
      <w:tr>
        <w:trPr>
          <w:trHeight w:val="257"/>
        </w:trPr>
        <w:tc>
          <w:tcPr>
            <w:tcW w:w="1660" w:type="dxa"/>
            <w:vAlign w:val="bottom"/>
            <w:tcBorders>
              <w:top w:val="single" w:sz="8" w:color="auto"/>
              <w:left w:val="single" w:sz="8" w:color="auto"/>
              <w:bottom w:val="single" w:sz="8" w:color="auto"/>
            </w:tcBorders>
          </w:tcPr>
          <w:p>
            <w:pPr>
              <w:spacing w:after="0"/>
              <w:rPr>
                <w:sz w:val="22"/>
                <w:szCs w:val="22"/>
                <w:color w:val="auto"/>
              </w:rPr>
            </w:pPr>
          </w:p>
        </w:tc>
        <w:tc>
          <w:tcPr>
            <w:tcW w:w="6460" w:type="dxa"/>
            <w:vAlign w:val="bottom"/>
            <w:tcBorders>
              <w:top w:val="single" w:sz="8" w:color="auto"/>
              <w:bottom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22"/>
                <w:szCs w:val="22"/>
                <w:b w:val="1"/>
                <w:bCs w:val="1"/>
                <w:color w:val="auto"/>
              </w:rPr>
              <w:t>PROJECT FINANCE</w:t>
            </w:r>
          </w:p>
        </w:tc>
      </w:tr>
      <w:tr>
        <w:trPr>
          <w:trHeight w:val="208"/>
        </w:trPr>
        <w:tc>
          <w:tcPr>
            <w:tcW w:w="1660" w:type="dxa"/>
            <w:vAlign w:val="bottom"/>
            <w:tcBorders>
              <w:left w:val="single" w:sz="8" w:color="auto"/>
              <w:right w:val="single" w:sz="8" w:color="auto"/>
            </w:tcBorders>
          </w:tcPr>
          <w:p>
            <w:pPr>
              <w:ind w:left="20"/>
              <w:spacing w:after="0" w:line="208" w:lineRule="exact"/>
              <w:rPr>
                <w:sz w:val="20"/>
                <w:szCs w:val="20"/>
                <w:color w:val="auto"/>
              </w:rPr>
            </w:pPr>
            <w:r>
              <w:rPr>
                <w:rFonts w:ascii="Times New Roman" w:cs="Times New Roman" w:eastAsia="Times New Roman" w:hAnsi="Times New Roman"/>
                <w:sz w:val="22"/>
                <w:szCs w:val="22"/>
                <w:b w:val="1"/>
                <w:bCs w:val="1"/>
                <w:color w:val="auto"/>
              </w:rPr>
              <w:t>Asset Type</w:t>
            </w:r>
          </w:p>
        </w:tc>
        <w:tc>
          <w:tcPr>
            <w:tcW w:w="6460" w:type="dxa"/>
            <w:vAlign w:val="bottom"/>
            <w:tcBorders>
              <w:right w:val="single" w:sz="8" w:color="auto"/>
            </w:tcBorders>
          </w:tcPr>
          <w:p>
            <w:pPr>
              <w:spacing w:after="0"/>
              <w:rPr>
                <w:sz w:val="18"/>
                <w:szCs w:val="18"/>
                <w:color w:val="auto"/>
              </w:rPr>
            </w:pPr>
          </w:p>
        </w:tc>
      </w:tr>
      <w:tr>
        <w:trPr>
          <w:trHeight w:val="274"/>
        </w:trPr>
        <w:tc>
          <w:tcPr>
            <w:tcW w:w="16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Code</w:t>
            </w:r>
          </w:p>
        </w:tc>
        <w:tc>
          <w:tcPr>
            <w:tcW w:w="6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37"/>
        </w:trPr>
        <w:tc>
          <w:tcPr>
            <w:tcW w:w="166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PF1</w:t>
            </w:r>
          </w:p>
        </w:tc>
        <w:tc>
          <w:tcPr>
            <w:tcW w:w="646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Project finance: Industrial equipment</w:t>
            </w:r>
          </w:p>
        </w:tc>
      </w:tr>
      <w:tr>
        <w:trPr>
          <w:trHeight w:val="236"/>
        </w:trPr>
        <w:tc>
          <w:tcPr>
            <w:tcW w:w="166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PF2</w:t>
            </w:r>
          </w:p>
        </w:tc>
        <w:tc>
          <w:tcPr>
            <w:tcW w:w="646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Project finance: Leisure and gaming</w:t>
            </w:r>
          </w:p>
        </w:tc>
      </w:tr>
      <w:tr>
        <w:trPr>
          <w:trHeight w:val="237"/>
        </w:trPr>
        <w:tc>
          <w:tcPr>
            <w:tcW w:w="166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PF3</w:t>
            </w:r>
          </w:p>
        </w:tc>
        <w:tc>
          <w:tcPr>
            <w:tcW w:w="646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Project finance: Natural resources and mining</w:t>
            </w:r>
          </w:p>
        </w:tc>
      </w:tr>
      <w:tr>
        <w:trPr>
          <w:trHeight w:val="237"/>
        </w:trPr>
        <w:tc>
          <w:tcPr>
            <w:tcW w:w="166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PF4</w:t>
            </w:r>
          </w:p>
        </w:tc>
        <w:tc>
          <w:tcPr>
            <w:tcW w:w="646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Project finance: Oil and gas</w:t>
            </w:r>
          </w:p>
        </w:tc>
      </w:tr>
      <w:tr>
        <w:trPr>
          <w:trHeight w:val="237"/>
        </w:trPr>
        <w:tc>
          <w:tcPr>
            <w:tcW w:w="166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PF5</w:t>
            </w:r>
          </w:p>
        </w:tc>
        <w:tc>
          <w:tcPr>
            <w:tcW w:w="646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Project finance: Power</w:t>
            </w:r>
          </w:p>
        </w:tc>
      </w:tr>
      <w:tr>
        <w:trPr>
          <w:trHeight w:val="237"/>
        </w:trPr>
        <w:tc>
          <w:tcPr>
            <w:tcW w:w="166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PF6</w:t>
            </w:r>
          </w:p>
        </w:tc>
        <w:tc>
          <w:tcPr>
            <w:tcW w:w="646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Project finance: Public finance and real estate</w:t>
            </w:r>
          </w:p>
        </w:tc>
      </w:tr>
      <w:tr>
        <w:trPr>
          <w:trHeight w:val="236"/>
        </w:trPr>
        <w:tc>
          <w:tcPr>
            <w:tcW w:w="166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PF7</w:t>
            </w:r>
          </w:p>
        </w:tc>
        <w:tc>
          <w:tcPr>
            <w:tcW w:w="646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Project finance: Telecommunications</w:t>
            </w:r>
          </w:p>
        </w:tc>
      </w:tr>
      <w:tr>
        <w:trPr>
          <w:trHeight w:val="237"/>
        </w:trPr>
        <w:tc>
          <w:tcPr>
            <w:tcW w:w="166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PF8</w:t>
            </w:r>
          </w:p>
        </w:tc>
        <w:tc>
          <w:tcPr>
            <w:tcW w:w="646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Project finance: Transport</w:t>
            </w:r>
          </w:p>
        </w:tc>
      </w:tr>
      <w:tr>
        <w:trPr>
          <w:trHeight w:val="237"/>
        </w:trPr>
        <w:tc>
          <w:tcPr>
            <w:tcW w:w="166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PF1000-PF1099</w:t>
            </w:r>
          </w:p>
        </w:tc>
        <w:tc>
          <w:tcPr>
            <w:tcW w:w="646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Reserved</w:t>
            </w:r>
          </w:p>
        </w:tc>
      </w:tr>
    </w:tbl>
    <w:p>
      <w:pPr>
        <w:spacing w:after="0" w:line="200" w:lineRule="exact"/>
        <w:rPr>
          <w:sz w:val="20"/>
          <w:szCs w:val="20"/>
          <w:color w:val="auto"/>
        </w:rPr>
      </w:pPr>
    </w:p>
    <w:p>
      <w:pPr>
        <w:spacing w:after="0" w:line="400"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2" w:right="1440" w:bottom="1440" w:gutter="0" w:footer="0" w:header="0"/>
        </w:sectPr>
      </w:pPr>
    </w:p>
    <w:bookmarkStart w:id="262" w:name="page263"/>
    <w:bookmarkEnd w:id="262"/>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4</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MOODY'S RATING DEFINITIONS</w:t>
      </w:r>
    </w:p>
    <w:p>
      <w:pPr>
        <w:spacing w:after="0" w:line="166" w:lineRule="exact"/>
        <w:rPr>
          <w:sz w:val="20"/>
          <w:szCs w:val="20"/>
          <w:color w:val="auto"/>
        </w:rPr>
      </w:pPr>
    </w:p>
    <w:p>
      <w:pPr>
        <w:ind w:firstLine="374"/>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Moody's Derived Rating</w:t>
      </w:r>
      <w:r>
        <w:rPr>
          <w:rFonts w:ascii="Times New Roman" w:cs="Times New Roman" w:eastAsia="Times New Roman" w:hAnsi="Times New Roman"/>
          <w:sz w:val="22"/>
          <w:szCs w:val="22"/>
          <w:color w:val="auto"/>
        </w:rPr>
        <w:t>" means, with respect to a Collateral Obligation whose Moody's Rating cannot otherwise be determined pursuant to the definitions thereof, such Moody's Rating shall be determined as set forth below:</w:t>
      </w:r>
    </w:p>
    <w:p>
      <w:pPr>
        <w:spacing w:after="0" w:line="127" w:lineRule="exact"/>
        <w:rPr>
          <w:sz w:val="20"/>
          <w:szCs w:val="20"/>
          <w:color w:val="auto"/>
        </w:rPr>
      </w:pPr>
    </w:p>
    <w:p>
      <w:pPr>
        <w:ind w:left="1760" w:hanging="434"/>
        <w:spacing w:after="0"/>
        <w:tabs>
          <w:tab w:leader="none" w:pos="1760"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using any one of the methods provided below:</w:t>
      </w:r>
    </w:p>
    <w:p>
      <w:pPr>
        <w:spacing w:after="0" w:line="165" w:lineRule="exact"/>
        <w:rPr>
          <w:rFonts w:ascii="Times New Roman" w:cs="Times New Roman" w:eastAsia="Times New Roman" w:hAnsi="Times New Roman"/>
          <w:sz w:val="22"/>
          <w:szCs w:val="22"/>
          <w:color w:val="auto"/>
        </w:rPr>
      </w:pPr>
    </w:p>
    <w:p>
      <w:pPr>
        <w:ind w:left="1140" w:right="20" w:firstLine="365"/>
        <w:spacing w:after="0" w:line="258" w:lineRule="auto"/>
        <w:tabs>
          <w:tab w:leader="none" w:pos="1946" w:val="left"/>
        </w:tabs>
        <w:numPr>
          <w:ilvl w:val="1"/>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Collateral Obligation is rated by S&amp;P, then the Moody's Rating of such Collateral Obligation will be determined, at the election of the Collateral Manager, pursuant to the following table:</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253"/>
        </w:trPr>
        <w:tc>
          <w:tcPr>
            <w:tcW w:w="2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Number of</w:t>
            </w:r>
          </w:p>
        </w:tc>
      </w:tr>
      <w:tr>
        <w:trPr>
          <w:trHeight w:val="243"/>
        </w:trPr>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Subcategories</w:t>
            </w:r>
          </w:p>
        </w:tc>
      </w:tr>
      <w:tr>
        <w:trPr>
          <w:trHeight w:val="243"/>
        </w:trPr>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Relative to Moody's</w:t>
            </w:r>
          </w:p>
        </w:tc>
      </w:tr>
      <w:tr>
        <w:trPr>
          <w:trHeight w:val="243"/>
        </w:trPr>
        <w:tc>
          <w:tcPr>
            <w:tcW w:w="256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Obligation Category of</w:t>
            </w:r>
          </w:p>
        </w:tc>
        <w:tc>
          <w:tcPr>
            <w:tcW w:w="200" w:type="dxa"/>
            <w:vAlign w:val="bottom"/>
          </w:tcPr>
          <w:p>
            <w:pPr>
              <w:spacing w:after="0"/>
              <w:rPr>
                <w:sz w:val="21"/>
                <w:szCs w:val="21"/>
                <w:color w:val="auto"/>
              </w:rPr>
            </w:pPr>
          </w:p>
        </w:tc>
        <w:tc>
          <w:tcPr>
            <w:tcW w:w="246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Rating by S&amp;P</w:t>
            </w:r>
          </w:p>
        </w:tc>
        <w:tc>
          <w:tcPr>
            <w:tcW w:w="200" w:type="dxa"/>
            <w:vAlign w:val="bottom"/>
          </w:tcPr>
          <w:p>
            <w:pPr>
              <w:spacing w:after="0"/>
              <w:rPr>
                <w:sz w:val="21"/>
                <w:szCs w:val="21"/>
                <w:color w:val="auto"/>
              </w:rPr>
            </w:pPr>
          </w:p>
        </w:tc>
        <w:tc>
          <w:tcPr>
            <w:tcW w:w="254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Collateral Obligation</w:t>
            </w:r>
          </w:p>
        </w:tc>
        <w:tc>
          <w:tcPr>
            <w:tcW w:w="200" w:type="dxa"/>
            <w:vAlign w:val="bottom"/>
          </w:tcPr>
          <w:p>
            <w:pPr>
              <w:spacing w:after="0"/>
              <w:rPr>
                <w:sz w:val="21"/>
                <w:szCs w:val="21"/>
                <w:color w:val="auto"/>
              </w:rPr>
            </w:pPr>
          </w:p>
        </w:tc>
        <w:tc>
          <w:tcPr>
            <w:tcW w:w="19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Equivalent of Rating</w:t>
            </w:r>
          </w:p>
        </w:tc>
      </w:tr>
      <w:tr>
        <w:trPr>
          <w:trHeight w:val="286"/>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Rated Obligation</w:t>
            </w:r>
          </w:p>
        </w:tc>
        <w:tc>
          <w:tcPr>
            <w:tcW w:w="200" w:type="dxa"/>
            <w:vAlign w:val="bottom"/>
          </w:tcPr>
          <w:p>
            <w:pPr>
              <w:spacing w:after="0"/>
              <w:rPr>
                <w:sz w:val="24"/>
                <w:szCs w:val="24"/>
                <w:color w:val="auto"/>
              </w:rPr>
            </w:pPr>
          </w:p>
        </w:tc>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(Public and Monitored)</w:t>
            </w:r>
          </w:p>
        </w:tc>
        <w:tc>
          <w:tcPr>
            <w:tcW w:w="200" w:type="dxa"/>
            <w:vAlign w:val="bottom"/>
          </w:tcPr>
          <w:p>
            <w:pPr>
              <w:spacing w:after="0"/>
              <w:rPr>
                <w:sz w:val="24"/>
                <w:szCs w:val="24"/>
                <w:color w:val="auto"/>
              </w:rPr>
            </w:pPr>
          </w:p>
        </w:tc>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Rated by S&amp;P</w:t>
            </w:r>
          </w:p>
        </w:tc>
        <w:tc>
          <w:tcPr>
            <w:tcW w:w="200" w:type="dxa"/>
            <w:vAlign w:val="bottom"/>
          </w:tcPr>
          <w:p>
            <w:pPr>
              <w:spacing w:after="0"/>
              <w:rPr>
                <w:sz w:val="24"/>
                <w:szCs w:val="24"/>
                <w:color w:val="auto"/>
              </w:rPr>
            </w:pP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by S&amp;P</w:t>
            </w:r>
          </w:p>
        </w:tc>
      </w:tr>
      <w:tr>
        <w:trPr>
          <w:trHeight w:val="211"/>
        </w:trPr>
        <w:tc>
          <w:tcPr>
            <w:tcW w:w="2560" w:type="dxa"/>
            <w:vAlign w:val="bottom"/>
          </w:tcPr>
          <w:p>
            <w:pPr>
              <w:jc w:val="center"/>
              <w:spacing w:after="0" w:line="210" w:lineRule="exact"/>
              <w:rPr>
                <w:sz w:val="20"/>
                <w:szCs w:val="20"/>
                <w:color w:val="auto"/>
              </w:rPr>
            </w:pPr>
            <w:r>
              <w:rPr>
                <w:rFonts w:ascii="Times New Roman" w:cs="Times New Roman" w:eastAsia="Times New Roman" w:hAnsi="Times New Roman"/>
                <w:sz w:val="22"/>
                <w:szCs w:val="22"/>
                <w:color w:val="auto"/>
                <w:w w:val="98"/>
              </w:rPr>
              <w:t>Not Structured</w:t>
            </w:r>
          </w:p>
        </w:tc>
        <w:tc>
          <w:tcPr>
            <w:tcW w:w="200" w:type="dxa"/>
            <w:vAlign w:val="bottom"/>
          </w:tcPr>
          <w:p>
            <w:pPr>
              <w:spacing w:after="0"/>
              <w:rPr>
                <w:sz w:val="18"/>
                <w:szCs w:val="18"/>
                <w:color w:val="auto"/>
              </w:rPr>
            </w:pPr>
          </w:p>
        </w:tc>
        <w:tc>
          <w:tcPr>
            <w:tcW w:w="2460" w:type="dxa"/>
            <w:vAlign w:val="bottom"/>
          </w:tcPr>
          <w:p>
            <w:pPr>
              <w:jc w:val="center"/>
              <w:spacing w:after="0" w:line="210" w:lineRule="exact"/>
              <w:rPr>
                <w:sz w:val="20"/>
                <w:szCs w:val="20"/>
                <w:color w:val="auto"/>
              </w:rPr>
            </w:pPr>
            <w:r>
              <w:rPr>
                <w:rFonts w:ascii="Times New Roman" w:cs="Times New Roman" w:eastAsia="Times New Roman" w:hAnsi="Times New Roman"/>
                <w:sz w:val="22"/>
                <w:szCs w:val="22"/>
                <w:color w:val="auto"/>
                <w:w w:val="97"/>
              </w:rPr>
              <w:t>greater than or equal to</w:t>
            </w:r>
          </w:p>
        </w:tc>
        <w:tc>
          <w:tcPr>
            <w:tcW w:w="200" w:type="dxa"/>
            <w:vAlign w:val="bottom"/>
          </w:tcPr>
          <w:p>
            <w:pPr>
              <w:spacing w:after="0"/>
              <w:rPr>
                <w:sz w:val="18"/>
                <w:szCs w:val="18"/>
                <w:color w:val="auto"/>
              </w:rPr>
            </w:pPr>
          </w:p>
        </w:tc>
        <w:tc>
          <w:tcPr>
            <w:tcW w:w="2540" w:type="dxa"/>
            <w:vAlign w:val="bottom"/>
          </w:tcPr>
          <w:p>
            <w:pPr>
              <w:jc w:val="center"/>
              <w:spacing w:after="0" w:line="210" w:lineRule="exact"/>
              <w:rPr>
                <w:sz w:val="20"/>
                <w:szCs w:val="20"/>
                <w:color w:val="auto"/>
              </w:rPr>
            </w:pPr>
            <w:r>
              <w:rPr>
                <w:rFonts w:ascii="Times New Roman" w:cs="Times New Roman" w:eastAsia="Times New Roman" w:hAnsi="Times New Roman"/>
                <w:sz w:val="22"/>
                <w:szCs w:val="22"/>
                <w:color w:val="auto"/>
                <w:w w:val="98"/>
              </w:rPr>
              <w:t>Not a Loan or Participation</w:t>
            </w: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43"/>
        </w:trPr>
        <w:tc>
          <w:tcPr>
            <w:tcW w:w="2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Finance Obligation</w:t>
            </w:r>
          </w:p>
        </w:tc>
        <w:tc>
          <w:tcPr>
            <w:tcW w:w="200" w:type="dxa"/>
            <w:vAlign w:val="bottom"/>
          </w:tcPr>
          <w:p>
            <w:pPr>
              <w:spacing w:after="0"/>
              <w:rPr>
                <w:sz w:val="21"/>
                <w:szCs w:val="21"/>
                <w:color w:val="auto"/>
              </w:rPr>
            </w:pPr>
          </w:p>
        </w:tc>
        <w:tc>
          <w:tcPr>
            <w:tcW w:w="2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BBB-</w:t>
            </w:r>
          </w:p>
        </w:tc>
        <w:tc>
          <w:tcPr>
            <w:tcW w:w="200" w:type="dxa"/>
            <w:vAlign w:val="bottom"/>
          </w:tcPr>
          <w:p>
            <w:pPr>
              <w:spacing w:after="0"/>
              <w:rPr>
                <w:sz w:val="21"/>
                <w:szCs w:val="21"/>
                <w:color w:val="auto"/>
              </w:rPr>
            </w:pPr>
          </w:p>
        </w:tc>
        <w:tc>
          <w:tcPr>
            <w:tcW w:w="2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Interest in Loan</w:t>
            </w:r>
          </w:p>
        </w:tc>
        <w:tc>
          <w:tcPr>
            <w:tcW w:w="2160" w:type="dxa"/>
            <w:vAlign w:val="bottom"/>
            <w:gridSpan w:val="2"/>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43"/>
        </w:trPr>
        <w:tc>
          <w:tcPr>
            <w:tcW w:w="2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Not Structured</w:t>
            </w:r>
          </w:p>
        </w:tc>
        <w:tc>
          <w:tcPr>
            <w:tcW w:w="2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Not a Loan or Participation</w:t>
            </w:r>
          </w:p>
        </w:tc>
        <w:tc>
          <w:tcPr>
            <w:tcW w:w="20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43"/>
        </w:trPr>
        <w:tc>
          <w:tcPr>
            <w:tcW w:w="2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Finance Obligation</w:t>
            </w:r>
          </w:p>
        </w:tc>
        <w:tc>
          <w:tcPr>
            <w:tcW w:w="200" w:type="dxa"/>
            <w:vAlign w:val="bottom"/>
          </w:tcPr>
          <w:p>
            <w:pPr>
              <w:spacing w:after="0"/>
              <w:rPr>
                <w:sz w:val="21"/>
                <w:szCs w:val="21"/>
                <w:color w:val="auto"/>
              </w:rPr>
            </w:pPr>
          </w:p>
        </w:tc>
        <w:tc>
          <w:tcPr>
            <w:tcW w:w="2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less than BB+</w:t>
            </w:r>
          </w:p>
        </w:tc>
        <w:tc>
          <w:tcPr>
            <w:tcW w:w="200" w:type="dxa"/>
            <w:vAlign w:val="bottom"/>
          </w:tcPr>
          <w:p>
            <w:pPr>
              <w:spacing w:after="0"/>
              <w:rPr>
                <w:sz w:val="21"/>
                <w:szCs w:val="21"/>
                <w:color w:val="auto"/>
              </w:rPr>
            </w:pPr>
          </w:p>
        </w:tc>
        <w:tc>
          <w:tcPr>
            <w:tcW w:w="2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Interest in Loan</w:t>
            </w:r>
          </w:p>
        </w:tc>
        <w:tc>
          <w:tcPr>
            <w:tcW w:w="2160" w:type="dxa"/>
            <w:vAlign w:val="bottom"/>
            <w:gridSpan w:val="2"/>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2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Not Structured</w:t>
            </w:r>
          </w:p>
        </w:tc>
        <w:tc>
          <w:tcPr>
            <w:tcW w:w="2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Loan or Participation Interest</w:t>
            </w:r>
          </w:p>
        </w:tc>
        <w:tc>
          <w:tcPr>
            <w:tcW w:w="20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82"/>
        </w:trPr>
        <w:tc>
          <w:tcPr>
            <w:tcW w:w="25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Finance Obligation</w:t>
            </w: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in Loan</w:t>
            </w:r>
          </w:p>
        </w:tc>
        <w:tc>
          <w:tcPr>
            <w:tcW w:w="2160" w:type="dxa"/>
            <w:vAlign w:val="bottom"/>
            <w:gridSpan w:val="2"/>
          </w:tcPr>
          <w:p>
            <w:pPr>
              <w:jc w:val="right"/>
              <w:ind w:right="772"/>
              <w:spacing w:after="0"/>
              <w:rPr>
                <w:sz w:val="20"/>
                <w:szCs w:val="20"/>
                <w:color w:val="auto"/>
              </w:rPr>
            </w:pPr>
            <w:r>
              <w:rPr>
                <w:rFonts w:ascii="Times New Roman" w:cs="Times New Roman" w:eastAsia="Times New Roman" w:hAnsi="Times New Roman"/>
                <w:sz w:val="22"/>
                <w:szCs w:val="22"/>
                <w:color w:val="auto"/>
              </w:rPr>
              <w:t>-2</w:t>
            </w:r>
          </w:p>
        </w:tc>
      </w:tr>
    </w:tbl>
    <w:p>
      <w:pPr>
        <w:spacing w:after="0" w:line="136" w:lineRule="exact"/>
        <w:rPr>
          <w:sz w:val="20"/>
          <w:szCs w:val="20"/>
          <w:color w:val="auto"/>
        </w:rPr>
      </w:pPr>
    </w:p>
    <w:p>
      <w:pPr>
        <w:jc w:val="both"/>
        <w:ind w:left="1140" w:firstLine="365"/>
        <w:spacing w:after="0" w:line="233" w:lineRule="auto"/>
        <w:tabs>
          <w:tab w:leader="none" w:pos="1946"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Collateral Obligation is not rated by S&amp;P but another security or obligation of the Obligor has a public and monitored rating by S&amp;P (a "</w:t>
      </w:r>
      <w:r>
        <w:rPr>
          <w:rFonts w:ascii="Times New Roman" w:cs="Times New Roman" w:eastAsia="Times New Roman" w:hAnsi="Times New Roman"/>
          <w:sz w:val="22"/>
          <w:szCs w:val="22"/>
          <w:i w:val="1"/>
          <w:iCs w:val="1"/>
          <w:color w:val="auto"/>
        </w:rPr>
        <w:t>parallel security</w:t>
      </w:r>
      <w:r>
        <w:rPr>
          <w:rFonts w:ascii="Times New Roman" w:cs="Times New Roman" w:eastAsia="Times New Roman" w:hAnsi="Times New Roman"/>
          <w:sz w:val="22"/>
          <w:szCs w:val="22"/>
          <w:color w:val="auto"/>
        </w:rPr>
        <w:t>"), then the rating of such parallel security will at the election of the Collateral Manager be determined in accordance with the table set forth in subclause (ii)(A) above, and the Moody's Rating of such Collateral Obligation will be determined by treating the parallel security as if it were rated by Moody's at the rating determined pursuant to this subclause (ii)(B) and adjusting the rating of the related Moody's rated obligations of the related Obligor by the number of rating subcategories according to the table below:</w:t>
      </w:r>
    </w:p>
    <w:tbl>
      <w:tblPr>
        <w:tblLayout w:type="fixed"/>
        <w:tblInd w:w="920" w:type="dxa"/>
        <w:tblCellMar>
          <w:top w:w="0" w:type="dxa"/>
          <w:left w:w="0" w:type="dxa"/>
          <w:bottom w:w="0" w:type="dxa"/>
          <w:right w:w="0" w:type="dxa"/>
        </w:tblCellMar>
      </w:tblPr>
      <w:tr>
        <w:trPr>
          <w:trHeight w:val="221"/>
        </w:trPr>
        <w:tc>
          <w:tcPr>
            <w:tcW w:w="3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6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8"/>
              </w:rPr>
              <w:t>Number of Subcategories</w:t>
            </w:r>
          </w:p>
        </w:tc>
      </w:tr>
      <w:tr>
        <w:trPr>
          <w:trHeight w:val="243"/>
        </w:trPr>
        <w:tc>
          <w:tcPr>
            <w:tcW w:w="32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Obligation Category of</w:t>
            </w:r>
          </w:p>
        </w:tc>
        <w:tc>
          <w:tcPr>
            <w:tcW w:w="1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Relative to Rated Obligation</w:t>
            </w:r>
          </w:p>
        </w:tc>
      </w:tr>
      <w:tr>
        <w:trPr>
          <w:trHeight w:val="295"/>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Rated Obligation</w:t>
            </w:r>
          </w:p>
        </w:tc>
        <w:tc>
          <w:tcPr>
            <w:tcW w:w="140" w:type="dxa"/>
            <w:vAlign w:val="bottom"/>
          </w:tcPr>
          <w:p>
            <w:pPr>
              <w:spacing w:after="0"/>
              <w:rPr>
                <w:sz w:val="24"/>
                <w:szCs w:val="24"/>
                <w:color w:val="auto"/>
              </w:rPr>
            </w:pP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Rating of Rated Obligation</w:t>
            </w:r>
          </w:p>
        </w:tc>
        <w:tc>
          <w:tcPr>
            <w:tcW w:w="140" w:type="dxa"/>
            <w:vAlign w:val="bottom"/>
          </w:tcPr>
          <w:p>
            <w:pPr>
              <w:spacing w:after="0"/>
              <w:rPr>
                <w:sz w:val="24"/>
                <w:szCs w:val="24"/>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Rating</w:t>
            </w:r>
          </w:p>
        </w:tc>
      </w:tr>
      <w:tr>
        <w:trPr>
          <w:trHeight w:val="202"/>
        </w:trPr>
        <w:tc>
          <w:tcPr>
            <w:tcW w:w="3280" w:type="dxa"/>
            <w:vAlign w:val="bottom"/>
          </w:tcPr>
          <w:p>
            <w:pPr>
              <w:jc w:val="center"/>
              <w:spacing w:after="0" w:line="202" w:lineRule="exact"/>
              <w:rPr>
                <w:sz w:val="20"/>
                <w:szCs w:val="20"/>
                <w:color w:val="auto"/>
              </w:rPr>
            </w:pPr>
            <w:r>
              <w:rPr>
                <w:rFonts w:ascii="Times New Roman" w:cs="Times New Roman" w:eastAsia="Times New Roman" w:hAnsi="Times New Roman"/>
                <w:sz w:val="22"/>
                <w:szCs w:val="22"/>
                <w:color w:val="auto"/>
                <w:w w:val="97"/>
              </w:rPr>
              <w:t>Senior secured obligation</w:t>
            </w:r>
          </w:p>
        </w:tc>
        <w:tc>
          <w:tcPr>
            <w:tcW w:w="140" w:type="dxa"/>
            <w:vAlign w:val="bottom"/>
          </w:tcPr>
          <w:p>
            <w:pPr>
              <w:spacing w:after="0"/>
              <w:rPr>
                <w:sz w:val="17"/>
                <w:szCs w:val="17"/>
                <w:color w:val="auto"/>
              </w:rPr>
            </w:pPr>
          </w:p>
        </w:tc>
        <w:tc>
          <w:tcPr>
            <w:tcW w:w="3300" w:type="dxa"/>
            <w:vAlign w:val="bottom"/>
          </w:tcPr>
          <w:p>
            <w:pPr>
              <w:jc w:val="center"/>
              <w:spacing w:after="0" w:line="202" w:lineRule="exact"/>
              <w:rPr>
                <w:sz w:val="20"/>
                <w:szCs w:val="20"/>
                <w:color w:val="auto"/>
              </w:rPr>
            </w:pPr>
            <w:r>
              <w:rPr>
                <w:rFonts w:ascii="Times New Roman" w:cs="Times New Roman" w:eastAsia="Times New Roman" w:hAnsi="Times New Roman"/>
                <w:sz w:val="22"/>
                <w:szCs w:val="22"/>
                <w:color w:val="auto"/>
                <w:w w:val="98"/>
              </w:rPr>
              <w:t>greater than or equal to B2</w:t>
            </w:r>
          </w:p>
        </w:tc>
        <w:tc>
          <w:tcPr>
            <w:tcW w:w="140" w:type="dxa"/>
            <w:vAlign w:val="bottom"/>
          </w:tcPr>
          <w:p>
            <w:pPr>
              <w:spacing w:after="0"/>
              <w:rPr>
                <w:sz w:val="17"/>
                <w:szCs w:val="17"/>
                <w:color w:val="auto"/>
              </w:rPr>
            </w:pPr>
          </w:p>
        </w:tc>
        <w:tc>
          <w:tcPr>
            <w:tcW w:w="2760" w:type="dxa"/>
            <w:vAlign w:val="bottom"/>
          </w:tcPr>
          <w:p>
            <w:pPr>
              <w:jc w:val="center"/>
              <w:spacing w:after="0" w:line="202" w:lineRule="exact"/>
              <w:rPr>
                <w:sz w:val="20"/>
                <w:szCs w:val="20"/>
                <w:color w:val="auto"/>
              </w:rPr>
            </w:pPr>
            <w:r>
              <w:rPr>
                <w:rFonts w:ascii="Times New Roman" w:cs="Times New Roman" w:eastAsia="Times New Roman" w:hAnsi="Times New Roman"/>
                <w:sz w:val="22"/>
                <w:szCs w:val="22"/>
                <w:color w:val="auto"/>
                <w:w w:val="97"/>
              </w:rPr>
              <w:t>-1</w:t>
            </w:r>
          </w:p>
        </w:tc>
      </w:tr>
      <w:tr>
        <w:trPr>
          <w:trHeight w:val="243"/>
        </w:trPr>
        <w:tc>
          <w:tcPr>
            <w:tcW w:w="32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Senior secured obligation</w:t>
            </w:r>
          </w:p>
        </w:tc>
        <w:tc>
          <w:tcPr>
            <w:tcW w:w="140" w:type="dxa"/>
            <w:vAlign w:val="bottom"/>
          </w:tcPr>
          <w:p>
            <w:pPr>
              <w:spacing w:after="0"/>
              <w:rPr>
                <w:sz w:val="21"/>
                <w:szCs w:val="21"/>
                <w:color w:val="auto"/>
              </w:rPr>
            </w:pPr>
          </w:p>
        </w:tc>
        <w:tc>
          <w:tcPr>
            <w:tcW w:w="33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less than B2</w:t>
            </w:r>
          </w:p>
        </w:tc>
        <w:tc>
          <w:tcPr>
            <w:tcW w:w="2900" w:type="dxa"/>
            <w:vAlign w:val="bottom"/>
            <w:gridSpan w:val="2"/>
          </w:tcPr>
          <w:p>
            <w:pPr>
              <w:jc w:val="center"/>
              <w:ind w:left="52"/>
              <w:spacing w:after="0" w:line="243" w:lineRule="exact"/>
              <w:rPr>
                <w:sz w:val="20"/>
                <w:szCs w:val="20"/>
                <w:color w:val="auto"/>
              </w:rPr>
            </w:pPr>
            <w:r>
              <w:rPr>
                <w:rFonts w:ascii="Times New Roman" w:cs="Times New Roman" w:eastAsia="Times New Roman" w:hAnsi="Times New Roman"/>
                <w:sz w:val="22"/>
                <w:szCs w:val="22"/>
                <w:color w:val="auto"/>
                <w:w w:val="97"/>
              </w:rPr>
              <w:t>-2</w:t>
            </w:r>
          </w:p>
        </w:tc>
      </w:tr>
      <w:tr>
        <w:trPr>
          <w:trHeight w:val="243"/>
        </w:trPr>
        <w:tc>
          <w:tcPr>
            <w:tcW w:w="32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Subordinated obligation</w:t>
            </w:r>
          </w:p>
        </w:tc>
        <w:tc>
          <w:tcPr>
            <w:tcW w:w="140" w:type="dxa"/>
            <w:vAlign w:val="bottom"/>
          </w:tcPr>
          <w:p>
            <w:pPr>
              <w:spacing w:after="0"/>
              <w:rPr>
                <w:sz w:val="21"/>
                <w:szCs w:val="21"/>
                <w:color w:val="auto"/>
              </w:rPr>
            </w:pPr>
          </w:p>
        </w:tc>
        <w:tc>
          <w:tcPr>
            <w:tcW w:w="33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greater than or equal to B3</w:t>
            </w:r>
          </w:p>
        </w:tc>
        <w:tc>
          <w:tcPr>
            <w:tcW w:w="2900" w:type="dxa"/>
            <w:vAlign w:val="bottom"/>
            <w:gridSpan w:val="2"/>
          </w:tcPr>
          <w:p>
            <w:pPr>
              <w:jc w:val="center"/>
              <w:ind w:left="32"/>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82"/>
        </w:trPr>
        <w:tc>
          <w:tcPr>
            <w:tcW w:w="32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Subordinated obligation</w:t>
            </w:r>
          </w:p>
        </w:tc>
        <w:tc>
          <w:tcPr>
            <w:tcW w:w="14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less than B3</w:t>
            </w:r>
          </w:p>
        </w:tc>
        <w:tc>
          <w:tcPr>
            <w:tcW w:w="2900" w:type="dxa"/>
            <w:vAlign w:val="bottom"/>
            <w:gridSpan w:val="2"/>
          </w:tcPr>
          <w:p>
            <w:pPr>
              <w:jc w:val="center"/>
              <w:ind w:left="52"/>
              <w:spacing w:after="0"/>
              <w:rPr>
                <w:sz w:val="20"/>
                <w:szCs w:val="20"/>
                <w:color w:val="auto"/>
              </w:rPr>
            </w:pPr>
            <w:r>
              <w:rPr>
                <w:rFonts w:ascii="Times New Roman" w:cs="Times New Roman" w:eastAsia="Times New Roman" w:hAnsi="Times New Roman"/>
                <w:sz w:val="22"/>
                <w:szCs w:val="22"/>
                <w:color w:val="auto"/>
                <w:w w:val="90"/>
              </w:rPr>
              <w:t>0</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S-4</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44" w:lineRule="exact"/>
        <w:rPr>
          <w:sz w:val="20"/>
          <w:szCs w:val="20"/>
          <w:color w:val="auto"/>
        </w:rPr>
      </w:pPr>
    </w:p>
    <w:p>
      <w:pPr>
        <w:ind w:left="760" w:right="20" w:firstLine="566"/>
        <w:spacing w:after="0" w:line="258" w:lineRule="auto"/>
        <w:tabs>
          <w:tab w:leader="none" w:pos="1761"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Collateral Obligation is a DIP Collateral Obligation, no Moody's Derived Rating may be determined based on a rating by S&amp;P or any other rating agency.</w:t>
      </w:r>
    </w:p>
    <w:p>
      <w:pPr>
        <w:spacing w:after="0" w:line="127" w:lineRule="exact"/>
        <w:rPr>
          <w:sz w:val="20"/>
          <w:szCs w:val="20"/>
          <w:color w:val="auto"/>
        </w:rPr>
      </w:pPr>
    </w:p>
    <w:p>
      <w:pPr>
        <w:ind w:firstLine="374"/>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Moody's Rating</w:t>
      </w:r>
      <w:r>
        <w:rPr>
          <w:rFonts w:ascii="Times New Roman" w:cs="Times New Roman" w:eastAsia="Times New Roman" w:hAnsi="Times New Roman"/>
          <w:sz w:val="22"/>
          <w:szCs w:val="22"/>
          <w:color w:val="auto"/>
        </w:rPr>
        <w:t>" means, with respect to any Collateral Obligation, as of any date of determination, the rating determined in accordance with the following methodology:</w:t>
      </w:r>
    </w:p>
    <w:p>
      <w:pPr>
        <w:spacing w:after="0" w:line="113" w:lineRule="exact"/>
        <w:rPr>
          <w:sz w:val="20"/>
          <w:szCs w:val="20"/>
          <w:color w:val="auto"/>
        </w:rPr>
      </w:pPr>
    </w:p>
    <w:p>
      <w:pPr>
        <w:jc w:val="both"/>
        <w:ind w:left="760" w:firstLine="566"/>
        <w:spacing w:after="0" w:line="239" w:lineRule="auto"/>
        <w:tabs>
          <w:tab w:leader="none" w:pos="1761"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Collateral Obligation that (A) is publicly rated by Moody's, such public rating, or (B) is not publicly rated by Moody's but for which a rating or rating estimate has been assigned by Moody's, upon the request of the Issuer or the Collateral Manager, such rating or, in the case of a rating estimate, the applicable rating estimate for such obligation;</w:t>
      </w:r>
    </w:p>
    <w:p>
      <w:pPr>
        <w:spacing w:after="0" w:line="139" w:lineRule="exact"/>
        <w:rPr>
          <w:rFonts w:ascii="Times New Roman" w:cs="Times New Roman" w:eastAsia="Times New Roman" w:hAnsi="Times New Roman"/>
          <w:sz w:val="22"/>
          <w:szCs w:val="22"/>
          <w:color w:val="auto"/>
        </w:rPr>
      </w:pPr>
    </w:p>
    <w:p>
      <w:pPr>
        <w:jc w:val="both"/>
        <w:ind w:left="760" w:firstLine="566"/>
        <w:spacing w:after="0" w:line="244" w:lineRule="auto"/>
        <w:tabs>
          <w:tab w:leader="none" w:pos="1761"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Collateral Obligation that is a Senior Secured Loan or Participation Interest in a Senior Secured Loan, if not determined pursuant to clause (i) above, if the obligor of such Collateral Obligation has a corporate family rating by Moody's, then such corporate family rating notched up by one notch;</w:t>
      </w:r>
    </w:p>
    <w:p>
      <w:pPr>
        <w:spacing w:after="0" w:line="146" w:lineRule="exact"/>
        <w:rPr>
          <w:rFonts w:ascii="Times New Roman" w:cs="Times New Roman" w:eastAsia="Times New Roman" w:hAnsi="Times New Roman"/>
          <w:sz w:val="22"/>
          <w:szCs w:val="22"/>
          <w:color w:val="auto"/>
        </w:rPr>
      </w:pPr>
    </w:p>
    <w:p>
      <w:pPr>
        <w:jc w:val="both"/>
        <w:ind w:left="760" w:firstLine="566"/>
        <w:spacing w:after="0" w:line="238" w:lineRule="auto"/>
        <w:tabs>
          <w:tab w:leader="none" w:pos="1761"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Collateral Obligation, if not determined pursuant to clause (i) or (ii) above, if the obligor of such Collateral Obligation has one or more senior unsecured obligations publicly rated by Moody's, then the Moody's public rating on any such obligation (or, if such Collateral Obligation is a Senior Secured Loan, the Moody's rating that is two notches higher than the Moody's public rating on any such senior unsecured obligation) as selected by the Collateral Manager in its sole discretion;</w:t>
      </w:r>
    </w:p>
    <w:p>
      <w:pPr>
        <w:spacing w:after="0" w:line="136" w:lineRule="exact"/>
        <w:rPr>
          <w:rFonts w:ascii="Times New Roman" w:cs="Times New Roman" w:eastAsia="Times New Roman" w:hAnsi="Times New Roman"/>
          <w:sz w:val="22"/>
          <w:szCs w:val="22"/>
          <w:color w:val="auto"/>
        </w:rPr>
      </w:pPr>
    </w:p>
    <w:p>
      <w:pPr>
        <w:jc w:val="both"/>
        <w:ind w:left="760" w:firstLine="566"/>
        <w:spacing w:after="0" w:line="244" w:lineRule="auto"/>
        <w:tabs>
          <w:tab w:leader="none" w:pos="1761"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Collateral Obligation other than a Senior Secured Loan or Participation Interest in a Senior Secured Loan (if not determined pursuant to clause (i), (ii) or (iii) above), if the Obligor of such Collateral Obligation has a corporate family rating by Moody's, then such corporate family rating notched down by one notch;</w:t>
      </w:r>
    </w:p>
    <w:p>
      <w:pPr>
        <w:spacing w:after="0" w:line="132" w:lineRule="exact"/>
        <w:rPr>
          <w:rFonts w:ascii="Times New Roman" w:cs="Times New Roman" w:eastAsia="Times New Roman" w:hAnsi="Times New Roman"/>
          <w:sz w:val="22"/>
          <w:szCs w:val="22"/>
          <w:color w:val="auto"/>
        </w:rPr>
      </w:pPr>
    </w:p>
    <w:p>
      <w:pPr>
        <w:jc w:val="both"/>
        <w:ind w:left="760" w:firstLine="566"/>
        <w:spacing w:after="0" w:line="239" w:lineRule="auto"/>
        <w:tabs>
          <w:tab w:leader="none" w:pos="1761"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Collateral Obligation other than a Senior Secured Loan or Participation Interest in a Senior Secured Loan (if not determined pursuant to clause (i), (ii), (iii) or (iv) above), if the Obligor of such Collateral Obligation has one or more subordinated obligations publicly rated by Moody's, then the Moody's public rating on any such obligation notched up by one notch as selected by the Collateral Manager in its sole discretion;</w:t>
      </w:r>
    </w:p>
    <w:p>
      <w:pPr>
        <w:spacing w:after="0" w:line="153" w:lineRule="exact"/>
        <w:rPr>
          <w:rFonts w:ascii="Times New Roman" w:cs="Times New Roman" w:eastAsia="Times New Roman" w:hAnsi="Times New Roman"/>
          <w:sz w:val="22"/>
          <w:szCs w:val="22"/>
          <w:color w:val="auto"/>
        </w:rPr>
      </w:pPr>
    </w:p>
    <w:p>
      <w:pPr>
        <w:ind w:left="760" w:firstLine="566"/>
        <w:spacing w:after="0" w:line="258" w:lineRule="auto"/>
        <w:tabs>
          <w:tab w:leader="none" w:pos="1761"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Collateral Obligation, if not determined pursuant to clause (i), (ii), (iii), (iv) or (v) above, the Moody's Derived Rating; and</w:t>
      </w:r>
    </w:p>
    <w:p>
      <w:pPr>
        <w:spacing w:after="0" w:line="117" w:lineRule="exact"/>
        <w:rPr>
          <w:rFonts w:ascii="Times New Roman" w:cs="Times New Roman" w:eastAsia="Times New Roman" w:hAnsi="Times New Roman"/>
          <w:sz w:val="22"/>
          <w:szCs w:val="22"/>
          <w:color w:val="auto"/>
        </w:rPr>
      </w:pPr>
    </w:p>
    <w:p>
      <w:pPr>
        <w:jc w:val="both"/>
        <w:ind w:left="760" w:firstLine="566"/>
        <w:spacing w:after="0" w:line="239" w:lineRule="auto"/>
        <w:tabs>
          <w:tab w:leader="none" w:pos="1761"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Collateral Obligation, if not determined pursuant to clause (i), (ii), (iii), (iv), (v) or (vi) above, then "Caa3" if such Collateral Obligation is a Senior Secured Loan or Participation Interest in a Senior Secured Loan, and "B3" if such Collateral Obligation is not a Senior Secured Loan or Participation Interest in a Senior Secured Loan.</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For purposes of the definitions of "Moody's Derived Rating" and "Moody's Rating," any credit estimate assigned by Moody's shall expire one year from the date such estimate was issued;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purposes of any calculation under this Indenture, if Moody's fails to renew for any reason a credit estimate for a previously acquired Collateral Obligation thereunder on or before</w:t>
      </w:r>
    </w:p>
    <w:p>
      <w:pPr>
        <w:spacing w:after="0" w:line="159"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S-4</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such one-year anniversary (which may be extended at Moody's option to the extent the annual audited financial statements for the Obligor have not yet been received), after the Issuer or the Collateral Manager on the Issuer's behalf has submitted to Moody's all information that the Issuer or the Collateral Manager believed in good faith was required to provide such renewal, (1) the Issuer for a period of 60 days will continue using the previous credit estimate assigned by Moody's with respect to such Collateral Obligation until such time as Moody's renews the credit estimate for such Collateral Obligation, (2) after 60 days until the earlier to occur of the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or such time as Moody's renews the credit estimate for such Collateral Obligation the Collateral Obligation will be treated as having been downgraded by one rating subcategory (but in no event lower than "Caa1"), (3) after 90 days until the earlier to occur of the 120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or such time as Moody's renews the credit estimate for such Collateral Obligation the Collateral Obligation will be deemed to have a Moody's rating of "Caa1," and (4) after 120 days but before Moody's renews the credit estimate for such Collateral Obligation, the Collateral Obligation will be deemed to have a Moody's rating of "Caa3."</w:t>
      </w:r>
    </w:p>
    <w:p>
      <w:pPr>
        <w:spacing w:after="0" w:line="163"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S-4</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5</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S&amp;P RECOVERY RATE TABLES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w:t>
      </w:r>
    </w:p>
    <w:p>
      <w:pPr>
        <w:spacing w:after="0" w:line="210" w:lineRule="exact"/>
        <w:rPr>
          <w:sz w:val="20"/>
          <w:szCs w:val="20"/>
          <w:color w:val="auto"/>
        </w:rPr>
      </w:pPr>
    </w:p>
    <w:p>
      <w:pPr>
        <w:jc w:val="both"/>
        <w:ind w:left="760" w:firstLine="745"/>
        <w:spacing w:after="0" w:line="244" w:lineRule="auto"/>
        <w:tabs>
          <w:tab w:leader="none" w:pos="1941"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If a Collateral Obligation has an S&amp;P Recovery Rating, the S&amp;P Recovery Rate for such Collateral Obligation shall be determined as follows (taking into account, for any Collateral Obligation with an S&amp;P Recovery Rate of "1" through "6," the recovery range indicated in the S&amp;P published report therefor):</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80" w:type="dxa"/>
            <w:vAlign w:val="bottom"/>
            <w:tcBorders>
              <w:top w:val="single" w:sz="8" w:color="auto"/>
              <w:left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right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250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Initial Liability Rating</w:t>
            </w:r>
          </w:p>
        </w:tc>
        <w:tc>
          <w:tcPr>
            <w:tcW w:w="8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80" w:type="dxa"/>
            <w:vAlign w:val="bottom"/>
          </w:tcPr>
          <w:p>
            <w:pPr>
              <w:spacing w:after="0"/>
              <w:rPr>
                <w:sz w:val="14"/>
                <w:szCs w:val="14"/>
                <w:color w:val="auto"/>
              </w:rPr>
            </w:pPr>
          </w:p>
        </w:tc>
        <w:tc>
          <w:tcPr>
            <w:tcW w:w="1620" w:type="dxa"/>
            <w:vAlign w:val="bottom"/>
            <w:tcBorders>
              <w:right w:val="single" w:sz="8" w:color="auto"/>
            </w:tcBorders>
            <w:gridSpan w:val="2"/>
          </w:tcPr>
          <w:p>
            <w:pPr>
              <w:jc w:val="center"/>
              <w:ind w:right="140"/>
              <w:spacing w:after="0" w:line="170" w:lineRule="exact"/>
              <w:rPr>
                <w:sz w:val="20"/>
                <w:szCs w:val="20"/>
                <w:color w:val="auto"/>
              </w:rPr>
            </w:pPr>
            <w:r>
              <w:rPr>
                <w:rFonts w:ascii="Times New Roman" w:cs="Times New Roman" w:eastAsia="Times New Roman" w:hAnsi="Times New Roman"/>
                <w:sz w:val="18"/>
                <w:szCs w:val="18"/>
                <w:b w:val="1"/>
                <w:bCs w:val="1"/>
                <w:color w:val="auto"/>
                <w:w w:val="99"/>
              </w:rPr>
              <w:t>S&amp;P Recovery</w:t>
            </w:r>
          </w:p>
        </w:tc>
        <w:tc>
          <w:tcPr>
            <w:tcW w:w="80" w:type="dxa"/>
            <w:vAlign w:val="bottom"/>
          </w:tcPr>
          <w:p>
            <w:pPr>
              <w:spacing w:after="0"/>
              <w:rPr>
                <w:sz w:val="14"/>
                <w:szCs w:val="14"/>
                <w:color w:val="auto"/>
              </w:rPr>
            </w:pPr>
          </w:p>
        </w:tc>
        <w:tc>
          <w:tcPr>
            <w:tcW w:w="142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rPr>
              <w:t>Recovery Range</w:t>
            </w: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r>
      <w:tr>
        <w:trPr>
          <w:trHeight w:val="216"/>
        </w:trPr>
        <w:tc>
          <w:tcPr>
            <w:tcW w:w="8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Rating of a</w:t>
            </w: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from S&amp;P</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Collateral</w:t>
            </w: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Published</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r>
      <w:tr>
        <w:trPr>
          <w:trHeight w:val="265"/>
        </w:trPr>
        <w:tc>
          <w:tcPr>
            <w:tcW w:w="80" w:type="dxa"/>
            <w:vAlign w:val="bottom"/>
            <w:tcBorders>
              <w:bottom w:val="single" w:sz="8" w:color="auto"/>
            </w:tcBorders>
          </w:tcPr>
          <w:p>
            <w:pPr>
              <w:spacing w:after="0"/>
              <w:rPr>
                <w:sz w:val="23"/>
                <w:szCs w:val="23"/>
                <w:color w:val="auto"/>
              </w:rPr>
            </w:pPr>
          </w:p>
        </w:tc>
        <w:tc>
          <w:tcPr>
            <w:tcW w:w="1620" w:type="dxa"/>
            <w:vAlign w:val="bottom"/>
            <w:tcBorders>
              <w:bottom w:val="single" w:sz="8" w:color="auto"/>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Obligation</w:t>
            </w:r>
          </w:p>
        </w:tc>
        <w:tc>
          <w:tcPr>
            <w:tcW w:w="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Reports*</w:t>
            </w:r>
          </w:p>
        </w:tc>
        <w:tc>
          <w:tcPr>
            <w:tcW w:w="14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"AAA"</w:t>
            </w:r>
          </w:p>
        </w:tc>
        <w:tc>
          <w:tcPr>
            <w:tcW w:w="8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"AA"</w:t>
            </w:r>
          </w:p>
        </w:tc>
        <w:tc>
          <w:tcPr>
            <w:tcW w:w="8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"A"</w:t>
            </w:r>
          </w:p>
        </w:tc>
        <w:tc>
          <w:tcPr>
            <w:tcW w:w="8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"BBB"</w:t>
            </w:r>
          </w:p>
        </w:tc>
        <w:tc>
          <w:tcPr>
            <w:tcW w:w="8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"BB"</w:t>
            </w:r>
          </w:p>
        </w:tc>
        <w:tc>
          <w:tcPr>
            <w:tcW w:w="10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 and below</w:t>
            </w:r>
          </w:p>
        </w:tc>
      </w:tr>
      <w:tr>
        <w:trPr>
          <w:trHeight w:val="209"/>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80" w:type="dxa"/>
            <w:vAlign w:val="bottom"/>
            <w:tcBorders>
              <w:bottom w:val="single" w:sz="8" w:color="auto"/>
              <w:right w:val="single" w:sz="8" w:color="auto"/>
            </w:tcBorders>
          </w:tcPr>
          <w:p>
            <w:pPr>
              <w:spacing w:after="0"/>
              <w:rPr>
                <w:sz w:val="18"/>
                <w:szCs w:val="18"/>
                <w:color w:val="auto"/>
              </w:rPr>
            </w:pPr>
          </w:p>
        </w:tc>
      </w:tr>
      <w:tr>
        <w:trPr>
          <w:trHeight w:val="210"/>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80" w:type="dxa"/>
            <w:vAlign w:val="bottom"/>
            <w:tcBorders>
              <w:bottom w:val="single" w:sz="8" w:color="auto"/>
              <w:right w:val="single" w:sz="8" w:color="auto"/>
            </w:tcBorders>
          </w:tcPr>
          <w:p>
            <w:pPr>
              <w:spacing w:after="0"/>
              <w:rPr>
                <w:sz w:val="18"/>
                <w:szCs w:val="18"/>
                <w:color w:val="auto"/>
              </w:rPr>
            </w:pPr>
          </w:p>
        </w:tc>
      </w:tr>
      <w:tr>
        <w:trPr>
          <w:trHeight w:val="209"/>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80" w:type="dxa"/>
            <w:vAlign w:val="bottom"/>
            <w:tcBorders>
              <w:bottom w:val="single" w:sz="8" w:color="auto"/>
              <w:right w:val="single" w:sz="8" w:color="auto"/>
            </w:tcBorders>
          </w:tcPr>
          <w:p>
            <w:pPr>
              <w:spacing w:after="0"/>
              <w:rPr>
                <w:sz w:val="18"/>
                <w:szCs w:val="18"/>
                <w:color w:val="auto"/>
              </w:rPr>
            </w:pPr>
          </w:p>
        </w:tc>
      </w:tr>
      <w:tr>
        <w:trPr>
          <w:trHeight w:val="209"/>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77.5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c>
          <w:tcPr>
            <w:tcW w:w="80" w:type="dxa"/>
            <w:vAlign w:val="bottom"/>
            <w:tcBorders>
              <w:bottom w:val="single" w:sz="8" w:color="auto"/>
              <w:right w:val="single" w:sz="8" w:color="auto"/>
            </w:tcBorders>
          </w:tcPr>
          <w:p>
            <w:pPr>
              <w:spacing w:after="0"/>
              <w:rPr>
                <w:sz w:val="18"/>
                <w:szCs w:val="18"/>
                <w:color w:val="auto"/>
              </w:rPr>
            </w:pPr>
          </w:p>
        </w:tc>
      </w:tr>
      <w:tr>
        <w:trPr>
          <w:trHeight w:val="210"/>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c>
          <w:tcPr>
            <w:tcW w:w="80" w:type="dxa"/>
            <w:vAlign w:val="bottom"/>
            <w:tcBorders>
              <w:bottom w:val="single" w:sz="8" w:color="auto"/>
              <w:right w:val="single" w:sz="8" w:color="auto"/>
            </w:tcBorders>
          </w:tcPr>
          <w:p>
            <w:pPr>
              <w:spacing w:after="0"/>
              <w:rPr>
                <w:sz w:val="18"/>
                <w:szCs w:val="18"/>
                <w:color w:val="auto"/>
              </w:rPr>
            </w:pPr>
          </w:p>
        </w:tc>
      </w:tr>
      <w:tr>
        <w:trPr>
          <w:trHeight w:val="209"/>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70.5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82.5</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80" w:type="dxa"/>
            <w:vAlign w:val="bottom"/>
            <w:tcBorders>
              <w:bottom w:val="single" w:sz="8" w:color="auto"/>
              <w:right w:val="single" w:sz="8" w:color="auto"/>
            </w:tcBorders>
          </w:tcPr>
          <w:p>
            <w:pPr>
              <w:spacing w:after="0"/>
              <w:rPr>
                <w:sz w:val="18"/>
                <w:szCs w:val="18"/>
                <w:color w:val="auto"/>
              </w:rPr>
            </w:pPr>
          </w:p>
        </w:tc>
      </w:tr>
      <w:tr>
        <w:trPr>
          <w:trHeight w:val="210"/>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80" w:type="dxa"/>
            <w:vAlign w:val="bottom"/>
            <w:tcBorders>
              <w:bottom w:val="single" w:sz="8" w:color="auto"/>
              <w:right w:val="single" w:sz="8" w:color="auto"/>
            </w:tcBorders>
          </w:tcPr>
          <w:p>
            <w:pPr>
              <w:spacing w:after="0"/>
              <w:rPr>
                <w:sz w:val="18"/>
                <w:szCs w:val="18"/>
                <w:color w:val="auto"/>
              </w:rPr>
            </w:pPr>
          </w:p>
        </w:tc>
      </w:tr>
      <w:tr>
        <w:trPr>
          <w:trHeight w:val="210"/>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80" w:type="dxa"/>
            <w:vAlign w:val="bottom"/>
            <w:tcBorders>
              <w:bottom w:val="single" w:sz="8" w:color="auto"/>
              <w:right w:val="single" w:sz="8" w:color="auto"/>
            </w:tcBorders>
          </w:tcPr>
          <w:p>
            <w:pPr>
              <w:spacing w:after="0"/>
              <w:rPr>
                <w:sz w:val="18"/>
                <w:szCs w:val="18"/>
                <w:color w:val="auto"/>
              </w:rPr>
            </w:pPr>
          </w:p>
        </w:tc>
      </w:tr>
      <w:tr>
        <w:trPr>
          <w:trHeight w:val="210"/>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80" w:type="dxa"/>
            <w:vAlign w:val="bottom"/>
            <w:tcBorders>
              <w:bottom w:val="single" w:sz="8" w:color="auto"/>
              <w:right w:val="single" w:sz="8" w:color="auto"/>
            </w:tcBorders>
          </w:tcPr>
          <w:p>
            <w:pPr>
              <w:spacing w:after="0"/>
              <w:rPr>
                <w:sz w:val="18"/>
                <w:szCs w:val="18"/>
                <w:color w:val="auto"/>
              </w:rPr>
            </w:pPr>
          </w:p>
        </w:tc>
      </w:tr>
      <w:tr>
        <w:trPr>
          <w:trHeight w:val="209"/>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80" w:type="dxa"/>
            <w:vAlign w:val="bottom"/>
            <w:tcBorders>
              <w:bottom w:val="single" w:sz="8" w:color="auto"/>
              <w:right w:val="single" w:sz="8" w:color="auto"/>
            </w:tcBorders>
          </w:tcPr>
          <w:p>
            <w:pPr>
              <w:spacing w:after="0"/>
              <w:rPr>
                <w:sz w:val="18"/>
                <w:szCs w:val="18"/>
                <w:color w:val="auto"/>
              </w:rPr>
            </w:pPr>
          </w:p>
        </w:tc>
      </w:tr>
      <w:tr>
        <w:trPr>
          <w:trHeight w:val="210"/>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80" w:type="dxa"/>
            <w:vAlign w:val="bottom"/>
            <w:tcBorders>
              <w:bottom w:val="single" w:sz="8" w:color="auto"/>
              <w:right w:val="single" w:sz="8" w:color="auto"/>
            </w:tcBorders>
          </w:tcPr>
          <w:p>
            <w:pPr>
              <w:spacing w:after="0"/>
              <w:rPr>
                <w:sz w:val="18"/>
                <w:szCs w:val="18"/>
                <w:color w:val="auto"/>
              </w:rPr>
            </w:pPr>
          </w:p>
        </w:tc>
      </w:tr>
      <w:tr>
        <w:trPr>
          <w:trHeight w:val="210"/>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53.5</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tcBorders>
              <w:bottom w:val="single" w:sz="8" w:color="auto"/>
              <w:right w:val="single" w:sz="8" w:color="auto"/>
            </w:tcBorders>
          </w:tcPr>
          <w:p>
            <w:pPr>
              <w:spacing w:after="0"/>
              <w:rPr>
                <w:sz w:val="18"/>
                <w:szCs w:val="18"/>
                <w:color w:val="auto"/>
              </w:rPr>
            </w:pPr>
          </w:p>
        </w:tc>
      </w:tr>
      <w:tr>
        <w:trPr>
          <w:trHeight w:val="210"/>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tcBorders>
              <w:bottom w:val="single" w:sz="8" w:color="auto"/>
              <w:right w:val="single" w:sz="8" w:color="auto"/>
            </w:tcBorders>
          </w:tcPr>
          <w:p>
            <w:pPr>
              <w:spacing w:after="0"/>
              <w:rPr>
                <w:sz w:val="18"/>
                <w:szCs w:val="18"/>
                <w:color w:val="auto"/>
              </w:rPr>
            </w:pPr>
          </w:p>
        </w:tc>
      </w:tr>
      <w:tr>
        <w:trPr>
          <w:trHeight w:val="209"/>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37.5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43.5</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80" w:type="dxa"/>
            <w:vAlign w:val="bottom"/>
            <w:tcBorders>
              <w:bottom w:val="single" w:sz="8" w:color="auto"/>
              <w:right w:val="single" w:sz="8" w:color="auto"/>
            </w:tcBorders>
          </w:tcPr>
          <w:p>
            <w:pPr>
              <w:spacing w:after="0"/>
              <w:rPr>
                <w:sz w:val="18"/>
                <w:szCs w:val="18"/>
                <w:color w:val="auto"/>
              </w:rPr>
            </w:pPr>
          </w:p>
        </w:tc>
      </w:tr>
      <w:tr>
        <w:trPr>
          <w:trHeight w:val="210"/>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80" w:type="dxa"/>
            <w:vAlign w:val="bottom"/>
            <w:tcBorders>
              <w:bottom w:val="single" w:sz="8" w:color="auto"/>
              <w:right w:val="single" w:sz="8" w:color="auto"/>
            </w:tcBorders>
          </w:tcPr>
          <w:p>
            <w:pPr>
              <w:spacing w:after="0"/>
              <w:rPr>
                <w:sz w:val="18"/>
                <w:szCs w:val="18"/>
                <w:color w:val="auto"/>
              </w:rPr>
            </w:pPr>
          </w:p>
        </w:tc>
      </w:tr>
      <w:tr>
        <w:trPr>
          <w:trHeight w:val="210"/>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28.5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33.5</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80" w:type="dxa"/>
            <w:vAlign w:val="bottom"/>
            <w:tcBorders>
              <w:bottom w:val="single" w:sz="8" w:color="auto"/>
              <w:right w:val="single" w:sz="8" w:color="auto"/>
            </w:tcBorders>
          </w:tcPr>
          <w:p>
            <w:pPr>
              <w:spacing w:after="0"/>
              <w:rPr>
                <w:sz w:val="18"/>
                <w:szCs w:val="18"/>
                <w:color w:val="auto"/>
              </w:rPr>
            </w:pPr>
          </w:p>
        </w:tc>
      </w:tr>
      <w:tr>
        <w:trPr>
          <w:trHeight w:val="210"/>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80" w:type="dxa"/>
            <w:vAlign w:val="bottom"/>
            <w:tcBorders>
              <w:bottom w:val="single" w:sz="8" w:color="auto"/>
              <w:right w:val="single" w:sz="8" w:color="auto"/>
            </w:tcBorders>
          </w:tcPr>
          <w:p>
            <w:pPr>
              <w:spacing w:after="0"/>
              <w:rPr>
                <w:sz w:val="18"/>
                <w:szCs w:val="18"/>
                <w:color w:val="auto"/>
              </w:rPr>
            </w:pPr>
          </w:p>
        </w:tc>
      </w:tr>
      <w:tr>
        <w:trPr>
          <w:trHeight w:val="210"/>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19.5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23.5</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80" w:type="dxa"/>
            <w:vAlign w:val="bottom"/>
            <w:tcBorders>
              <w:bottom w:val="single" w:sz="8" w:color="auto"/>
              <w:right w:val="single" w:sz="8" w:color="auto"/>
            </w:tcBorders>
          </w:tcPr>
          <w:p>
            <w:pPr>
              <w:spacing w:after="0"/>
              <w:rPr>
                <w:sz w:val="18"/>
                <w:szCs w:val="18"/>
                <w:color w:val="auto"/>
              </w:rPr>
            </w:pPr>
          </w:p>
        </w:tc>
      </w:tr>
      <w:tr>
        <w:trPr>
          <w:trHeight w:val="209"/>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tcBorders>
              <w:bottom w:val="single" w:sz="8" w:color="auto"/>
              <w:right w:val="single" w:sz="8" w:color="auto"/>
            </w:tcBorders>
          </w:tcPr>
          <w:p>
            <w:pPr>
              <w:spacing w:after="0"/>
              <w:rPr>
                <w:sz w:val="18"/>
                <w:szCs w:val="18"/>
                <w:color w:val="auto"/>
              </w:rPr>
            </w:pPr>
          </w:p>
        </w:tc>
      </w:tr>
      <w:tr>
        <w:trPr>
          <w:trHeight w:val="210"/>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0" w:type="dxa"/>
            <w:vAlign w:val="bottom"/>
            <w:tcBorders>
              <w:bottom w:val="single" w:sz="8" w:color="auto"/>
              <w:right w:val="single" w:sz="8" w:color="auto"/>
            </w:tcBorders>
          </w:tcPr>
          <w:p>
            <w:pPr>
              <w:spacing w:after="0"/>
              <w:rPr>
                <w:sz w:val="18"/>
                <w:szCs w:val="18"/>
                <w:color w:val="auto"/>
              </w:rPr>
            </w:pPr>
          </w:p>
        </w:tc>
      </w:tr>
      <w:tr>
        <w:trPr>
          <w:trHeight w:val="210"/>
        </w:trPr>
        <w:tc>
          <w:tcPr>
            <w:tcW w:w="15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80" w:type="dxa"/>
            <w:vAlign w:val="bottom"/>
            <w:tcBorders>
              <w:bottom w:val="single" w:sz="8" w:color="auto"/>
              <w:right w:val="single" w:sz="8" w:color="auto"/>
            </w:tcBorders>
          </w:tcPr>
          <w:p>
            <w:pPr>
              <w:spacing w:after="0"/>
              <w:rPr>
                <w:sz w:val="18"/>
                <w:szCs w:val="18"/>
                <w:color w:val="auto"/>
              </w:rPr>
            </w:pPr>
          </w:p>
        </w:tc>
      </w:tr>
      <w:tr>
        <w:trPr>
          <w:trHeight w:val="210"/>
        </w:trPr>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Recovery Rate*</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r>
    </w:tbl>
    <w:p>
      <w:pPr>
        <w:spacing w:after="0" w:line="90" w:lineRule="exact"/>
        <w:rPr>
          <w:sz w:val="20"/>
          <w:szCs w:val="20"/>
          <w:color w:val="auto"/>
        </w:rPr>
      </w:pPr>
    </w:p>
    <w:p>
      <w:pPr>
        <w:ind w:firstLine="8"/>
        <w:spacing w:after="0" w:line="282" w:lineRule="auto"/>
        <w:tabs>
          <w:tab w:leader="none" w:pos="136"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recovery range is not available from S&amp;P's published reports for a given loan with an S&amp;P Recovery Rating of '1' through '6,' the lowest range for the applicable recovery rating will be assumed.</w:t>
      </w:r>
    </w:p>
    <w:p>
      <w:pPr>
        <w:spacing w:after="0" w:line="152" w:lineRule="exact"/>
        <w:rPr>
          <w:rFonts w:ascii="Times New Roman" w:cs="Times New Roman" w:eastAsia="Times New Roman" w:hAnsi="Times New Roman"/>
          <w:sz w:val="18"/>
          <w:szCs w:val="18"/>
          <w:color w:val="auto"/>
        </w:rPr>
      </w:pPr>
    </w:p>
    <w:p>
      <w:pPr>
        <w:jc w:val="both"/>
        <w:ind w:left="760" w:firstLine="1015"/>
        <w:spacing w:after="0" w:line="239" w:lineRule="auto"/>
        <w:tabs>
          <w:tab w:leader="none" w:pos="2210"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(x) a Collateral Obligation does not have an S&amp;P Recovery Rating and such Collateral Obligation is a senior unsecured loan or second lien loan and (y) the issuer of such Collateral Obligation has issued another debt instrument that is outstanding and senior to such Collateral Obligation (a "</w:t>
      </w:r>
      <w:r>
        <w:rPr>
          <w:rFonts w:ascii="Times New Roman" w:cs="Times New Roman" w:eastAsia="Times New Roman" w:hAnsi="Times New Roman"/>
          <w:sz w:val="22"/>
          <w:szCs w:val="22"/>
          <w:u w:val="single" w:color="auto"/>
          <w:color w:val="auto"/>
        </w:rPr>
        <w:t>Senior Debt Instrument</w:t>
      </w:r>
      <w:r>
        <w:rPr>
          <w:rFonts w:ascii="Times New Roman" w:cs="Times New Roman" w:eastAsia="Times New Roman" w:hAnsi="Times New Roman"/>
          <w:sz w:val="22"/>
          <w:szCs w:val="22"/>
          <w:color w:val="auto"/>
        </w:rPr>
        <w:t>") that has an S&amp;P Recovery Rating, the S&amp;P Recovery Rate for such Collateral Obligation shall be determined as follows:</w:t>
      </w:r>
    </w:p>
    <w:p>
      <w:pPr>
        <w:spacing w:after="0" w:line="159"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Collateral Obligations Domiciled in Group 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0" w:type="dxa"/>
            <w:vAlign w:val="bottom"/>
            <w:tcBorders>
              <w:right w:val="single" w:sz="8" w:color="auto"/>
            </w:tcBorders>
          </w:tcPr>
          <w:p>
            <w:pPr>
              <w:spacing w:after="0"/>
              <w:rPr>
                <w:sz w:val="19"/>
                <w:szCs w:val="19"/>
                <w:color w:val="auto"/>
              </w:rPr>
            </w:pPr>
          </w:p>
        </w:tc>
        <w:tc>
          <w:tcPr>
            <w:tcW w:w="2260" w:type="dxa"/>
            <w:vAlign w:val="bottom"/>
            <w:tcBorders>
              <w:top w:val="single" w:sz="8" w:color="auto"/>
              <w:right w:val="single" w:sz="8" w:color="auto"/>
            </w:tcBorders>
            <w:shd w:val="clear" w:color="auto" w:fill="D9D9D9"/>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8"/>
              </w:rPr>
              <w:t>S&amp;P Recovery Rating</w:t>
            </w:r>
          </w:p>
        </w:tc>
        <w:tc>
          <w:tcPr>
            <w:tcW w:w="860" w:type="dxa"/>
            <w:vAlign w:val="bottom"/>
            <w:tcBorders>
              <w:top w:val="single" w:sz="8" w:color="auto"/>
            </w:tcBorders>
            <w:shd w:val="clear" w:color="auto" w:fill="D9D9D9"/>
          </w:tcPr>
          <w:p>
            <w:pPr>
              <w:spacing w:after="0"/>
              <w:rPr>
                <w:sz w:val="19"/>
                <w:szCs w:val="19"/>
                <w:color w:val="auto"/>
              </w:rPr>
            </w:pPr>
          </w:p>
        </w:tc>
        <w:tc>
          <w:tcPr>
            <w:tcW w:w="460" w:type="dxa"/>
            <w:vAlign w:val="bottom"/>
            <w:tcBorders>
              <w:top w:val="single" w:sz="8" w:color="auto"/>
              <w:right w:val="single" w:sz="8" w:color="D9D9D9"/>
            </w:tcBorders>
            <w:shd w:val="clear" w:color="auto" w:fill="D9D9D9"/>
          </w:tcPr>
          <w:p>
            <w:pPr>
              <w:spacing w:after="0"/>
              <w:rPr>
                <w:sz w:val="19"/>
                <w:szCs w:val="19"/>
                <w:color w:val="auto"/>
              </w:rPr>
            </w:pPr>
          </w:p>
        </w:tc>
        <w:tc>
          <w:tcPr>
            <w:tcW w:w="1300" w:type="dxa"/>
            <w:vAlign w:val="bottom"/>
            <w:tcBorders>
              <w:top w:val="single" w:sz="8" w:color="auto"/>
              <w:right w:val="single" w:sz="8" w:color="D9D9D9"/>
            </w:tcBorders>
            <w:shd w:val="clear" w:color="auto" w:fill="D9D9D9"/>
          </w:tcPr>
          <w:p>
            <w:pPr>
              <w:spacing w:after="0"/>
              <w:rPr>
                <w:sz w:val="19"/>
                <w:szCs w:val="19"/>
                <w:color w:val="auto"/>
              </w:rPr>
            </w:pPr>
          </w:p>
        </w:tc>
        <w:tc>
          <w:tcPr>
            <w:tcW w:w="600" w:type="dxa"/>
            <w:vAlign w:val="bottom"/>
            <w:tcBorders>
              <w:top w:val="single" w:sz="8" w:color="auto"/>
            </w:tcBorders>
            <w:shd w:val="clear" w:color="auto" w:fill="D9D9D9"/>
          </w:tcPr>
          <w:p>
            <w:pPr>
              <w:spacing w:after="0"/>
              <w:rPr>
                <w:sz w:val="19"/>
                <w:szCs w:val="19"/>
                <w:color w:val="auto"/>
              </w:rPr>
            </w:pPr>
          </w:p>
        </w:tc>
        <w:tc>
          <w:tcPr>
            <w:tcW w:w="720" w:type="dxa"/>
            <w:vAlign w:val="bottom"/>
            <w:tcBorders>
              <w:top w:val="single" w:sz="8" w:color="auto"/>
              <w:right w:val="single" w:sz="8" w:color="D9D9D9"/>
            </w:tcBorders>
            <w:shd w:val="clear" w:color="auto" w:fill="D9D9D9"/>
          </w:tcPr>
          <w:p>
            <w:pPr>
              <w:spacing w:after="0"/>
              <w:rPr>
                <w:sz w:val="19"/>
                <w:szCs w:val="19"/>
                <w:color w:val="auto"/>
              </w:rPr>
            </w:pPr>
          </w:p>
        </w:tc>
        <w:tc>
          <w:tcPr>
            <w:tcW w:w="1300" w:type="dxa"/>
            <w:vAlign w:val="bottom"/>
            <w:tcBorders>
              <w:top w:val="single" w:sz="8" w:color="auto"/>
              <w:right w:val="single" w:sz="8" w:color="D9D9D9"/>
            </w:tcBorders>
            <w:shd w:val="clear" w:color="auto" w:fill="D9D9D9"/>
          </w:tcPr>
          <w:p>
            <w:pPr>
              <w:spacing w:after="0"/>
              <w:rPr>
                <w:sz w:val="19"/>
                <w:szCs w:val="19"/>
                <w:color w:val="auto"/>
              </w:rPr>
            </w:pPr>
          </w:p>
        </w:tc>
        <w:tc>
          <w:tcPr>
            <w:tcW w:w="1320" w:type="dxa"/>
            <w:vAlign w:val="bottom"/>
            <w:tcBorders>
              <w:top w:val="single" w:sz="8" w:color="auto"/>
              <w:right w:val="single" w:sz="8" w:color="D9D9D9"/>
            </w:tcBorders>
            <w:shd w:val="clear" w:color="auto" w:fill="D9D9D9"/>
          </w:tcPr>
          <w:p>
            <w:pPr>
              <w:spacing w:after="0"/>
              <w:rPr>
                <w:sz w:val="19"/>
                <w:szCs w:val="19"/>
                <w:color w:val="auto"/>
              </w:rPr>
            </w:pPr>
          </w:p>
        </w:tc>
        <w:tc>
          <w:tcPr>
            <w:tcW w:w="2240" w:type="dxa"/>
            <w:vAlign w:val="bottom"/>
            <w:tcBorders>
              <w:top w:val="single" w:sz="8" w:color="auto"/>
              <w:right w:val="single" w:sz="8" w:color="auto"/>
            </w:tcBorders>
            <w:shd w:val="clear" w:color="auto" w:fill="D9D9D9"/>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shd w:val="clear" w:color="auto" w:fill="D9D9D9"/>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of the Senior Debt</w:t>
            </w:r>
          </w:p>
        </w:tc>
        <w:tc>
          <w:tcPr>
            <w:tcW w:w="860" w:type="dxa"/>
            <w:vAlign w:val="bottom"/>
            <w:shd w:val="clear" w:color="auto" w:fill="D9D9D9"/>
          </w:tcPr>
          <w:p>
            <w:pPr>
              <w:spacing w:after="0"/>
              <w:rPr>
                <w:sz w:val="21"/>
                <w:szCs w:val="21"/>
                <w:color w:val="auto"/>
              </w:rPr>
            </w:pPr>
          </w:p>
        </w:tc>
        <w:tc>
          <w:tcPr>
            <w:tcW w:w="460" w:type="dxa"/>
            <w:vAlign w:val="bottom"/>
            <w:tcBorders>
              <w:right w:val="single" w:sz="8" w:color="D9D9D9"/>
            </w:tcBorders>
            <w:shd w:val="clear" w:color="auto" w:fill="D9D9D9"/>
          </w:tcPr>
          <w:p>
            <w:pPr>
              <w:spacing w:after="0"/>
              <w:rPr>
                <w:sz w:val="21"/>
                <w:szCs w:val="21"/>
                <w:color w:val="auto"/>
              </w:rPr>
            </w:pPr>
          </w:p>
        </w:tc>
        <w:tc>
          <w:tcPr>
            <w:tcW w:w="1300" w:type="dxa"/>
            <w:vAlign w:val="bottom"/>
            <w:tcBorders>
              <w:right w:val="single" w:sz="8" w:color="D9D9D9"/>
            </w:tcBorders>
            <w:shd w:val="clear" w:color="auto" w:fill="D9D9D9"/>
          </w:tcPr>
          <w:p>
            <w:pPr>
              <w:spacing w:after="0"/>
              <w:rPr>
                <w:sz w:val="21"/>
                <w:szCs w:val="21"/>
                <w:color w:val="auto"/>
              </w:rPr>
            </w:pPr>
          </w:p>
        </w:tc>
        <w:tc>
          <w:tcPr>
            <w:tcW w:w="600" w:type="dxa"/>
            <w:vAlign w:val="bottom"/>
            <w:shd w:val="clear" w:color="auto" w:fill="D9D9D9"/>
          </w:tcPr>
          <w:p>
            <w:pPr>
              <w:spacing w:after="0"/>
              <w:rPr>
                <w:sz w:val="21"/>
                <w:szCs w:val="21"/>
                <w:color w:val="auto"/>
              </w:rPr>
            </w:pPr>
          </w:p>
        </w:tc>
        <w:tc>
          <w:tcPr>
            <w:tcW w:w="720" w:type="dxa"/>
            <w:vAlign w:val="bottom"/>
            <w:tcBorders>
              <w:right w:val="single" w:sz="8" w:color="D9D9D9"/>
            </w:tcBorders>
            <w:shd w:val="clear" w:color="auto" w:fill="D9D9D9"/>
          </w:tcPr>
          <w:p>
            <w:pPr>
              <w:spacing w:after="0"/>
              <w:rPr>
                <w:sz w:val="21"/>
                <w:szCs w:val="21"/>
                <w:color w:val="auto"/>
              </w:rPr>
            </w:pPr>
          </w:p>
        </w:tc>
        <w:tc>
          <w:tcPr>
            <w:tcW w:w="1300" w:type="dxa"/>
            <w:vAlign w:val="bottom"/>
            <w:tcBorders>
              <w:right w:val="single" w:sz="8" w:color="D9D9D9"/>
            </w:tcBorders>
            <w:shd w:val="clear" w:color="auto" w:fill="D9D9D9"/>
          </w:tcPr>
          <w:p>
            <w:pPr>
              <w:spacing w:after="0"/>
              <w:rPr>
                <w:sz w:val="21"/>
                <w:szCs w:val="21"/>
                <w:color w:val="auto"/>
              </w:rPr>
            </w:pPr>
          </w:p>
        </w:tc>
        <w:tc>
          <w:tcPr>
            <w:tcW w:w="1320" w:type="dxa"/>
            <w:vAlign w:val="bottom"/>
            <w:tcBorders>
              <w:right w:val="single" w:sz="8" w:color="D9D9D9"/>
            </w:tcBorders>
            <w:shd w:val="clear" w:color="auto" w:fill="D9D9D9"/>
          </w:tcPr>
          <w:p>
            <w:pPr>
              <w:spacing w:after="0"/>
              <w:rPr>
                <w:sz w:val="21"/>
                <w:szCs w:val="21"/>
                <w:color w:val="auto"/>
              </w:rPr>
            </w:pPr>
          </w:p>
        </w:tc>
        <w:tc>
          <w:tcPr>
            <w:tcW w:w="2240" w:type="dxa"/>
            <w:vAlign w:val="bottom"/>
            <w:tcBorders>
              <w:right w:val="single" w:sz="8" w:color="auto"/>
            </w:tcBorders>
            <w:shd w:val="clear" w:color="auto" w:fill="D9D9D9"/>
          </w:tcPr>
          <w:p>
            <w:pPr>
              <w:spacing w:after="0"/>
              <w:rPr>
                <w:sz w:val="21"/>
                <w:szCs w:val="21"/>
                <w:color w:val="auto"/>
              </w:rPr>
            </w:pPr>
          </w:p>
        </w:tc>
        <w:tc>
          <w:tcPr>
            <w:tcW w:w="40" w:type="dxa"/>
            <w:vAlign w:val="bottom"/>
          </w:tcPr>
          <w:p>
            <w:pPr>
              <w:spacing w:after="0"/>
              <w:rPr>
                <w:sz w:val="21"/>
                <w:szCs w:val="21"/>
                <w:color w:val="auto"/>
              </w:rPr>
            </w:pPr>
          </w:p>
        </w:tc>
      </w:tr>
      <w:tr>
        <w:trPr>
          <w:trHeight w:val="291"/>
        </w:trPr>
        <w:tc>
          <w:tcPr>
            <w:tcW w:w="140" w:type="dxa"/>
            <w:vAlign w:val="bottom"/>
            <w:tcBorders>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Instrument</w:t>
            </w:r>
          </w:p>
        </w:tc>
        <w:tc>
          <w:tcPr>
            <w:tcW w:w="860" w:type="dxa"/>
            <w:vAlign w:val="bottom"/>
            <w:tcBorders>
              <w:bottom w:val="single" w:sz="8" w:color="auto"/>
            </w:tcBorders>
            <w:shd w:val="clear" w:color="auto" w:fill="D9D9D9"/>
          </w:tcPr>
          <w:p>
            <w:pPr>
              <w:spacing w:after="0"/>
              <w:rPr>
                <w:sz w:val="24"/>
                <w:szCs w:val="24"/>
                <w:color w:val="auto"/>
              </w:rPr>
            </w:pPr>
          </w:p>
        </w:tc>
        <w:tc>
          <w:tcPr>
            <w:tcW w:w="460" w:type="dxa"/>
            <w:vAlign w:val="bottom"/>
            <w:tcBorders>
              <w:bottom w:val="single" w:sz="8" w:color="auto"/>
              <w:right w:val="single" w:sz="8" w:color="D9D9D9"/>
            </w:tcBorders>
            <w:shd w:val="clear" w:color="auto" w:fill="D9D9D9"/>
          </w:tcPr>
          <w:p>
            <w:pPr>
              <w:spacing w:after="0"/>
              <w:rPr>
                <w:sz w:val="24"/>
                <w:szCs w:val="24"/>
                <w:color w:val="auto"/>
              </w:rPr>
            </w:pPr>
          </w:p>
        </w:tc>
        <w:tc>
          <w:tcPr>
            <w:tcW w:w="1300" w:type="dxa"/>
            <w:vAlign w:val="bottom"/>
            <w:tcBorders>
              <w:bottom w:val="single" w:sz="8" w:color="auto"/>
              <w:right w:val="single" w:sz="8" w:color="D9D9D9"/>
            </w:tcBorders>
            <w:shd w:val="clear" w:color="auto" w:fill="D9D9D9"/>
          </w:tcPr>
          <w:p>
            <w:pPr>
              <w:spacing w:after="0"/>
              <w:rPr>
                <w:sz w:val="24"/>
                <w:szCs w:val="24"/>
                <w:color w:val="auto"/>
              </w:rPr>
            </w:pPr>
          </w:p>
        </w:tc>
        <w:tc>
          <w:tcPr>
            <w:tcW w:w="600" w:type="dxa"/>
            <w:vAlign w:val="bottom"/>
            <w:tcBorders>
              <w:bottom w:val="single" w:sz="8" w:color="auto"/>
            </w:tcBorders>
            <w:shd w:val="clear" w:color="auto" w:fill="D9D9D9"/>
          </w:tcPr>
          <w:p>
            <w:pPr>
              <w:spacing w:after="0"/>
              <w:rPr>
                <w:sz w:val="24"/>
                <w:szCs w:val="24"/>
                <w:color w:val="auto"/>
              </w:rPr>
            </w:pPr>
          </w:p>
        </w:tc>
        <w:tc>
          <w:tcPr>
            <w:tcW w:w="3340" w:type="dxa"/>
            <w:vAlign w:val="bottom"/>
            <w:tcBorders>
              <w:bottom w:val="single" w:sz="8" w:color="auto"/>
              <w:right w:val="single" w:sz="8" w:color="D9D9D9"/>
            </w:tcBorders>
            <w:gridSpan w:val="3"/>
            <w:shd w:val="clear" w:color="auto" w:fill="D9D9D9"/>
          </w:tcPr>
          <w:p>
            <w:pPr>
              <w:jc w:val="center"/>
              <w:ind w:right="892"/>
              <w:spacing w:after="0"/>
              <w:rPr>
                <w:sz w:val="20"/>
                <w:szCs w:val="20"/>
                <w:color w:val="auto"/>
              </w:rPr>
            </w:pPr>
            <w:r>
              <w:rPr>
                <w:rFonts w:ascii="Times New Roman" w:cs="Times New Roman" w:eastAsia="Times New Roman" w:hAnsi="Times New Roman"/>
                <w:sz w:val="22"/>
                <w:szCs w:val="22"/>
                <w:b w:val="1"/>
                <w:bCs w:val="1"/>
                <w:color w:val="auto"/>
                <w:w w:val="98"/>
              </w:rPr>
              <w:t>Initial Liability Rating</w:t>
            </w:r>
          </w:p>
        </w:tc>
        <w:tc>
          <w:tcPr>
            <w:tcW w:w="2240" w:type="dxa"/>
            <w:vAlign w:val="bottom"/>
            <w:tcBorders>
              <w:bottom w:val="single" w:sz="8" w:color="auto"/>
              <w:right w:val="single" w:sz="8" w:color="auto"/>
            </w:tcBorders>
            <w:shd w:val="clear" w:color="auto" w:fill="D9D9D9"/>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140" w:type="dxa"/>
            <w:vAlign w:val="bottom"/>
            <w:tcBorders>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"AAA"</w:t>
            </w:r>
          </w:p>
        </w:tc>
        <w:tc>
          <w:tcPr>
            <w:tcW w:w="4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"AA"</w:t>
            </w:r>
          </w:p>
        </w:tc>
        <w:tc>
          <w:tcPr>
            <w:tcW w:w="600" w:type="dxa"/>
            <w:vAlign w:val="bottom"/>
            <w:tcBorders>
              <w:bottom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"A"</w:t>
            </w:r>
          </w:p>
        </w:tc>
        <w:tc>
          <w:tcPr>
            <w:tcW w:w="7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"BBB"</w:t>
            </w:r>
          </w:p>
        </w:tc>
        <w:tc>
          <w:tcPr>
            <w:tcW w:w="132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"BB"</w:t>
            </w:r>
          </w:p>
        </w:tc>
        <w:tc>
          <w:tcPr>
            <w:tcW w:w="224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"B" and below</w:t>
            </w:r>
          </w:p>
        </w:tc>
        <w:tc>
          <w:tcPr>
            <w:tcW w:w="40" w:type="dxa"/>
            <w:vAlign w:val="bottom"/>
          </w:tcPr>
          <w:p>
            <w:pPr>
              <w:spacing w:after="0"/>
              <w:rPr>
                <w:sz w:val="19"/>
                <w:szCs w:val="19"/>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1+</w:t>
            </w:r>
          </w:p>
        </w:tc>
        <w:tc>
          <w:tcPr>
            <w:tcW w:w="86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4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20%</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23%</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26%</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29%</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31%</w:t>
            </w:r>
          </w:p>
        </w:tc>
        <w:tc>
          <w:tcPr>
            <w:tcW w:w="40" w:type="dxa"/>
            <w:vAlign w:val="bottom"/>
          </w:tcPr>
          <w:p>
            <w:pPr>
              <w:spacing w:after="0"/>
              <w:rPr>
                <w:sz w:val="20"/>
                <w:szCs w:val="20"/>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1</w:t>
            </w:r>
          </w:p>
        </w:tc>
        <w:tc>
          <w:tcPr>
            <w:tcW w:w="86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4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20%</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23%</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26%</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29%</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31%</w:t>
            </w:r>
          </w:p>
        </w:tc>
        <w:tc>
          <w:tcPr>
            <w:tcW w:w="40" w:type="dxa"/>
            <w:vAlign w:val="bottom"/>
          </w:tcPr>
          <w:p>
            <w:pPr>
              <w:spacing w:after="0"/>
              <w:rPr>
                <w:sz w:val="20"/>
                <w:szCs w:val="20"/>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86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4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20%</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23%</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26%</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29%</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31%</w:t>
            </w:r>
          </w:p>
        </w:tc>
        <w:tc>
          <w:tcPr>
            <w:tcW w:w="40" w:type="dxa"/>
            <w:vAlign w:val="bottom"/>
          </w:tcPr>
          <w:p>
            <w:pPr>
              <w:spacing w:after="0"/>
              <w:rPr>
                <w:sz w:val="20"/>
                <w:szCs w:val="20"/>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3</w:t>
            </w:r>
          </w:p>
        </w:tc>
        <w:tc>
          <w:tcPr>
            <w:tcW w:w="86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12%</w:t>
            </w:r>
          </w:p>
        </w:tc>
        <w:tc>
          <w:tcPr>
            <w:tcW w:w="4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15%</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21%</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22%</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23%</w:t>
            </w:r>
          </w:p>
        </w:tc>
        <w:tc>
          <w:tcPr>
            <w:tcW w:w="4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4</w:t>
            </w:r>
          </w:p>
        </w:tc>
        <w:tc>
          <w:tcPr>
            <w:tcW w:w="86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4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11%</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13%</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14%</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15%</w:t>
            </w:r>
          </w:p>
        </w:tc>
        <w:tc>
          <w:tcPr>
            <w:tcW w:w="40" w:type="dxa"/>
            <w:vAlign w:val="bottom"/>
          </w:tcPr>
          <w:p>
            <w:pPr>
              <w:spacing w:after="0"/>
              <w:rPr>
                <w:sz w:val="20"/>
                <w:szCs w:val="20"/>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86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4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4%</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6%</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9%</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10%</w:t>
            </w:r>
          </w:p>
        </w:tc>
        <w:tc>
          <w:tcPr>
            <w:tcW w:w="40" w:type="dxa"/>
            <w:vAlign w:val="bottom"/>
          </w:tcPr>
          <w:p>
            <w:pPr>
              <w:spacing w:after="0"/>
              <w:rPr>
                <w:sz w:val="20"/>
                <w:szCs w:val="20"/>
                <w:color w:val="auto"/>
              </w:rPr>
            </w:pPr>
          </w:p>
        </w:tc>
      </w:tr>
      <w:tr>
        <w:trPr>
          <w:trHeight w:val="250"/>
        </w:trPr>
        <w:tc>
          <w:tcPr>
            <w:tcW w:w="140" w:type="dxa"/>
            <w:vAlign w:val="bottom"/>
            <w:tcBorders>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6</w:t>
            </w:r>
          </w:p>
        </w:tc>
        <w:tc>
          <w:tcPr>
            <w:tcW w:w="860" w:type="dxa"/>
            <w:vAlign w:val="bottom"/>
            <w:tcBorders>
              <w:bottom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46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600" w:type="dxa"/>
            <w:vAlign w:val="bottom"/>
            <w:tcBorders>
              <w:bottom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7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132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224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40" w:type="dxa"/>
            <w:vAlign w:val="bottom"/>
          </w:tcPr>
          <w:p>
            <w:pPr>
              <w:spacing w:after="0"/>
              <w:rPr>
                <w:sz w:val="21"/>
                <w:szCs w:val="21"/>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left="212"/>
              <w:spacing w:after="0" w:line="237" w:lineRule="exact"/>
              <w:rPr>
                <w:sz w:val="20"/>
                <w:szCs w:val="20"/>
                <w:color w:val="auto"/>
              </w:rPr>
            </w:pPr>
            <w:r>
              <w:rPr>
                <w:rFonts w:ascii="Times New Roman" w:cs="Times New Roman" w:eastAsia="Times New Roman" w:hAnsi="Times New Roman"/>
                <w:sz w:val="22"/>
                <w:szCs w:val="22"/>
                <w:b w:val="1"/>
                <w:bCs w:val="1"/>
                <w:color w:val="auto"/>
                <w:w w:val="98"/>
              </w:rPr>
              <w:t>Recovery rate</w:t>
            </w:r>
          </w:p>
        </w:tc>
        <w:tc>
          <w:tcPr>
            <w:tcW w:w="13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464"/>
        </w:trPr>
        <w:tc>
          <w:tcPr>
            <w:tcW w:w="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700" w:type="dxa"/>
            <w:vAlign w:val="bottom"/>
            <w:gridSpan w:val="6"/>
          </w:tcPr>
          <w:p>
            <w:pPr>
              <w:ind w:left="100"/>
              <w:spacing w:after="0"/>
              <w:rPr>
                <w:sz w:val="20"/>
                <w:szCs w:val="20"/>
                <w:color w:val="auto"/>
              </w:rPr>
            </w:pPr>
            <w:r>
              <w:rPr>
                <w:rFonts w:ascii="Times New Roman" w:cs="Times New Roman" w:eastAsia="Times New Roman" w:hAnsi="Times New Roman"/>
                <w:sz w:val="22"/>
                <w:szCs w:val="22"/>
                <w:b w:val="1"/>
                <w:bCs w:val="1"/>
                <w:color w:val="auto"/>
              </w:rPr>
              <w:t>For Collateral Obligations Domiciled in Group B</w:t>
            </w: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1"/>
        </w:trPr>
        <w:tc>
          <w:tcPr>
            <w:tcW w:w="1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8"/>
        </w:trPr>
        <w:tc>
          <w:tcPr>
            <w:tcW w:w="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shd w:val="clear" w:color="auto" w:fill="D9D9D9"/>
          </w:tcPr>
          <w:p>
            <w:pPr>
              <w:jc w:val="center"/>
              <w:spacing w:after="0" w:line="208" w:lineRule="exact"/>
              <w:rPr>
                <w:sz w:val="20"/>
                <w:szCs w:val="20"/>
                <w:color w:val="auto"/>
              </w:rPr>
            </w:pPr>
            <w:r>
              <w:rPr>
                <w:rFonts w:ascii="Times New Roman" w:cs="Times New Roman" w:eastAsia="Times New Roman" w:hAnsi="Times New Roman"/>
                <w:sz w:val="22"/>
                <w:szCs w:val="22"/>
                <w:b w:val="1"/>
                <w:bCs w:val="1"/>
                <w:color w:val="auto"/>
                <w:w w:val="98"/>
              </w:rPr>
              <w:t>S&amp;P Recovery Rating</w:t>
            </w:r>
          </w:p>
        </w:tc>
        <w:tc>
          <w:tcPr>
            <w:tcW w:w="860" w:type="dxa"/>
            <w:vAlign w:val="bottom"/>
            <w:shd w:val="clear" w:color="auto" w:fill="D9D9D9"/>
          </w:tcPr>
          <w:p>
            <w:pPr>
              <w:spacing w:after="0"/>
              <w:rPr>
                <w:sz w:val="18"/>
                <w:szCs w:val="18"/>
                <w:color w:val="auto"/>
              </w:rPr>
            </w:pPr>
          </w:p>
        </w:tc>
        <w:tc>
          <w:tcPr>
            <w:tcW w:w="460" w:type="dxa"/>
            <w:vAlign w:val="bottom"/>
            <w:tcBorders>
              <w:right w:val="single" w:sz="8" w:color="D9D9D9"/>
            </w:tcBorders>
            <w:shd w:val="clear" w:color="auto" w:fill="D9D9D9"/>
          </w:tcPr>
          <w:p>
            <w:pPr>
              <w:spacing w:after="0"/>
              <w:rPr>
                <w:sz w:val="18"/>
                <w:szCs w:val="18"/>
                <w:color w:val="auto"/>
              </w:rPr>
            </w:pPr>
          </w:p>
        </w:tc>
        <w:tc>
          <w:tcPr>
            <w:tcW w:w="1300" w:type="dxa"/>
            <w:vAlign w:val="bottom"/>
            <w:tcBorders>
              <w:right w:val="single" w:sz="8" w:color="D9D9D9"/>
            </w:tcBorders>
            <w:shd w:val="clear" w:color="auto" w:fill="D9D9D9"/>
          </w:tcPr>
          <w:p>
            <w:pPr>
              <w:spacing w:after="0"/>
              <w:rPr>
                <w:sz w:val="18"/>
                <w:szCs w:val="18"/>
                <w:color w:val="auto"/>
              </w:rPr>
            </w:pPr>
          </w:p>
        </w:tc>
        <w:tc>
          <w:tcPr>
            <w:tcW w:w="600" w:type="dxa"/>
            <w:vAlign w:val="bottom"/>
            <w:shd w:val="clear" w:color="auto" w:fill="D9D9D9"/>
          </w:tcPr>
          <w:p>
            <w:pPr>
              <w:spacing w:after="0"/>
              <w:rPr>
                <w:sz w:val="18"/>
                <w:szCs w:val="18"/>
                <w:color w:val="auto"/>
              </w:rPr>
            </w:pPr>
          </w:p>
        </w:tc>
        <w:tc>
          <w:tcPr>
            <w:tcW w:w="720" w:type="dxa"/>
            <w:vAlign w:val="bottom"/>
            <w:tcBorders>
              <w:right w:val="single" w:sz="8" w:color="D9D9D9"/>
            </w:tcBorders>
            <w:shd w:val="clear" w:color="auto" w:fill="D9D9D9"/>
          </w:tcPr>
          <w:p>
            <w:pPr>
              <w:spacing w:after="0"/>
              <w:rPr>
                <w:sz w:val="18"/>
                <w:szCs w:val="18"/>
                <w:color w:val="auto"/>
              </w:rPr>
            </w:pPr>
          </w:p>
        </w:tc>
        <w:tc>
          <w:tcPr>
            <w:tcW w:w="1300" w:type="dxa"/>
            <w:vAlign w:val="bottom"/>
            <w:tcBorders>
              <w:right w:val="single" w:sz="8" w:color="D9D9D9"/>
            </w:tcBorders>
            <w:shd w:val="clear" w:color="auto" w:fill="D9D9D9"/>
          </w:tcPr>
          <w:p>
            <w:pPr>
              <w:spacing w:after="0"/>
              <w:rPr>
                <w:sz w:val="18"/>
                <w:szCs w:val="18"/>
                <w:color w:val="auto"/>
              </w:rPr>
            </w:pPr>
          </w:p>
        </w:tc>
        <w:tc>
          <w:tcPr>
            <w:tcW w:w="1320" w:type="dxa"/>
            <w:vAlign w:val="bottom"/>
            <w:tcBorders>
              <w:right w:val="single" w:sz="8" w:color="D9D9D9"/>
            </w:tcBorders>
            <w:shd w:val="clear" w:color="auto" w:fill="D9D9D9"/>
          </w:tcPr>
          <w:p>
            <w:pPr>
              <w:spacing w:after="0"/>
              <w:rPr>
                <w:sz w:val="18"/>
                <w:szCs w:val="18"/>
                <w:color w:val="auto"/>
              </w:rPr>
            </w:pPr>
          </w:p>
        </w:tc>
        <w:tc>
          <w:tcPr>
            <w:tcW w:w="2240" w:type="dxa"/>
            <w:vAlign w:val="bottom"/>
            <w:tcBorders>
              <w:right w:val="single" w:sz="8" w:color="auto"/>
            </w:tcBorders>
            <w:shd w:val="clear" w:color="auto" w:fill="D9D9D9"/>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shd w:val="clear" w:color="auto" w:fill="D9D9D9"/>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of the Senior Debt</w:t>
            </w:r>
          </w:p>
        </w:tc>
        <w:tc>
          <w:tcPr>
            <w:tcW w:w="860" w:type="dxa"/>
            <w:vAlign w:val="bottom"/>
            <w:shd w:val="clear" w:color="auto" w:fill="D9D9D9"/>
          </w:tcPr>
          <w:p>
            <w:pPr>
              <w:spacing w:after="0"/>
              <w:rPr>
                <w:sz w:val="21"/>
                <w:szCs w:val="21"/>
                <w:color w:val="auto"/>
              </w:rPr>
            </w:pPr>
          </w:p>
        </w:tc>
        <w:tc>
          <w:tcPr>
            <w:tcW w:w="460" w:type="dxa"/>
            <w:vAlign w:val="bottom"/>
            <w:tcBorders>
              <w:right w:val="single" w:sz="8" w:color="D9D9D9"/>
            </w:tcBorders>
            <w:shd w:val="clear" w:color="auto" w:fill="D9D9D9"/>
          </w:tcPr>
          <w:p>
            <w:pPr>
              <w:spacing w:after="0"/>
              <w:rPr>
                <w:sz w:val="21"/>
                <w:szCs w:val="21"/>
                <w:color w:val="auto"/>
              </w:rPr>
            </w:pPr>
          </w:p>
        </w:tc>
        <w:tc>
          <w:tcPr>
            <w:tcW w:w="1300" w:type="dxa"/>
            <w:vAlign w:val="bottom"/>
            <w:tcBorders>
              <w:right w:val="single" w:sz="8" w:color="D9D9D9"/>
            </w:tcBorders>
            <w:shd w:val="clear" w:color="auto" w:fill="D9D9D9"/>
          </w:tcPr>
          <w:p>
            <w:pPr>
              <w:spacing w:after="0"/>
              <w:rPr>
                <w:sz w:val="21"/>
                <w:szCs w:val="21"/>
                <w:color w:val="auto"/>
              </w:rPr>
            </w:pPr>
          </w:p>
        </w:tc>
        <w:tc>
          <w:tcPr>
            <w:tcW w:w="600" w:type="dxa"/>
            <w:vAlign w:val="bottom"/>
            <w:shd w:val="clear" w:color="auto" w:fill="D9D9D9"/>
          </w:tcPr>
          <w:p>
            <w:pPr>
              <w:spacing w:after="0"/>
              <w:rPr>
                <w:sz w:val="21"/>
                <w:szCs w:val="21"/>
                <w:color w:val="auto"/>
              </w:rPr>
            </w:pPr>
          </w:p>
        </w:tc>
        <w:tc>
          <w:tcPr>
            <w:tcW w:w="720" w:type="dxa"/>
            <w:vAlign w:val="bottom"/>
            <w:tcBorders>
              <w:right w:val="single" w:sz="8" w:color="D9D9D9"/>
            </w:tcBorders>
            <w:shd w:val="clear" w:color="auto" w:fill="D9D9D9"/>
          </w:tcPr>
          <w:p>
            <w:pPr>
              <w:spacing w:after="0"/>
              <w:rPr>
                <w:sz w:val="21"/>
                <w:szCs w:val="21"/>
                <w:color w:val="auto"/>
              </w:rPr>
            </w:pPr>
          </w:p>
        </w:tc>
        <w:tc>
          <w:tcPr>
            <w:tcW w:w="1300" w:type="dxa"/>
            <w:vAlign w:val="bottom"/>
            <w:tcBorders>
              <w:right w:val="single" w:sz="8" w:color="D9D9D9"/>
            </w:tcBorders>
            <w:shd w:val="clear" w:color="auto" w:fill="D9D9D9"/>
          </w:tcPr>
          <w:p>
            <w:pPr>
              <w:spacing w:after="0"/>
              <w:rPr>
                <w:sz w:val="21"/>
                <w:szCs w:val="21"/>
                <w:color w:val="auto"/>
              </w:rPr>
            </w:pPr>
          </w:p>
        </w:tc>
        <w:tc>
          <w:tcPr>
            <w:tcW w:w="1320" w:type="dxa"/>
            <w:vAlign w:val="bottom"/>
            <w:tcBorders>
              <w:right w:val="single" w:sz="8" w:color="D9D9D9"/>
            </w:tcBorders>
            <w:shd w:val="clear" w:color="auto" w:fill="D9D9D9"/>
          </w:tcPr>
          <w:p>
            <w:pPr>
              <w:spacing w:after="0"/>
              <w:rPr>
                <w:sz w:val="21"/>
                <w:szCs w:val="21"/>
                <w:color w:val="auto"/>
              </w:rPr>
            </w:pPr>
          </w:p>
        </w:tc>
        <w:tc>
          <w:tcPr>
            <w:tcW w:w="2240" w:type="dxa"/>
            <w:vAlign w:val="bottom"/>
            <w:tcBorders>
              <w:right w:val="single" w:sz="8" w:color="auto"/>
            </w:tcBorders>
            <w:shd w:val="clear" w:color="auto" w:fill="D9D9D9"/>
          </w:tcPr>
          <w:p>
            <w:pPr>
              <w:spacing w:after="0"/>
              <w:rPr>
                <w:sz w:val="21"/>
                <w:szCs w:val="21"/>
                <w:color w:val="auto"/>
              </w:rPr>
            </w:pPr>
          </w:p>
        </w:tc>
        <w:tc>
          <w:tcPr>
            <w:tcW w:w="40" w:type="dxa"/>
            <w:vAlign w:val="bottom"/>
          </w:tcPr>
          <w:p>
            <w:pPr>
              <w:spacing w:after="0"/>
              <w:rPr>
                <w:sz w:val="21"/>
                <w:szCs w:val="21"/>
                <w:color w:val="auto"/>
              </w:rPr>
            </w:pPr>
          </w:p>
        </w:tc>
      </w:tr>
      <w:tr>
        <w:trPr>
          <w:trHeight w:val="291"/>
        </w:trPr>
        <w:tc>
          <w:tcPr>
            <w:tcW w:w="140" w:type="dxa"/>
            <w:vAlign w:val="bottom"/>
            <w:tcBorders>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Instrument</w:t>
            </w:r>
          </w:p>
        </w:tc>
        <w:tc>
          <w:tcPr>
            <w:tcW w:w="860" w:type="dxa"/>
            <w:vAlign w:val="bottom"/>
            <w:tcBorders>
              <w:bottom w:val="single" w:sz="8" w:color="auto"/>
            </w:tcBorders>
            <w:shd w:val="clear" w:color="auto" w:fill="D9D9D9"/>
          </w:tcPr>
          <w:p>
            <w:pPr>
              <w:spacing w:after="0"/>
              <w:rPr>
                <w:sz w:val="24"/>
                <w:szCs w:val="24"/>
                <w:color w:val="auto"/>
              </w:rPr>
            </w:pPr>
          </w:p>
        </w:tc>
        <w:tc>
          <w:tcPr>
            <w:tcW w:w="460" w:type="dxa"/>
            <w:vAlign w:val="bottom"/>
            <w:tcBorders>
              <w:bottom w:val="single" w:sz="8" w:color="auto"/>
              <w:right w:val="single" w:sz="8" w:color="D9D9D9"/>
            </w:tcBorders>
            <w:shd w:val="clear" w:color="auto" w:fill="D9D9D9"/>
          </w:tcPr>
          <w:p>
            <w:pPr>
              <w:spacing w:after="0"/>
              <w:rPr>
                <w:sz w:val="24"/>
                <w:szCs w:val="24"/>
                <w:color w:val="auto"/>
              </w:rPr>
            </w:pPr>
          </w:p>
        </w:tc>
        <w:tc>
          <w:tcPr>
            <w:tcW w:w="1300" w:type="dxa"/>
            <w:vAlign w:val="bottom"/>
            <w:tcBorders>
              <w:bottom w:val="single" w:sz="8" w:color="auto"/>
              <w:right w:val="single" w:sz="8" w:color="D9D9D9"/>
            </w:tcBorders>
            <w:shd w:val="clear" w:color="auto" w:fill="D9D9D9"/>
          </w:tcPr>
          <w:p>
            <w:pPr>
              <w:spacing w:after="0"/>
              <w:rPr>
                <w:sz w:val="24"/>
                <w:szCs w:val="24"/>
                <w:color w:val="auto"/>
              </w:rPr>
            </w:pPr>
          </w:p>
        </w:tc>
        <w:tc>
          <w:tcPr>
            <w:tcW w:w="600" w:type="dxa"/>
            <w:vAlign w:val="bottom"/>
            <w:tcBorders>
              <w:bottom w:val="single" w:sz="8" w:color="auto"/>
            </w:tcBorders>
            <w:shd w:val="clear" w:color="auto" w:fill="D9D9D9"/>
          </w:tcPr>
          <w:p>
            <w:pPr>
              <w:spacing w:after="0"/>
              <w:rPr>
                <w:sz w:val="24"/>
                <w:szCs w:val="24"/>
                <w:color w:val="auto"/>
              </w:rPr>
            </w:pPr>
          </w:p>
        </w:tc>
        <w:tc>
          <w:tcPr>
            <w:tcW w:w="3340" w:type="dxa"/>
            <w:vAlign w:val="bottom"/>
            <w:tcBorders>
              <w:bottom w:val="single" w:sz="8" w:color="auto"/>
              <w:right w:val="single" w:sz="8" w:color="D9D9D9"/>
            </w:tcBorders>
            <w:gridSpan w:val="3"/>
            <w:shd w:val="clear" w:color="auto" w:fill="D9D9D9"/>
          </w:tcPr>
          <w:p>
            <w:pPr>
              <w:jc w:val="center"/>
              <w:ind w:right="892"/>
              <w:spacing w:after="0"/>
              <w:rPr>
                <w:sz w:val="20"/>
                <w:szCs w:val="20"/>
                <w:color w:val="auto"/>
              </w:rPr>
            </w:pPr>
            <w:r>
              <w:rPr>
                <w:rFonts w:ascii="Times New Roman" w:cs="Times New Roman" w:eastAsia="Times New Roman" w:hAnsi="Times New Roman"/>
                <w:sz w:val="22"/>
                <w:szCs w:val="22"/>
                <w:b w:val="1"/>
                <w:bCs w:val="1"/>
                <w:color w:val="auto"/>
                <w:w w:val="98"/>
              </w:rPr>
              <w:t>Initial Liability Rating</w:t>
            </w:r>
          </w:p>
        </w:tc>
        <w:tc>
          <w:tcPr>
            <w:tcW w:w="2240" w:type="dxa"/>
            <w:vAlign w:val="bottom"/>
            <w:tcBorders>
              <w:bottom w:val="single" w:sz="8" w:color="auto"/>
              <w:right w:val="single" w:sz="8" w:color="auto"/>
            </w:tcBorders>
            <w:shd w:val="clear" w:color="auto" w:fill="D9D9D9"/>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140" w:type="dxa"/>
            <w:vAlign w:val="bottom"/>
            <w:tcBorders>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"AAA"</w:t>
            </w:r>
          </w:p>
        </w:tc>
        <w:tc>
          <w:tcPr>
            <w:tcW w:w="4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"AA"</w:t>
            </w:r>
          </w:p>
        </w:tc>
        <w:tc>
          <w:tcPr>
            <w:tcW w:w="600" w:type="dxa"/>
            <w:vAlign w:val="bottom"/>
            <w:tcBorders>
              <w:bottom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"A"</w:t>
            </w:r>
          </w:p>
        </w:tc>
        <w:tc>
          <w:tcPr>
            <w:tcW w:w="7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"BBB"</w:t>
            </w:r>
          </w:p>
        </w:tc>
        <w:tc>
          <w:tcPr>
            <w:tcW w:w="132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"BB"</w:t>
            </w:r>
          </w:p>
        </w:tc>
        <w:tc>
          <w:tcPr>
            <w:tcW w:w="224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"B" and below</w:t>
            </w:r>
          </w:p>
        </w:tc>
        <w:tc>
          <w:tcPr>
            <w:tcW w:w="40" w:type="dxa"/>
            <w:vAlign w:val="bottom"/>
          </w:tcPr>
          <w:p>
            <w:pPr>
              <w:spacing w:after="0"/>
              <w:rPr>
                <w:sz w:val="19"/>
                <w:szCs w:val="19"/>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1+</w:t>
            </w:r>
          </w:p>
        </w:tc>
        <w:tc>
          <w:tcPr>
            <w:tcW w:w="86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13%</w:t>
            </w:r>
          </w:p>
        </w:tc>
        <w:tc>
          <w:tcPr>
            <w:tcW w:w="4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16%</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21%</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23%</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25%</w:t>
            </w:r>
          </w:p>
        </w:tc>
        <w:tc>
          <w:tcPr>
            <w:tcW w:w="40" w:type="dxa"/>
            <w:vAlign w:val="bottom"/>
          </w:tcPr>
          <w:p>
            <w:pPr>
              <w:spacing w:after="0"/>
              <w:rPr>
                <w:sz w:val="20"/>
                <w:szCs w:val="20"/>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1</w:t>
            </w:r>
          </w:p>
        </w:tc>
        <w:tc>
          <w:tcPr>
            <w:tcW w:w="86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13%</w:t>
            </w:r>
          </w:p>
        </w:tc>
        <w:tc>
          <w:tcPr>
            <w:tcW w:w="4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16%</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21%</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23%</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25%</w:t>
            </w:r>
          </w:p>
        </w:tc>
        <w:tc>
          <w:tcPr>
            <w:tcW w:w="4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86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13%</w:t>
            </w:r>
          </w:p>
        </w:tc>
        <w:tc>
          <w:tcPr>
            <w:tcW w:w="4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16%</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21%</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23%</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25%</w:t>
            </w:r>
          </w:p>
        </w:tc>
        <w:tc>
          <w:tcPr>
            <w:tcW w:w="40" w:type="dxa"/>
            <w:vAlign w:val="bottom"/>
          </w:tcPr>
          <w:p>
            <w:pPr>
              <w:spacing w:after="0"/>
              <w:rPr>
                <w:sz w:val="20"/>
                <w:szCs w:val="20"/>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3</w:t>
            </w:r>
          </w:p>
        </w:tc>
        <w:tc>
          <w:tcPr>
            <w:tcW w:w="86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4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11%</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13%</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15%</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16%</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17%</w:t>
            </w:r>
          </w:p>
        </w:tc>
        <w:tc>
          <w:tcPr>
            <w:tcW w:w="4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4</w:t>
            </w:r>
          </w:p>
        </w:tc>
        <w:tc>
          <w:tcPr>
            <w:tcW w:w="86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4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40" w:type="dxa"/>
            <w:vAlign w:val="bottom"/>
          </w:tcPr>
          <w:p>
            <w:pPr>
              <w:spacing w:after="0"/>
              <w:rPr>
                <w:sz w:val="20"/>
                <w:szCs w:val="20"/>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86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4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40" w:type="dxa"/>
            <w:vAlign w:val="bottom"/>
          </w:tcPr>
          <w:p>
            <w:pPr>
              <w:spacing w:after="0"/>
              <w:rPr>
                <w:sz w:val="20"/>
                <w:szCs w:val="20"/>
                <w:color w:val="auto"/>
              </w:rPr>
            </w:pPr>
          </w:p>
        </w:tc>
      </w:tr>
      <w:tr>
        <w:trPr>
          <w:trHeight w:val="250"/>
        </w:trPr>
        <w:tc>
          <w:tcPr>
            <w:tcW w:w="140" w:type="dxa"/>
            <w:vAlign w:val="bottom"/>
            <w:tcBorders>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6</w:t>
            </w:r>
          </w:p>
        </w:tc>
        <w:tc>
          <w:tcPr>
            <w:tcW w:w="860" w:type="dxa"/>
            <w:vAlign w:val="bottom"/>
            <w:tcBorders>
              <w:bottom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46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600" w:type="dxa"/>
            <w:vAlign w:val="bottom"/>
            <w:tcBorders>
              <w:bottom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7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132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224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40" w:type="dxa"/>
            <w:vAlign w:val="bottom"/>
          </w:tcPr>
          <w:p>
            <w:pPr>
              <w:spacing w:after="0"/>
              <w:rPr>
                <w:sz w:val="21"/>
                <w:szCs w:val="21"/>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left="212"/>
              <w:spacing w:after="0" w:line="237" w:lineRule="exact"/>
              <w:rPr>
                <w:sz w:val="20"/>
                <w:szCs w:val="20"/>
                <w:color w:val="auto"/>
              </w:rPr>
            </w:pPr>
            <w:r>
              <w:rPr>
                <w:rFonts w:ascii="Times New Roman" w:cs="Times New Roman" w:eastAsia="Times New Roman" w:hAnsi="Times New Roman"/>
                <w:sz w:val="22"/>
                <w:szCs w:val="22"/>
                <w:b w:val="1"/>
                <w:bCs w:val="1"/>
                <w:color w:val="auto"/>
                <w:w w:val="98"/>
              </w:rPr>
              <w:t>Recovery rate</w:t>
            </w:r>
          </w:p>
        </w:tc>
        <w:tc>
          <w:tcPr>
            <w:tcW w:w="13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740"/>
        </w:trPr>
        <w:tc>
          <w:tcPr>
            <w:tcW w:w="2400" w:type="dxa"/>
            <w:vAlign w:val="bottom"/>
            <w:gridSpan w:val="2"/>
          </w:tcPr>
          <w:p>
            <w:pPr>
              <w:spacing w:after="0" w:line="253" w:lineRule="exact"/>
              <w:rPr>
                <w:sz w:val="20"/>
                <w:szCs w:val="20"/>
                <w:color w:val="auto"/>
              </w:rPr>
            </w:pPr>
            <w:r>
              <w:rPr>
                <w:rFonts w:ascii="Times New Roman" w:cs="Times New Roman" w:eastAsia="Times New Roman" w:hAnsi="Times New Roman"/>
                <w:sz w:val="22"/>
                <w:szCs w:val="22"/>
                <w:color w:val="auto"/>
              </w:rPr>
              <w:t>S-5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81"/>
        </w:trPr>
        <w:tc>
          <w:tcPr>
            <w:tcW w:w="1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Collateral Obligations Domiciled in Group C</w:t>
      </w:r>
    </w:p>
    <w:p>
      <w:pPr>
        <w:spacing w:after="0" w:line="214" w:lineRule="exact"/>
        <w:rPr>
          <w:sz w:val="20"/>
          <w:szCs w:val="20"/>
          <w:color w:val="auto"/>
        </w:rPr>
      </w:pPr>
    </w:p>
    <w:tbl>
      <w:tblPr>
        <w:tblLayout w:type="fixed"/>
        <w:tblInd w:w="90" w:type="dxa"/>
        <w:tblCellMar>
          <w:top w:w="0" w:type="dxa"/>
          <w:left w:w="0" w:type="dxa"/>
          <w:bottom w:w="0" w:type="dxa"/>
          <w:right w:w="0" w:type="dxa"/>
        </w:tblCellMar>
      </w:tblPr>
      <w:tr>
        <w:trPr>
          <w:trHeight w:val="228"/>
        </w:trPr>
        <w:tc>
          <w:tcPr>
            <w:tcW w:w="2320" w:type="dxa"/>
            <w:vAlign w:val="bottom"/>
            <w:tcBorders>
              <w:top w:val="single" w:sz="8" w:color="auto"/>
              <w:left w:val="single" w:sz="8" w:color="auto"/>
              <w:right w:val="single" w:sz="8" w:color="auto"/>
            </w:tcBorders>
            <w:shd w:val="clear" w:color="auto" w:fill="D9D9D9"/>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8"/>
              </w:rPr>
              <w:t>S&amp;P Recovery Rating</w:t>
            </w:r>
          </w:p>
        </w:tc>
        <w:tc>
          <w:tcPr>
            <w:tcW w:w="1320" w:type="dxa"/>
            <w:vAlign w:val="bottom"/>
            <w:tcBorders>
              <w:top w:val="single" w:sz="8" w:color="auto"/>
              <w:right w:val="single" w:sz="8" w:color="D9D9D9"/>
            </w:tcBorders>
            <w:shd w:val="clear" w:color="auto" w:fill="D9D9D9"/>
          </w:tcPr>
          <w:p>
            <w:pPr>
              <w:spacing w:after="0"/>
              <w:rPr>
                <w:sz w:val="19"/>
                <w:szCs w:val="19"/>
                <w:color w:val="auto"/>
              </w:rPr>
            </w:pPr>
          </w:p>
        </w:tc>
        <w:tc>
          <w:tcPr>
            <w:tcW w:w="1300" w:type="dxa"/>
            <w:vAlign w:val="bottom"/>
            <w:tcBorders>
              <w:top w:val="single" w:sz="8" w:color="auto"/>
              <w:right w:val="single" w:sz="8" w:color="D9D9D9"/>
            </w:tcBorders>
            <w:shd w:val="clear" w:color="auto" w:fill="D9D9D9"/>
          </w:tcPr>
          <w:p>
            <w:pPr>
              <w:spacing w:after="0"/>
              <w:rPr>
                <w:sz w:val="19"/>
                <w:szCs w:val="19"/>
                <w:color w:val="auto"/>
              </w:rPr>
            </w:pPr>
          </w:p>
        </w:tc>
        <w:tc>
          <w:tcPr>
            <w:tcW w:w="600" w:type="dxa"/>
            <w:vAlign w:val="bottom"/>
            <w:tcBorders>
              <w:top w:val="single" w:sz="8" w:color="auto"/>
            </w:tcBorders>
            <w:shd w:val="clear" w:color="auto" w:fill="D9D9D9"/>
          </w:tcPr>
          <w:p>
            <w:pPr>
              <w:spacing w:after="0"/>
              <w:rPr>
                <w:sz w:val="19"/>
                <w:szCs w:val="19"/>
                <w:color w:val="auto"/>
              </w:rPr>
            </w:pPr>
          </w:p>
        </w:tc>
        <w:tc>
          <w:tcPr>
            <w:tcW w:w="3340" w:type="dxa"/>
            <w:vAlign w:val="bottom"/>
            <w:tcBorders>
              <w:top w:val="single" w:sz="8" w:color="auto"/>
              <w:right w:val="single" w:sz="8" w:color="D9D9D9"/>
            </w:tcBorders>
            <w:gridSpan w:val="3"/>
            <w:shd w:val="clear" w:color="auto" w:fill="D9D9D9"/>
          </w:tcPr>
          <w:p>
            <w:pPr>
              <w:jc w:val="center"/>
              <w:ind w:right="892"/>
              <w:spacing w:after="0" w:line="228" w:lineRule="exact"/>
              <w:rPr>
                <w:sz w:val="20"/>
                <w:szCs w:val="20"/>
                <w:color w:val="auto"/>
              </w:rPr>
            </w:pPr>
            <w:r>
              <w:rPr>
                <w:rFonts w:ascii="Times New Roman" w:cs="Times New Roman" w:eastAsia="Times New Roman" w:hAnsi="Times New Roman"/>
                <w:sz w:val="22"/>
                <w:szCs w:val="22"/>
                <w:b w:val="1"/>
                <w:bCs w:val="1"/>
                <w:color w:val="auto"/>
                <w:w w:val="98"/>
              </w:rPr>
              <w:t>Initial Liability Rating</w:t>
            </w:r>
          </w:p>
        </w:tc>
        <w:tc>
          <w:tcPr>
            <w:tcW w:w="2240" w:type="dxa"/>
            <w:vAlign w:val="bottom"/>
            <w:tcBorders>
              <w:top w:val="single" w:sz="8" w:color="auto"/>
              <w:right w:val="single" w:sz="8" w:color="auto"/>
            </w:tcBorders>
            <w:shd w:val="clear" w:color="auto" w:fill="D9D9D9"/>
          </w:tcPr>
          <w:p>
            <w:pPr>
              <w:spacing w:after="0"/>
              <w:rPr>
                <w:sz w:val="19"/>
                <w:szCs w:val="19"/>
                <w:color w:val="auto"/>
              </w:rPr>
            </w:pPr>
          </w:p>
        </w:tc>
      </w:tr>
      <w:tr>
        <w:trPr>
          <w:trHeight w:val="243"/>
        </w:trPr>
        <w:tc>
          <w:tcPr>
            <w:tcW w:w="2320" w:type="dxa"/>
            <w:vAlign w:val="bottom"/>
            <w:tcBorders>
              <w:left w:val="single" w:sz="8" w:color="auto"/>
              <w:right w:val="single" w:sz="8" w:color="auto"/>
            </w:tcBorders>
            <w:shd w:val="clear" w:color="auto" w:fill="D9D9D9"/>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of the Senior Debt</w:t>
            </w:r>
          </w:p>
        </w:tc>
        <w:tc>
          <w:tcPr>
            <w:tcW w:w="1320" w:type="dxa"/>
            <w:vAlign w:val="bottom"/>
            <w:tcBorders>
              <w:right w:val="single" w:sz="8" w:color="D9D9D9"/>
            </w:tcBorders>
            <w:shd w:val="clear" w:color="auto" w:fill="D9D9D9"/>
          </w:tcPr>
          <w:p>
            <w:pPr>
              <w:spacing w:after="0"/>
              <w:rPr>
                <w:sz w:val="21"/>
                <w:szCs w:val="21"/>
                <w:color w:val="auto"/>
              </w:rPr>
            </w:pPr>
          </w:p>
        </w:tc>
        <w:tc>
          <w:tcPr>
            <w:tcW w:w="1300" w:type="dxa"/>
            <w:vAlign w:val="bottom"/>
            <w:tcBorders>
              <w:right w:val="single" w:sz="8" w:color="D9D9D9"/>
            </w:tcBorders>
            <w:shd w:val="clear" w:color="auto" w:fill="D9D9D9"/>
          </w:tcPr>
          <w:p>
            <w:pPr>
              <w:spacing w:after="0"/>
              <w:rPr>
                <w:sz w:val="21"/>
                <w:szCs w:val="21"/>
                <w:color w:val="auto"/>
              </w:rPr>
            </w:pPr>
          </w:p>
        </w:tc>
        <w:tc>
          <w:tcPr>
            <w:tcW w:w="600" w:type="dxa"/>
            <w:vAlign w:val="bottom"/>
            <w:shd w:val="clear" w:color="auto" w:fill="D9D9D9"/>
          </w:tcPr>
          <w:p>
            <w:pPr>
              <w:spacing w:after="0"/>
              <w:rPr>
                <w:sz w:val="21"/>
                <w:szCs w:val="21"/>
                <w:color w:val="auto"/>
              </w:rPr>
            </w:pPr>
          </w:p>
        </w:tc>
        <w:tc>
          <w:tcPr>
            <w:tcW w:w="720" w:type="dxa"/>
            <w:vAlign w:val="bottom"/>
            <w:tcBorders>
              <w:right w:val="single" w:sz="8" w:color="D9D9D9"/>
            </w:tcBorders>
            <w:shd w:val="clear" w:color="auto" w:fill="D9D9D9"/>
          </w:tcPr>
          <w:p>
            <w:pPr>
              <w:spacing w:after="0"/>
              <w:rPr>
                <w:sz w:val="21"/>
                <w:szCs w:val="21"/>
                <w:color w:val="auto"/>
              </w:rPr>
            </w:pPr>
          </w:p>
        </w:tc>
        <w:tc>
          <w:tcPr>
            <w:tcW w:w="1300" w:type="dxa"/>
            <w:vAlign w:val="bottom"/>
            <w:tcBorders>
              <w:right w:val="single" w:sz="8" w:color="D9D9D9"/>
            </w:tcBorders>
            <w:shd w:val="clear" w:color="auto" w:fill="D9D9D9"/>
          </w:tcPr>
          <w:p>
            <w:pPr>
              <w:spacing w:after="0"/>
              <w:rPr>
                <w:sz w:val="21"/>
                <w:szCs w:val="21"/>
                <w:color w:val="auto"/>
              </w:rPr>
            </w:pPr>
          </w:p>
        </w:tc>
        <w:tc>
          <w:tcPr>
            <w:tcW w:w="1320" w:type="dxa"/>
            <w:vAlign w:val="bottom"/>
            <w:tcBorders>
              <w:right w:val="single" w:sz="8" w:color="D9D9D9"/>
            </w:tcBorders>
            <w:shd w:val="clear" w:color="auto" w:fill="D9D9D9"/>
          </w:tcPr>
          <w:p>
            <w:pPr>
              <w:spacing w:after="0"/>
              <w:rPr>
                <w:sz w:val="21"/>
                <w:szCs w:val="21"/>
                <w:color w:val="auto"/>
              </w:rPr>
            </w:pPr>
          </w:p>
        </w:tc>
        <w:tc>
          <w:tcPr>
            <w:tcW w:w="2240" w:type="dxa"/>
            <w:vAlign w:val="bottom"/>
            <w:tcBorders>
              <w:right w:val="single" w:sz="8" w:color="auto"/>
            </w:tcBorders>
            <w:shd w:val="clear" w:color="auto" w:fill="D9D9D9"/>
          </w:tcPr>
          <w:p>
            <w:pPr>
              <w:spacing w:after="0"/>
              <w:rPr>
                <w:sz w:val="21"/>
                <w:szCs w:val="21"/>
                <w:color w:val="auto"/>
              </w:rPr>
            </w:pPr>
          </w:p>
        </w:tc>
      </w:tr>
      <w:tr>
        <w:trPr>
          <w:trHeight w:val="291"/>
        </w:trPr>
        <w:tc>
          <w:tcPr>
            <w:tcW w:w="23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Instrument</w:t>
            </w:r>
          </w:p>
        </w:tc>
        <w:tc>
          <w:tcPr>
            <w:tcW w:w="1320" w:type="dxa"/>
            <w:vAlign w:val="bottom"/>
            <w:tcBorders>
              <w:bottom w:val="single" w:sz="8" w:color="auto"/>
              <w:right w:val="single" w:sz="8" w:color="D9D9D9"/>
            </w:tcBorders>
            <w:shd w:val="clear" w:color="auto" w:fill="D9D9D9"/>
          </w:tcPr>
          <w:p>
            <w:pPr>
              <w:spacing w:after="0"/>
              <w:rPr>
                <w:sz w:val="24"/>
                <w:szCs w:val="24"/>
                <w:color w:val="auto"/>
              </w:rPr>
            </w:pPr>
          </w:p>
        </w:tc>
        <w:tc>
          <w:tcPr>
            <w:tcW w:w="1300" w:type="dxa"/>
            <w:vAlign w:val="bottom"/>
            <w:tcBorders>
              <w:bottom w:val="single" w:sz="8" w:color="auto"/>
              <w:right w:val="single" w:sz="8" w:color="D9D9D9"/>
            </w:tcBorders>
            <w:shd w:val="clear" w:color="auto" w:fill="D9D9D9"/>
          </w:tcPr>
          <w:p>
            <w:pPr>
              <w:spacing w:after="0"/>
              <w:rPr>
                <w:sz w:val="24"/>
                <w:szCs w:val="24"/>
                <w:color w:val="auto"/>
              </w:rPr>
            </w:pPr>
          </w:p>
        </w:tc>
        <w:tc>
          <w:tcPr>
            <w:tcW w:w="600" w:type="dxa"/>
            <w:vAlign w:val="bottom"/>
            <w:tcBorders>
              <w:bottom w:val="single" w:sz="8" w:color="auto"/>
            </w:tcBorders>
            <w:shd w:val="clear" w:color="auto" w:fill="D9D9D9"/>
          </w:tcPr>
          <w:p>
            <w:pPr>
              <w:spacing w:after="0"/>
              <w:rPr>
                <w:sz w:val="24"/>
                <w:szCs w:val="24"/>
                <w:color w:val="auto"/>
              </w:rPr>
            </w:pPr>
          </w:p>
        </w:tc>
        <w:tc>
          <w:tcPr>
            <w:tcW w:w="720" w:type="dxa"/>
            <w:vAlign w:val="bottom"/>
            <w:tcBorders>
              <w:bottom w:val="single" w:sz="8" w:color="auto"/>
              <w:right w:val="single" w:sz="8" w:color="D9D9D9"/>
            </w:tcBorders>
            <w:shd w:val="clear" w:color="auto" w:fill="D9D9D9"/>
          </w:tcPr>
          <w:p>
            <w:pPr>
              <w:spacing w:after="0"/>
              <w:rPr>
                <w:sz w:val="24"/>
                <w:szCs w:val="24"/>
                <w:color w:val="auto"/>
              </w:rPr>
            </w:pPr>
          </w:p>
        </w:tc>
        <w:tc>
          <w:tcPr>
            <w:tcW w:w="1300" w:type="dxa"/>
            <w:vAlign w:val="bottom"/>
            <w:tcBorders>
              <w:bottom w:val="single" w:sz="8" w:color="auto"/>
              <w:right w:val="single" w:sz="8" w:color="D9D9D9"/>
            </w:tcBorders>
            <w:shd w:val="clear" w:color="auto" w:fill="D9D9D9"/>
          </w:tcPr>
          <w:p>
            <w:pPr>
              <w:spacing w:after="0"/>
              <w:rPr>
                <w:sz w:val="24"/>
                <w:szCs w:val="24"/>
                <w:color w:val="auto"/>
              </w:rPr>
            </w:pPr>
          </w:p>
        </w:tc>
        <w:tc>
          <w:tcPr>
            <w:tcW w:w="1320" w:type="dxa"/>
            <w:vAlign w:val="bottom"/>
            <w:tcBorders>
              <w:bottom w:val="single" w:sz="8" w:color="auto"/>
              <w:right w:val="single" w:sz="8" w:color="D9D9D9"/>
            </w:tcBorders>
            <w:shd w:val="clear" w:color="auto" w:fill="D9D9D9"/>
          </w:tcPr>
          <w:p>
            <w:pPr>
              <w:spacing w:after="0"/>
              <w:rPr>
                <w:sz w:val="24"/>
                <w:szCs w:val="24"/>
                <w:color w:val="auto"/>
              </w:rPr>
            </w:pPr>
          </w:p>
        </w:tc>
        <w:tc>
          <w:tcPr>
            <w:tcW w:w="2240" w:type="dxa"/>
            <w:vAlign w:val="bottom"/>
            <w:tcBorders>
              <w:bottom w:val="single" w:sz="8" w:color="auto"/>
              <w:right w:val="single" w:sz="8" w:color="auto"/>
            </w:tcBorders>
            <w:shd w:val="clear" w:color="auto" w:fill="D9D9D9"/>
          </w:tcPr>
          <w:p>
            <w:pPr>
              <w:spacing w:after="0"/>
              <w:rPr>
                <w:sz w:val="24"/>
                <w:szCs w:val="24"/>
                <w:color w:val="auto"/>
              </w:rPr>
            </w:pPr>
          </w:p>
        </w:tc>
      </w:tr>
      <w:tr>
        <w:trPr>
          <w:trHeight w:val="220"/>
        </w:trPr>
        <w:tc>
          <w:tcPr>
            <w:tcW w:w="2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"AAA"</w:t>
            </w:r>
          </w:p>
        </w:tc>
        <w:tc>
          <w:tcPr>
            <w:tcW w:w="130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"AA"</w:t>
            </w:r>
          </w:p>
        </w:tc>
        <w:tc>
          <w:tcPr>
            <w:tcW w:w="600" w:type="dxa"/>
            <w:vAlign w:val="bottom"/>
            <w:tcBorders>
              <w:bottom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"A"</w:t>
            </w:r>
          </w:p>
        </w:tc>
        <w:tc>
          <w:tcPr>
            <w:tcW w:w="7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"BBB"</w:t>
            </w:r>
          </w:p>
        </w:tc>
        <w:tc>
          <w:tcPr>
            <w:tcW w:w="132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"BB"</w:t>
            </w:r>
          </w:p>
        </w:tc>
        <w:tc>
          <w:tcPr>
            <w:tcW w:w="224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"B" and below</w:t>
            </w:r>
          </w:p>
        </w:tc>
      </w:tr>
      <w:tr>
        <w:trPr>
          <w:trHeight w:val="236"/>
        </w:trPr>
        <w:tc>
          <w:tcPr>
            <w:tcW w:w="232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10%</w:t>
            </w: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12%</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14%</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16%</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20%</w:t>
            </w:r>
          </w:p>
        </w:tc>
      </w:tr>
      <w:tr>
        <w:trPr>
          <w:trHeight w:val="237"/>
        </w:trPr>
        <w:tc>
          <w:tcPr>
            <w:tcW w:w="232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10%</w:t>
            </w: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12%</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14%</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16%</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20%</w:t>
            </w:r>
          </w:p>
        </w:tc>
      </w:tr>
      <w:tr>
        <w:trPr>
          <w:trHeight w:val="237"/>
        </w:trPr>
        <w:tc>
          <w:tcPr>
            <w:tcW w:w="232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10%</w:t>
            </w: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12%</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14%</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16%</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20%</w:t>
            </w:r>
          </w:p>
        </w:tc>
      </w:tr>
      <w:tr>
        <w:trPr>
          <w:trHeight w:val="237"/>
        </w:trPr>
        <w:tc>
          <w:tcPr>
            <w:tcW w:w="232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7%</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9%</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10%</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11%</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12%</w:t>
            </w:r>
          </w:p>
        </w:tc>
      </w:tr>
      <w:tr>
        <w:trPr>
          <w:trHeight w:val="236"/>
        </w:trPr>
        <w:tc>
          <w:tcPr>
            <w:tcW w:w="232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4</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r>
      <w:tr>
        <w:trPr>
          <w:trHeight w:val="250"/>
        </w:trPr>
        <w:tc>
          <w:tcPr>
            <w:tcW w:w="2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5</w:t>
            </w:r>
          </w:p>
        </w:tc>
        <w:tc>
          <w:tcPr>
            <w:tcW w:w="132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130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600" w:type="dxa"/>
            <w:vAlign w:val="bottom"/>
            <w:tcBorders>
              <w:bottom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7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132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224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r>
      <w:tr>
        <w:trPr>
          <w:trHeight w:val="250"/>
        </w:trPr>
        <w:tc>
          <w:tcPr>
            <w:tcW w:w="2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6</w:t>
            </w:r>
          </w:p>
        </w:tc>
        <w:tc>
          <w:tcPr>
            <w:tcW w:w="132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130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600" w:type="dxa"/>
            <w:vAlign w:val="bottom"/>
            <w:tcBorders>
              <w:bottom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7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132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224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r>
      <w:tr>
        <w:trPr>
          <w:trHeight w:val="237"/>
        </w:trPr>
        <w:tc>
          <w:tcPr>
            <w:tcW w:w="23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left="212"/>
              <w:spacing w:after="0" w:line="237" w:lineRule="exact"/>
              <w:rPr>
                <w:sz w:val="20"/>
                <w:szCs w:val="20"/>
                <w:color w:val="auto"/>
              </w:rPr>
            </w:pPr>
            <w:r>
              <w:rPr>
                <w:rFonts w:ascii="Times New Roman" w:cs="Times New Roman" w:eastAsia="Times New Roman" w:hAnsi="Times New Roman"/>
                <w:sz w:val="22"/>
                <w:szCs w:val="22"/>
                <w:b w:val="1"/>
                <w:bCs w:val="1"/>
                <w:color w:val="auto"/>
                <w:w w:val="98"/>
              </w:rPr>
              <w:t>Recovery rate</w:t>
            </w:r>
          </w:p>
        </w:tc>
        <w:tc>
          <w:tcPr>
            <w:tcW w:w="13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bl>
    <w:p>
      <w:pPr>
        <w:spacing w:after="0" w:line="189" w:lineRule="exact"/>
        <w:rPr>
          <w:sz w:val="20"/>
          <w:szCs w:val="20"/>
          <w:color w:val="auto"/>
        </w:rPr>
      </w:pPr>
    </w:p>
    <w:p>
      <w:pPr>
        <w:jc w:val="both"/>
        <w:ind w:left="760" w:firstLine="1015"/>
        <w:spacing w:after="0" w:line="239" w:lineRule="auto"/>
        <w:tabs>
          <w:tab w:leader="none" w:pos="221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(x) a Collateral Obligation does not have an S&amp;P Recovery Rating and such Collateral Obligation is a subordinated loan or subordinated bond and (y) the issuer of such Collateral Obligation has issued a Senior Debt Instrument that has an S&amp;P Recovery Rating, the S&amp;P Recovery Rate for such Collateral Obligation shall be determined as follows: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Collateral Obligations Domiciled in Groups A and B</w:t>
      </w:r>
    </w:p>
    <w:p>
      <w:pPr>
        <w:spacing w:after="0" w:line="214" w:lineRule="exact"/>
        <w:rPr>
          <w:sz w:val="20"/>
          <w:szCs w:val="20"/>
          <w:color w:val="auto"/>
        </w:rPr>
      </w:pPr>
    </w:p>
    <w:tbl>
      <w:tblPr>
        <w:tblLayout w:type="fixed"/>
        <w:tblInd w:w="90" w:type="dxa"/>
        <w:tblCellMar>
          <w:top w:w="0" w:type="dxa"/>
          <w:left w:w="0" w:type="dxa"/>
          <w:bottom w:w="0" w:type="dxa"/>
          <w:right w:w="0" w:type="dxa"/>
        </w:tblCellMar>
      </w:tblPr>
      <w:tr>
        <w:trPr>
          <w:trHeight w:val="228"/>
        </w:trPr>
        <w:tc>
          <w:tcPr>
            <w:tcW w:w="2320" w:type="dxa"/>
            <w:vAlign w:val="bottom"/>
            <w:tcBorders>
              <w:top w:val="single" w:sz="8" w:color="auto"/>
              <w:left w:val="single" w:sz="8" w:color="auto"/>
              <w:right w:val="single" w:sz="8" w:color="auto"/>
            </w:tcBorders>
            <w:shd w:val="clear" w:color="auto" w:fill="D9D9D9"/>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8"/>
              </w:rPr>
              <w:t>S&amp;P Recovery Rating</w:t>
            </w:r>
          </w:p>
        </w:tc>
        <w:tc>
          <w:tcPr>
            <w:tcW w:w="1320" w:type="dxa"/>
            <w:vAlign w:val="bottom"/>
            <w:tcBorders>
              <w:top w:val="single" w:sz="8" w:color="auto"/>
              <w:right w:val="single" w:sz="8" w:color="D9D9D9"/>
            </w:tcBorders>
            <w:shd w:val="clear" w:color="auto" w:fill="D9D9D9"/>
          </w:tcPr>
          <w:p>
            <w:pPr>
              <w:spacing w:after="0"/>
              <w:rPr>
                <w:sz w:val="19"/>
                <w:szCs w:val="19"/>
                <w:color w:val="auto"/>
              </w:rPr>
            </w:pPr>
          </w:p>
        </w:tc>
        <w:tc>
          <w:tcPr>
            <w:tcW w:w="1300" w:type="dxa"/>
            <w:vAlign w:val="bottom"/>
            <w:tcBorders>
              <w:top w:val="single" w:sz="8" w:color="auto"/>
              <w:right w:val="single" w:sz="8" w:color="D9D9D9"/>
            </w:tcBorders>
            <w:shd w:val="clear" w:color="auto" w:fill="D9D9D9"/>
          </w:tcPr>
          <w:p>
            <w:pPr>
              <w:spacing w:after="0"/>
              <w:rPr>
                <w:sz w:val="19"/>
                <w:szCs w:val="19"/>
                <w:color w:val="auto"/>
              </w:rPr>
            </w:pPr>
          </w:p>
        </w:tc>
        <w:tc>
          <w:tcPr>
            <w:tcW w:w="600" w:type="dxa"/>
            <w:vAlign w:val="bottom"/>
            <w:tcBorders>
              <w:top w:val="single" w:sz="8" w:color="auto"/>
            </w:tcBorders>
            <w:shd w:val="clear" w:color="auto" w:fill="D9D9D9"/>
          </w:tcPr>
          <w:p>
            <w:pPr>
              <w:spacing w:after="0"/>
              <w:rPr>
                <w:sz w:val="19"/>
                <w:szCs w:val="19"/>
                <w:color w:val="auto"/>
              </w:rPr>
            </w:pPr>
          </w:p>
        </w:tc>
        <w:tc>
          <w:tcPr>
            <w:tcW w:w="3340" w:type="dxa"/>
            <w:vAlign w:val="bottom"/>
            <w:tcBorders>
              <w:top w:val="single" w:sz="8" w:color="auto"/>
              <w:right w:val="single" w:sz="8" w:color="D9D9D9"/>
            </w:tcBorders>
            <w:gridSpan w:val="3"/>
            <w:shd w:val="clear" w:color="auto" w:fill="D9D9D9"/>
          </w:tcPr>
          <w:p>
            <w:pPr>
              <w:jc w:val="center"/>
              <w:ind w:right="892"/>
              <w:spacing w:after="0" w:line="228" w:lineRule="exact"/>
              <w:rPr>
                <w:sz w:val="20"/>
                <w:szCs w:val="20"/>
                <w:color w:val="auto"/>
              </w:rPr>
            </w:pPr>
            <w:r>
              <w:rPr>
                <w:rFonts w:ascii="Times New Roman" w:cs="Times New Roman" w:eastAsia="Times New Roman" w:hAnsi="Times New Roman"/>
                <w:sz w:val="22"/>
                <w:szCs w:val="22"/>
                <w:b w:val="1"/>
                <w:bCs w:val="1"/>
                <w:color w:val="auto"/>
                <w:w w:val="98"/>
              </w:rPr>
              <w:t>Initial Liability Rating</w:t>
            </w:r>
          </w:p>
        </w:tc>
        <w:tc>
          <w:tcPr>
            <w:tcW w:w="2240" w:type="dxa"/>
            <w:vAlign w:val="bottom"/>
            <w:tcBorders>
              <w:top w:val="single" w:sz="8" w:color="auto"/>
              <w:right w:val="single" w:sz="8" w:color="auto"/>
            </w:tcBorders>
            <w:shd w:val="clear" w:color="auto" w:fill="D9D9D9"/>
          </w:tcPr>
          <w:p>
            <w:pPr>
              <w:spacing w:after="0"/>
              <w:rPr>
                <w:sz w:val="19"/>
                <w:szCs w:val="19"/>
                <w:color w:val="auto"/>
              </w:rPr>
            </w:pPr>
          </w:p>
        </w:tc>
      </w:tr>
      <w:tr>
        <w:trPr>
          <w:trHeight w:val="243"/>
        </w:trPr>
        <w:tc>
          <w:tcPr>
            <w:tcW w:w="2320" w:type="dxa"/>
            <w:vAlign w:val="bottom"/>
            <w:tcBorders>
              <w:left w:val="single" w:sz="8" w:color="auto"/>
              <w:right w:val="single" w:sz="8" w:color="auto"/>
            </w:tcBorders>
            <w:shd w:val="clear" w:color="auto" w:fill="D9D9D9"/>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of the Senior Debt</w:t>
            </w:r>
          </w:p>
        </w:tc>
        <w:tc>
          <w:tcPr>
            <w:tcW w:w="1320" w:type="dxa"/>
            <w:vAlign w:val="bottom"/>
            <w:tcBorders>
              <w:right w:val="single" w:sz="8" w:color="D9D9D9"/>
            </w:tcBorders>
            <w:shd w:val="clear" w:color="auto" w:fill="D9D9D9"/>
          </w:tcPr>
          <w:p>
            <w:pPr>
              <w:spacing w:after="0"/>
              <w:rPr>
                <w:sz w:val="21"/>
                <w:szCs w:val="21"/>
                <w:color w:val="auto"/>
              </w:rPr>
            </w:pPr>
          </w:p>
        </w:tc>
        <w:tc>
          <w:tcPr>
            <w:tcW w:w="1300" w:type="dxa"/>
            <w:vAlign w:val="bottom"/>
            <w:tcBorders>
              <w:right w:val="single" w:sz="8" w:color="D9D9D9"/>
            </w:tcBorders>
            <w:shd w:val="clear" w:color="auto" w:fill="D9D9D9"/>
          </w:tcPr>
          <w:p>
            <w:pPr>
              <w:spacing w:after="0"/>
              <w:rPr>
                <w:sz w:val="21"/>
                <w:szCs w:val="21"/>
                <w:color w:val="auto"/>
              </w:rPr>
            </w:pPr>
          </w:p>
        </w:tc>
        <w:tc>
          <w:tcPr>
            <w:tcW w:w="600" w:type="dxa"/>
            <w:vAlign w:val="bottom"/>
            <w:shd w:val="clear" w:color="auto" w:fill="D9D9D9"/>
          </w:tcPr>
          <w:p>
            <w:pPr>
              <w:spacing w:after="0"/>
              <w:rPr>
                <w:sz w:val="21"/>
                <w:szCs w:val="21"/>
                <w:color w:val="auto"/>
              </w:rPr>
            </w:pPr>
          </w:p>
        </w:tc>
        <w:tc>
          <w:tcPr>
            <w:tcW w:w="720" w:type="dxa"/>
            <w:vAlign w:val="bottom"/>
            <w:tcBorders>
              <w:right w:val="single" w:sz="8" w:color="D9D9D9"/>
            </w:tcBorders>
            <w:shd w:val="clear" w:color="auto" w:fill="D9D9D9"/>
          </w:tcPr>
          <w:p>
            <w:pPr>
              <w:spacing w:after="0"/>
              <w:rPr>
                <w:sz w:val="21"/>
                <w:szCs w:val="21"/>
                <w:color w:val="auto"/>
              </w:rPr>
            </w:pPr>
          </w:p>
        </w:tc>
        <w:tc>
          <w:tcPr>
            <w:tcW w:w="1300" w:type="dxa"/>
            <w:vAlign w:val="bottom"/>
            <w:tcBorders>
              <w:right w:val="single" w:sz="8" w:color="D9D9D9"/>
            </w:tcBorders>
            <w:shd w:val="clear" w:color="auto" w:fill="D9D9D9"/>
          </w:tcPr>
          <w:p>
            <w:pPr>
              <w:spacing w:after="0"/>
              <w:rPr>
                <w:sz w:val="21"/>
                <w:szCs w:val="21"/>
                <w:color w:val="auto"/>
              </w:rPr>
            </w:pPr>
          </w:p>
        </w:tc>
        <w:tc>
          <w:tcPr>
            <w:tcW w:w="1320" w:type="dxa"/>
            <w:vAlign w:val="bottom"/>
            <w:tcBorders>
              <w:right w:val="single" w:sz="8" w:color="D9D9D9"/>
            </w:tcBorders>
            <w:shd w:val="clear" w:color="auto" w:fill="D9D9D9"/>
          </w:tcPr>
          <w:p>
            <w:pPr>
              <w:spacing w:after="0"/>
              <w:rPr>
                <w:sz w:val="21"/>
                <w:szCs w:val="21"/>
                <w:color w:val="auto"/>
              </w:rPr>
            </w:pPr>
          </w:p>
        </w:tc>
        <w:tc>
          <w:tcPr>
            <w:tcW w:w="2240" w:type="dxa"/>
            <w:vAlign w:val="bottom"/>
            <w:tcBorders>
              <w:right w:val="single" w:sz="8" w:color="auto"/>
            </w:tcBorders>
            <w:shd w:val="clear" w:color="auto" w:fill="D9D9D9"/>
          </w:tcPr>
          <w:p>
            <w:pPr>
              <w:spacing w:after="0"/>
              <w:rPr>
                <w:sz w:val="21"/>
                <w:szCs w:val="21"/>
                <w:color w:val="auto"/>
              </w:rPr>
            </w:pPr>
          </w:p>
        </w:tc>
      </w:tr>
      <w:tr>
        <w:trPr>
          <w:trHeight w:val="291"/>
        </w:trPr>
        <w:tc>
          <w:tcPr>
            <w:tcW w:w="23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Instrument</w:t>
            </w:r>
          </w:p>
        </w:tc>
        <w:tc>
          <w:tcPr>
            <w:tcW w:w="1320" w:type="dxa"/>
            <w:vAlign w:val="bottom"/>
            <w:tcBorders>
              <w:bottom w:val="single" w:sz="8" w:color="auto"/>
              <w:right w:val="single" w:sz="8" w:color="D9D9D9"/>
            </w:tcBorders>
            <w:shd w:val="clear" w:color="auto" w:fill="D9D9D9"/>
          </w:tcPr>
          <w:p>
            <w:pPr>
              <w:spacing w:after="0"/>
              <w:rPr>
                <w:sz w:val="24"/>
                <w:szCs w:val="24"/>
                <w:color w:val="auto"/>
              </w:rPr>
            </w:pPr>
          </w:p>
        </w:tc>
        <w:tc>
          <w:tcPr>
            <w:tcW w:w="1300" w:type="dxa"/>
            <w:vAlign w:val="bottom"/>
            <w:tcBorders>
              <w:bottom w:val="single" w:sz="8" w:color="auto"/>
              <w:right w:val="single" w:sz="8" w:color="D9D9D9"/>
            </w:tcBorders>
            <w:shd w:val="clear" w:color="auto" w:fill="D9D9D9"/>
          </w:tcPr>
          <w:p>
            <w:pPr>
              <w:spacing w:after="0"/>
              <w:rPr>
                <w:sz w:val="24"/>
                <w:szCs w:val="24"/>
                <w:color w:val="auto"/>
              </w:rPr>
            </w:pPr>
          </w:p>
        </w:tc>
        <w:tc>
          <w:tcPr>
            <w:tcW w:w="600" w:type="dxa"/>
            <w:vAlign w:val="bottom"/>
            <w:tcBorders>
              <w:bottom w:val="single" w:sz="8" w:color="auto"/>
            </w:tcBorders>
            <w:shd w:val="clear" w:color="auto" w:fill="D9D9D9"/>
          </w:tcPr>
          <w:p>
            <w:pPr>
              <w:spacing w:after="0"/>
              <w:rPr>
                <w:sz w:val="24"/>
                <w:szCs w:val="24"/>
                <w:color w:val="auto"/>
              </w:rPr>
            </w:pPr>
          </w:p>
        </w:tc>
        <w:tc>
          <w:tcPr>
            <w:tcW w:w="720" w:type="dxa"/>
            <w:vAlign w:val="bottom"/>
            <w:tcBorders>
              <w:bottom w:val="single" w:sz="8" w:color="auto"/>
              <w:right w:val="single" w:sz="8" w:color="D9D9D9"/>
            </w:tcBorders>
            <w:shd w:val="clear" w:color="auto" w:fill="D9D9D9"/>
          </w:tcPr>
          <w:p>
            <w:pPr>
              <w:spacing w:after="0"/>
              <w:rPr>
                <w:sz w:val="24"/>
                <w:szCs w:val="24"/>
                <w:color w:val="auto"/>
              </w:rPr>
            </w:pPr>
          </w:p>
        </w:tc>
        <w:tc>
          <w:tcPr>
            <w:tcW w:w="1300" w:type="dxa"/>
            <w:vAlign w:val="bottom"/>
            <w:tcBorders>
              <w:bottom w:val="single" w:sz="8" w:color="auto"/>
              <w:right w:val="single" w:sz="8" w:color="D9D9D9"/>
            </w:tcBorders>
            <w:shd w:val="clear" w:color="auto" w:fill="D9D9D9"/>
          </w:tcPr>
          <w:p>
            <w:pPr>
              <w:spacing w:after="0"/>
              <w:rPr>
                <w:sz w:val="24"/>
                <w:szCs w:val="24"/>
                <w:color w:val="auto"/>
              </w:rPr>
            </w:pPr>
          </w:p>
        </w:tc>
        <w:tc>
          <w:tcPr>
            <w:tcW w:w="1320" w:type="dxa"/>
            <w:vAlign w:val="bottom"/>
            <w:tcBorders>
              <w:bottom w:val="single" w:sz="8" w:color="auto"/>
              <w:right w:val="single" w:sz="8" w:color="D9D9D9"/>
            </w:tcBorders>
            <w:shd w:val="clear" w:color="auto" w:fill="D9D9D9"/>
          </w:tcPr>
          <w:p>
            <w:pPr>
              <w:spacing w:after="0"/>
              <w:rPr>
                <w:sz w:val="24"/>
                <w:szCs w:val="24"/>
                <w:color w:val="auto"/>
              </w:rPr>
            </w:pPr>
          </w:p>
        </w:tc>
        <w:tc>
          <w:tcPr>
            <w:tcW w:w="2240" w:type="dxa"/>
            <w:vAlign w:val="bottom"/>
            <w:tcBorders>
              <w:bottom w:val="single" w:sz="8" w:color="auto"/>
              <w:right w:val="single" w:sz="8" w:color="auto"/>
            </w:tcBorders>
            <w:shd w:val="clear" w:color="auto" w:fill="D9D9D9"/>
          </w:tcPr>
          <w:p>
            <w:pPr>
              <w:spacing w:after="0"/>
              <w:rPr>
                <w:sz w:val="24"/>
                <w:szCs w:val="24"/>
                <w:color w:val="auto"/>
              </w:rPr>
            </w:pPr>
          </w:p>
        </w:tc>
      </w:tr>
      <w:tr>
        <w:trPr>
          <w:trHeight w:val="220"/>
        </w:trPr>
        <w:tc>
          <w:tcPr>
            <w:tcW w:w="2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"AAA"</w:t>
            </w:r>
          </w:p>
        </w:tc>
        <w:tc>
          <w:tcPr>
            <w:tcW w:w="130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"AA"</w:t>
            </w:r>
          </w:p>
        </w:tc>
        <w:tc>
          <w:tcPr>
            <w:tcW w:w="600" w:type="dxa"/>
            <w:vAlign w:val="bottom"/>
            <w:tcBorders>
              <w:bottom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"A"</w:t>
            </w:r>
          </w:p>
        </w:tc>
        <w:tc>
          <w:tcPr>
            <w:tcW w:w="7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"BBB"</w:t>
            </w:r>
          </w:p>
        </w:tc>
        <w:tc>
          <w:tcPr>
            <w:tcW w:w="132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"BB"</w:t>
            </w:r>
          </w:p>
        </w:tc>
        <w:tc>
          <w:tcPr>
            <w:tcW w:w="224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b w:val="1"/>
                <w:bCs w:val="1"/>
                <w:color w:val="auto"/>
              </w:rPr>
              <w:t>"B" and below</w:t>
            </w:r>
          </w:p>
        </w:tc>
      </w:tr>
      <w:tr>
        <w:trPr>
          <w:trHeight w:val="237"/>
        </w:trPr>
        <w:tc>
          <w:tcPr>
            <w:tcW w:w="232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r>
      <w:tr>
        <w:trPr>
          <w:trHeight w:val="236"/>
        </w:trPr>
        <w:tc>
          <w:tcPr>
            <w:tcW w:w="232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r>
      <w:tr>
        <w:trPr>
          <w:trHeight w:val="237"/>
        </w:trPr>
        <w:tc>
          <w:tcPr>
            <w:tcW w:w="232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r>
      <w:tr>
        <w:trPr>
          <w:trHeight w:val="236"/>
        </w:trPr>
        <w:tc>
          <w:tcPr>
            <w:tcW w:w="232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r>
      <w:tr>
        <w:trPr>
          <w:trHeight w:val="237"/>
        </w:trPr>
        <w:tc>
          <w:tcPr>
            <w:tcW w:w="232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4</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7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r>
      <w:tr>
        <w:trPr>
          <w:trHeight w:val="250"/>
        </w:trPr>
        <w:tc>
          <w:tcPr>
            <w:tcW w:w="2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5</w:t>
            </w:r>
          </w:p>
        </w:tc>
        <w:tc>
          <w:tcPr>
            <w:tcW w:w="132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130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600" w:type="dxa"/>
            <w:vAlign w:val="bottom"/>
            <w:tcBorders>
              <w:bottom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7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132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224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r>
      <w:tr>
        <w:trPr>
          <w:trHeight w:val="250"/>
        </w:trPr>
        <w:tc>
          <w:tcPr>
            <w:tcW w:w="232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6</w:t>
            </w:r>
          </w:p>
        </w:tc>
        <w:tc>
          <w:tcPr>
            <w:tcW w:w="132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130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600" w:type="dxa"/>
            <w:vAlign w:val="bottom"/>
            <w:tcBorders>
              <w:bottom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7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132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224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r>
      <w:tr>
        <w:trPr>
          <w:trHeight w:val="236"/>
        </w:trPr>
        <w:tc>
          <w:tcPr>
            <w:tcW w:w="23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left="212"/>
              <w:spacing w:after="0" w:line="237" w:lineRule="exact"/>
              <w:rPr>
                <w:sz w:val="20"/>
                <w:szCs w:val="20"/>
                <w:color w:val="auto"/>
              </w:rPr>
            </w:pPr>
            <w:r>
              <w:rPr>
                <w:rFonts w:ascii="Times New Roman" w:cs="Times New Roman" w:eastAsia="Times New Roman" w:hAnsi="Times New Roman"/>
                <w:sz w:val="22"/>
                <w:szCs w:val="22"/>
                <w:b w:val="1"/>
                <w:bCs w:val="1"/>
                <w:color w:val="auto"/>
                <w:w w:val="98"/>
              </w:rPr>
              <w:t>Recovery rate</w:t>
            </w:r>
          </w:p>
        </w:tc>
        <w:tc>
          <w:tcPr>
            <w:tcW w:w="13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bl>
    <w:p>
      <w:pPr>
        <w:spacing w:after="0" w:line="18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For Collateral Obligations Domiciled in Group C</w:t>
      </w:r>
    </w:p>
    <w:p>
      <w:pPr>
        <w:spacing w:after="0" w:line="220"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22"/>
          <w:szCs w:val="22"/>
          <w:b w:val="1"/>
          <w:bCs w:val="1"/>
          <w:color w:val="auto"/>
        </w:rPr>
        <w:t>S&amp;P Recovery Rating</w:t>
      </w:r>
      <w:r>
        <w:rPr>
          <w:sz w:val="20"/>
          <w:szCs w:val="20"/>
          <w:color w:val="auto"/>
        </w:rPr>
        <w:tab/>
      </w:r>
      <w:r>
        <w:rPr>
          <w:rFonts w:ascii="Times New Roman" w:cs="Times New Roman" w:eastAsia="Times New Roman" w:hAnsi="Times New Roman"/>
          <w:sz w:val="21"/>
          <w:szCs w:val="21"/>
          <w:b w:val="1"/>
          <w:bCs w:val="1"/>
          <w:color w:val="auto"/>
        </w:rPr>
        <w:t>Initial Liability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-150495</wp:posOffset>
            </wp:positionV>
            <wp:extent cx="7057390" cy="8077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057390" cy="80772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22"/>
          <w:szCs w:val="22"/>
          <w:b w:val="1"/>
          <w:bCs w:val="1"/>
          <w:color w:val="auto"/>
        </w:rPr>
        <w:t>of the Senior</w:t>
      </w:r>
    </w:p>
    <w:p>
      <w:pPr>
        <w:ind w:left="480"/>
        <w:spacing w:after="0" w:line="230" w:lineRule="auto"/>
        <w:rPr>
          <w:sz w:val="20"/>
          <w:szCs w:val="20"/>
          <w:color w:val="auto"/>
        </w:rPr>
      </w:pPr>
      <w:r>
        <w:rPr>
          <w:rFonts w:ascii="Times New Roman" w:cs="Times New Roman" w:eastAsia="Times New Roman" w:hAnsi="Times New Roman"/>
          <w:sz w:val="22"/>
          <w:szCs w:val="22"/>
          <w:b w:val="1"/>
          <w:bCs w:val="1"/>
          <w:color w:val="auto"/>
        </w:rPr>
        <w:t>Debt Instrument</w:t>
      </w:r>
    </w:p>
    <w:p>
      <w:pPr>
        <w:spacing w:after="0" w:line="1" w:lineRule="exact"/>
        <w:rPr>
          <w:sz w:val="20"/>
          <w:szCs w:val="20"/>
          <w:color w:val="auto"/>
        </w:rPr>
      </w:pPr>
    </w:p>
    <w:tbl>
      <w:tblPr>
        <w:tblLayout w:type="fixed"/>
        <w:tblInd w:w="90" w:type="dxa"/>
        <w:tblCellMar>
          <w:top w:w="0" w:type="dxa"/>
          <w:left w:w="0" w:type="dxa"/>
          <w:bottom w:w="0" w:type="dxa"/>
          <w:right w:w="0" w:type="dxa"/>
        </w:tblCellMar>
      </w:tblPr>
      <w:tr>
        <w:trPr>
          <w:trHeight w:val="240"/>
        </w:trPr>
        <w:tc>
          <w:tcPr>
            <w:tcW w:w="23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1320" w:type="dxa"/>
            <w:vAlign w:val="bottom"/>
            <w:tcBorders>
              <w:top w:val="single" w:sz="8" w:color="auto"/>
              <w:bottom w:val="single" w:sz="8" w:color="auto"/>
              <w:right w:val="single" w:sz="8" w:color="auto"/>
            </w:tcBorders>
          </w:tcPr>
          <w:p>
            <w:pPr>
              <w:ind w:left="60"/>
              <w:spacing w:after="0" w:line="240" w:lineRule="exact"/>
              <w:rPr>
                <w:sz w:val="20"/>
                <w:szCs w:val="20"/>
                <w:color w:val="auto"/>
              </w:rPr>
            </w:pPr>
            <w:r>
              <w:rPr>
                <w:rFonts w:ascii="Times New Roman" w:cs="Times New Roman" w:eastAsia="Times New Roman" w:hAnsi="Times New Roman"/>
                <w:sz w:val="22"/>
                <w:szCs w:val="22"/>
                <w:b w:val="1"/>
                <w:bCs w:val="1"/>
                <w:color w:val="auto"/>
              </w:rPr>
              <w:t>"AAA"</w:t>
            </w:r>
          </w:p>
        </w:tc>
        <w:tc>
          <w:tcPr>
            <w:tcW w:w="1300" w:type="dxa"/>
            <w:vAlign w:val="bottom"/>
            <w:tcBorders>
              <w:top w:val="single" w:sz="8" w:color="auto"/>
              <w:bottom w:val="single" w:sz="8" w:color="auto"/>
              <w:right w:val="single" w:sz="8" w:color="auto"/>
            </w:tcBorders>
          </w:tcPr>
          <w:p>
            <w:pPr>
              <w:ind w:left="60"/>
              <w:spacing w:after="0" w:line="240" w:lineRule="exact"/>
              <w:rPr>
                <w:sz w:val="20"/>
                <w:szCs w:val="20"/>
                <w:color w:val="auto"/>
              </w:rPr>
            </w:pPr>
            <w:r>
              <w:rPr>
                <w:rFonts w:ascii="Times New Roman" w:cs="Times New Roman" w:eastAsia="Times New Roman" w:hAnsi="Times New Roman"/>
                <w:sz w:val="22"/>
                <w:szCs w:val="22"/>
                <w:b w:val="1"/>
                <w:bCs w:val="1"/>
                <w:color w:val="auto"/>
              </w:rPr>
              <w:t>"AA"</w:t>
            </w:r>
          </w:p>
        </w:tc>
        <w:tc>
          <w:tcPr>
            <w:tcW w:w="1320" w:type="dxa"/>
            <w:vAlign w:val="bottom"/>
            <w:tcBorders>
              <w:top w:val="single" w:sz="8" w:color="auto"/>
              <w:bottom w:val="single" w:sz="8" w:color="auto"/>
              <w:right w:val="single" w:sz="8" w:color="auto"/>
            </w:tcBorders>
          </w:tcPr>
          <w:p>
            <w:pPr>
              <w:ind w:left="60"/>
              <w:spacing w:after="0" w:line="240" w:lineRule="exact"/>
              <w:rPr>
                <w:sz w:val="20"/>
                <w:szCs w:val="20"/>
                <w:color w:val="auto"/>
              </w:rPr>
            </w:pPr>
            <w:r>
              <w:rPr>
                <w:rFonts w:ascii="Times New Roman" w:cs="Times New Roman" w:eastAsia="Times New Roman" w:hAnsi="Times New Roman"/>
                <w:sz w:val="22"/>
                <w:szCs w:val="22"/>
                <w:b w:val="1"/>
                <w:bCs w:val="1"/>
                <w:color w:val="auto"/>
              </w:rPr>
              <w:t>"A"</w:t>
            </w:r>
          </w:p>
        </w:tc>
        <w:tc>
          <w:tcPr>
            <w:tcW w:w="1300" w:type="dxa"/>
            <w:vAlign w:val="bottom"/>
            <w:tcBorders>
              <w:top w:val="single" w:sz="8" w:color="auto"/>
              <w:bottom w:val="single" w:sz="8" w:color="auto"/>
              <w:right w:val="single" w:sz="8" w:color="auto"/>
            </w:tcBorders>
          </w:tcPr>
          <w:p>
            <w:pPr>
              <w:ind w:left="60"/>
              <w:spacing w:after="0" w:line="240" w:lineRule="exact"/>
              <w:rPr>
                <w:sz w:val="20"/>
                <w:szCs w:val="20"/>
                <w:color w:val="auto"/>
              </w:rPr>
            </w:pPr>
            <w:r>
              <w:rPr>
                <w:rFonts w:ascii="Times New Roman" w:cs="Times New Roman" w:eastAsia="Times New Roman" w:hAnsi="Times New Roman"/>
                <w:sz w:val="22"/>
                <w:szCs w:val="22"/>
                <w:b w:val="1"/>
                <w:bCs w:val="1"/>
                <w:color w:val="auto"/>
              </w:rPr>
              <w:t>"BBB"</w:t>
            </w:r>
          </w:p>
        </w:tc>
        <w:tc>
          <w:tcPr>
            <w:tcW w:w="1320" w:type="dxa"/>
            <w:vAlign w:val="bottom"/>
            <w:tcBorders>
              <w:top w:val="single" w:sz="8" w:color="auto"/>
              <w:bottom w:val="single" w:sz="8" w:color="auto"/>
              <w:right w:val="single" w:sz="8" w:color="auto"/>
            </w:tcBorders>
          </w:tcPr>
          <w:p>
            <w:pPr>
              <w:ind w:left="60"/>
              <w:spacing w:after="0" w:line="240" w:lineRule="exact"/>
              <w:rPr>
                <w:sz w:val="20"/>
                <w:szCs w:val="20"/>
                <w:color w:val="auto"/>
              </w:rPr>
            </w:pPr>
            <w:r>
              <w:rPr>
                <w:rFonts w:ascii="Times New Roman" w:cs="Times New Roman" w:eastAsia="Times New Roman" w:hAnsi="Times New Roman"/>
                <w:sz w:val="22"/>
                <w:szCs w:val="22"/>
                <w:b w:val="1"/>
                <w:bCs w:val="1"/>
                <w:color w:val="auto"/>
              </w:rPr>
              <w:t>"BB"</w:t>
            </w:r>
          </w:p>
        </w:tc>
        <w:tc>
          <w:tcPr>
            <w:tcW w:w="2240" w:type="dxa"/>
            <w:vAlign w:val="bottom"/>
            <w:tcBorders>
              <w:top w:val="single" w:sz="8" w:color="auto"/>
              <w:bottom w:val="single" w:sz="8" w:color="auto"/>
            </w:tcBorders>
          </w:tcPr>
          <w:p>
            <w:pPr>
              <w:ind w:left="60"/>
              <w:spacing w:after="0" w:line="240" w:lineRule="exact"/>
              <w:rPr>
                <w:sz w:val="20"/>
                <w:szCs w:val="20"/>
                <w:color w:val="auto"/>
              </w:rPr>
            </w:pPr>
            <w:r>
              <w:rPr>
                <w:rFonts w:ascii="Times New Roman" w:cs="Times New Roman" w:eastAsia="Times New Roman" w:hAnsi="Times New Roman"/>
                <w:sz w:val="22"/>
                <w:szCs w:val="22"/>
                <w:b w:val="1"/>
                <w:bCs w:val="1"/>
                <w:color w:val="auto"/>
              </w:rPr>
              <w:t>"B" and below</w:t>
            </w:r>
          </w:p>
        </w:tc>
      </w:tr>
      <w:tr>
        <w:trPr>
          <w:trHeight w:val="236"/>
        </w:trPr>
        <w:tc>
          <w:tcPr>
            <w:tcW w:w="2320" w:type="dxa"/>
            <w:vAlign w:val="bottom"/>
            <w:tcBorders>
              <w:left w:val="single" w:sz="8" w:color="auto"/>
              <w:bottom w:val="single" w:sz="8" w:color="auto"/>
              <w:right w:val="single" w:sz="8" w:color="auto"/>
            </w:tcBorders>
          </w:tcPr>
          <w:p>
            <w:pPr>
              <w:jc w:val="right"/>
              <w:ind w:right="1892"/>
              <w:spacing w:after="0" w:line="237" w:lineRule="exact"/>
              <w:rPr>
                <w:sz w:val="20"/>
                <w:szCs w:val="20"/>
                <w:color w:val="auto"/>
              </w:rPr>
            </w:pPr>
            <w:r>
              <w:rPr>
                <w:rFonts w:ascii="Times New Roman" w:cs="Times New Roman" w:eastAsia="Times New Roman" w:hAnsi="Times New Roman"/>
                <w:sz w:val="22"/>
                <w:szCs w:val="22"/>
                <w:color w:val="auto"/>
              </w:rPr>
              <w:t>1+</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224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r>
    </w:tbl>
    <w:p>
      <w:pPr>
        <w:spacing w:after="0" w:line="168"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8" w:name="page269"/>
    <w:bookmarkEnd w:id="268"/>
    <w:tbl>
      <w:tblPr>
        <w:tblLayout w:type="fixed"/>
        <w:tblInd w:w="90" w:type="dxa"/>
        <w:tblCellMar>
          <w:top w:w="0" w:type="dxa"/>
          <w:left w:w="0" w:type="dxa"/>
          <w:bottom w:w="0" w:type="dxa"/>
          <w:right w:w="0" w:type="dxa"/>
        </w:tblCellMar>
      </w:tblPr>
      <w:tr>
        <w:trPr>
          <w:trHeight w:val="276"/>
        </w:trPr>
        <w:tc>
          <w:tcPr>
            <w:tcW w:w="2320" w:type="dxa"/>
            <w:vAlign w:val="bottom"/>
            <w:tcBorders>
              <w:top w:val="single" w:sz="8" w:color="auto"/>
              <w:left w:val="single" w:sz="8" w:color="auto"/>
              <w:bottom w:val="single" w:sz="8" w:color="auto"/>
              <w:right w:val="single" w:sz="8" w:color="auto"/>
            </w:tcBorders>
          </w:tcPr>
          <w:p>
            <w:pPr>
              <w:jc w:val="right"/>
              <w:ind w:right="2012"/>
              <w:spacing w:after="0"/>
              <w:rPr>
                <w:sz w:val="20"/>
                <w:szCs w:val="20"/>
                <w:color w:val="auto"/>
              </w:rPr>
            </w:pPr>
            <w:r>
              <w:rPr>
                <w:rFonts w:ascii="Times New Roman" w:cs="Times New Roman" w:eastAsia="Times New Roman" w:hAnsi="Times New Roman"/>
                <w:sz w:val="22"/>
                <w:szCs w:val="22"/>
                <w:color w:val="auto"/>
              </w:rPr>
              <w:t>1</w:t>
            </w:r>
          </w:p>
        </w:tc>
        <w:tc>
          <w:tcPr>
            <w:tcW w:w="13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w:t>
            </w:r>
          </w:p>
        </w:tc>
        <w:tc>
          <w:tcPr>
            <w:tcW w:w="13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w:t>
            </w:r>
          </w:p>
        </w:tc>
        <w:tc>
          <w:tcPr>
            <w:tcW w:w="7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w:t>
            </w:r>
          </w:p>
        </w:tc>
        <w:tc>
          <w:tcPr>
            <w:tcW w:w="580" w:type="dxa"/>
            <w:vAlign w:val="bottom"/>
            <w:tcBorders>
              <w:top w:val="single" w:sz="8" w:color="auto"/>
              <w:bottom w:val="single" w:sz="8" w:color="auto"/>
              <w:right w:val="single" w:sz="8" w:color="auto"/>
            </w:tcBorders>
          </w:tcPr>
          <w:p>
            <w:pPr>
              <w:spacing w:after="0"/>
              <w:rPr>
                <w:sz w:val="24"/>
                <w:szCs w:val="24"/>
                <w:color w:val="auto"/>
              </w:rPr>
            </w:pPr>
          </w:p>
        </w:tc>
        <w:tc>
          <w:tcPr>
            <w:tcW w:w="13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w:t>
            </w:r>
          </w:p>
        </w:tc>
        <w:tc>
          <w:tcPr>
            <w:tcW w:w="13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w:t>
            </w:r>
          </w:p>
        </w:tc>
        <w:tc>
          <w:tcPr>
            <w:tcW w:w="22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w:t>
            </w:r>
          </w:p>
        </w:tc>
      </w:tr>
      <w:tr>
        <w:trPr>
          <w:trHeight w:val="220"/>
        </w:trPr>
        <w:tc>
          <w:tcPr>
            <w:tcW w:w="2320" w:type="dxa"/>
            <w:vAlign w:val="bottom"/>
            <w:tcBorders>
              <w:bottom w:val="single" w:sz="8" w:color="auto"/>
              <w:right w:val="single" w:sz="8" w:color="auto"/>
            </w:tcBorders>
          </w:tcPr>
          <w:p>
            <w:pPr>
              <w:jc w:val="right"/>
              <w:ind w:right="2012"/>
              <w:spacing w:after="0" w:line="220" w:lineRule="exact"/>
              <w:rPr>
                <w:sz w:val="20"/>
                <w:szCs w:val="20"/>
                <w:color w:val="auto"/>
              </w:rPr>
            </w:pPr>
            <w:r>
              <w:rPr>
                <w:rFonts w:ascii="Times New Roman" w:cs="Times New Roman" w:eastAsia="Times New Roman" w:hAnsi="Times New Roman"/>
                <w:sz w:val="22"/>
                <w:szCs w:val="22"/>
                <w:color w:val="auto"/>
              </w:rPr>
              <w:t>2</w:t>
            </w:r>
          </w:p>
        </w:tc>
        <w:tc>
          <w:tcPr>
            <w:tcW w:w="132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color w:val="auto"/>
              </w:rPr>
              <w:t>5%</w:t>
            </w:r>
          </w:p>
        </w:tc>
        <w:tc>
          <w:tcPr>
            <w:tcW w:w="130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color w:val="auto"/>
              </w:rPr>
              <w:t>5%</w:t>
            </w:r>
          </w:p>
        </w:tc>
        <w:tc>
          <w:tcPr>
            <w:tcW w:w="740" w:type="dxa"/>
            <w:vAlign w:val="bottom"/>
            <w:tcBorders>
              <w:bottom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color w:val="auto"/>
              </w:rPr>
              <w:t>5%</w:t>
            </w:r>
          </w:p>
        </w:tc>
        <w:tc>
          <w:tcPr>
            <w:tcW w:w="5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color w:val="auto"/>
              </w:rPr>
              <w:t>5%</w:t>
            </w:r>
          </w:p>
        </w:tc>
        <w:tc>
          <w:tcPr>
            <w:tcW w:w="132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color w:val="auto"/>
              </w:rPr>
              <w:t>5%</w:t>
            </w:r>
          </w:p>
        </w:tc>
        <w:tc>
          <w:tcPr>
            <w:tcW w:w="224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color w:val="auto"/>
              </w:rPr>
              <w:t>5%</w:t>
            </w:r>
          </w:p>
        </w:tc>
      </w:tr>
      <w:tr>
        <w:trPr>
          <w:trHeight w:val="236"/>
        </w:trPr>
        <w:tc>
          <w:tcPr>
            <w:tcW w:w="2320" w:type="dxa"/>
            <w:vAlign w:val="bottom"/>
            <w:tcBorders>
              <w:bottom w:val="single" w:sz="8" w:color="auto"/>
              <w:right w:val="single" w:sz="8" w:color="auto"/>
            </w:tcBorders>
          </w:tcPr>
          <w:p>
            <w:pPr>
              <w:jc w:val="right"/>
              <w:ind w:right="2012"/>
              <w:spacing w:after="0" w:line="237" w:lineRule="exact"/>
              <w:rPr>
                <w:sz w:val="20"/>
                <w:szCs w:val="20"/>
                <w:color w:val="auto"/>
              </w:rPr>
            </w:pPr>
            <w:r>
              <w:rPr>
                <w:rFonts w:ascii="Times New Roman" w:cs="Times New Roman" w:eastAsia="Times New Roman" w:hAnsi="Times New Roman"/>
                <w:sz w:val="22"/>
                <w:szCs w:val="22"/>
                <w:color w:val="auto"/>
              </w:rPr>
              <w:t>3</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74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5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132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c>
          <w:tcPr>
            <w:tcW w:w="224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w:t>
            </w:r>
          </w:p>
        </w:tc>
      </w:tr>
      <w:tr>
        <w:trPr>
          <w:trHeight w:val="250"/>
        </w:trPr>
        <w:tc>
          <w:tcPr>
            <w:tcW w:w="2320" w:type="dxa"/>
            <w:vAlign w:val="bottom"/>
            <w:tcBorders>
              <w:bottom w:val="single" w:sz="8" w:color="auto"/>
              <w:right w:val="single" w:sz="8" w:color="auto"/>
            </w:tcBorders>
          </w:tcPr>
          <w:p>
            <w:pPr>
              <w:jc w:val="right"/>
              <w:ind w:right="2012"/>
              <w:spacing w:after="0" w:line="250" w:lineRule="exact"/>
              <w:rPr>
                <w:sz w:val="20"/>
                <w:szCs w:val="20"/>
                <w:color w:val="auto"/>
              </w:rPr>
            </w:pPr>
            <w:r>
              <w:rPr>
                <w:rFonts w:ascii="Times New Roman" w:cs="Times New Roman" w:eastAsia="Times New Roman" w:hAnsi="Times New Roman"/>
                <w:sz w:val="22"/>
                <w:szCs w:val="22"/>
                <w:color w:val="auto"/>
              </w:rPr>
              <w:t>4</w:t>
            </w:r>
          </w:p>
        </w:tc>
        <w:tc>
          <w:tcPr>
            <w:tcW w:w="132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130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740" w:type="dxa"/>
            <w:vAlign w:val="bottom"/>
            <w:tcBorders>
              <w:bottom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132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224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r>
      <w:tr>
        <w:trPr>
          <w:trHeight w:val="250"/>
        </w:trPr>
        <w:tc>
          <w:tcPr>
            <w:tcW w:w="2320" w:type="dxa"/>
            <w:vAlign w:val="bottom"/>
            <w:tcBorders>
              <w:bottom w:val="single" w:sz="8" w:color="auto"/>
              <w:right w:val="single" w:sz="8" w:color="auto"/>
            </w:tcBorders>
          </w:tcPr>
          <w:p>
            <w:pPr>
              <w:jc w:val="right"/>
              <w:ind w:right="2012"/>
              <w:spacing w:after="0" w:line="250" w:lineRule="exact"/>
              <w:rPr>
                <w:sz w:val="20"/>
                <w:szCs w:val="20"/>
                <w:color w:val="auto"/>
              </w:rPr>
            </w:pPr>
            <w:r>
              <w:rPr>
                <w:rFonts w:ascii="Times New Roman" w:cs="Times New Roman" w:eastAsia="Times New Roman" w:hAnsi="Times New Roman"/>
                <w:sz w:val="22"/>
                <w:szCs w:val="22"/>
                <w:color w:val="auto"/>
              </w:rPr>
              <w:t>5</w:t>
            </w:r>
          </w:p>
        </w:tc>
        <w:tc>
          <w:tcPr>
            <w:tcW w:w="132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130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740" w:type="dxa"/>
            <w:vAlign w:val="bottom"/>
            <w:tcBorders>
              <w:bottom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132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224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r>
      <w:tr>
        <w:trPr>
          <w:trHeight w:val="250"/>
        </w:trPr>
        <w:tc>
          <w:tcPr>
            <w:tcW w:w="2320" w:type="dxa"/>
            <w:vAlign w:val="bottom"/>
            <w:tcBorders>
              <w:bottom w:val="single" w:sz="8" w:color="auto"/>
              <w:right w:val="single" w:sz="8" w:color="auto"/>
            </w:tcBorders>
          </w:tcPr>
          <w:p>
            <w:pPr>
              <w:jc w:val="right"/>
              <w:ind w:right="2012"/>
              <w:spacing w:after="0" w:line="250" w:lineRule="exact"/>
              <w:rPr>
                <w:sz w:val="20"/>
                <w:szCs w:val="20"/>
                <w:color w:val="auto"/>
              </w:rPr>
            </w:pPr>
            <w:r>
              <w:rPr>
                <w:rFonts w:ascii="Times New Roman" w:cs="Times New Roman" w:eastAsia="Times New Roman" w:hAnsi="Times New Roman"/>
                <w:sz w:val="22"/>
                <w:szCs w:val="22"/>
                <w:color w:val="auto"/>
              </w:rPr>
              <w:t>6</w:t>
            </w:r>
          </w:p>
        </w:tc>
        <w:tc>
          <w:tcPr>
            <w:tcW w:w="132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130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740" w:type="dxa"/>
            <w:vAlign w:val="bottom"/>
            <w:tcBorders>
              <w:bottom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132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c>
          <w:tcPr>
            <w:tcW w:w="2240" w:type="dxa"/>
            <w:vAlign w:val="bottom"/>
            <w:tcBorders>
              <w:bottom w:val="single" w:sz="8" w:color="auto"/>
              <w:right w:val="single" w:sz="8" w:color="auto"/>
            </w:tcBorders>
          </w:tcPr>
          <w:p>
            <w:pPr>
              <w:ind w:left="60"/>
              <w:spacing w:after="0" w:line="25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tc>
      </w:tr>
      <w:tr>
        <w:trPr>
          <w:trHeight w:val="237"/>
        </w:trPr>
        <w:tc>
          <w:tcPr>
            <w:tcW w:w="23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ind w:left="380"/>
              <w:spacing w:after="0" w:line="237" w:lineRule="exact"/>
              <w:rPr>
                <w:sz w:val="20"/>
                <w:szCs w:val="20"/>
                <w:color w:val="auto"/>
              </w:rPr>
            </w:pPr>
            <w:r>
              <w:rPr>
                <w:rFonts w:ascii="Times New Roman" w:cs="Times New Roman" w:eastAsia="Times New Roman" w:hAnsi="Times New Roman"/>
                <w:sz w:val="22"/>
                <w:szCs w:val="22"/>
                <w:b w:val="1"/>
                <w:bCs w:val="1"/>
                <w:color w:val="auto"/>
              </w:rPr>
              <w:t>Recovery rate</w:t>
            </w:r>
          </w:p>
        </w:tc>
        <w:tc>
          <w:tcPr>
            <w:tcW w:w="13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bl>
    <w:p>
      <w:pPr>
        <w:spacing w:after="0" w:line="189" w:lineRule="exact"/>
        <w:rPr>
          <w:sz w:val="20"/>
          <w:szCs w:val="20"/>
          <w:color w:val="auto"/>
        </w:rPr>
      </w:pPr>
    </w:p>
    <w:p>
      <w:pPr>
        <w:ind w:left="760" w:right="20" w:firstLine="745"/>
        <w:spacing w:after="0" w:line="258" w:lineRule="auto"/>
        <w:tabs>
          <w:tab w:leader="none" w:pos="1941"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recovery rate cannot be determined using clause (a), the recovery rate shall be determined using the following table.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Recovery rates for Obligors Domiciled in Group A, B or C:</w:t>
      </w:r>
    </w:p>
    <w:p>
      <w:pPr>
        <w:spacing w:after="0" w:line="214" w:lineRule="exact"/>
        <w:rPr>
          <w:sz w:val="20"/>
          <w:szCs w:val="20"/>
          <w:color w:val="auto"/>
        </w:rPr>
      </w:pPr>
    </w:p>
    <w:tbl>
      <w:tblPr>
        <w:tblLayout w:type="fixed"/>
        <w:tblInd w:w="90" w:type="dxa"/>
        <w:tblCellMar>
          <w:top w:w="0" w:type="dxa"/>
          <w:left w:w="0" w:type="dxa"/>
          <w:bottom w:w="0" w:type="dxa"/>
          <w:right w:w="0" w:type="dxa"/>
        </w:tblCellMar>
      </w:tblPr>
      <w:tr>
        <w:trPr>
          <w:trHeight w:val="277"/>
        </w:trPr>
        <w:tc>
          <w:tcPr>
            <w:tcW w:w="2820" w:type="dxa"/>
            <w:vAlign w:val="bottom"/>
            <w:tcBorders>
              <w:top w:val="single" w:sz="8" w:color="auto"/>
              <w:left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Priority Category</w:t>
            </w:r>
          </w:p>
        </w:tc>
        <w:tc>
          <w:tcPr>
            <w:tcW w:w="2740" w:type="dxa"/>
            <w:vAlign w:val="bottom"/>
            <w:tcBorders>
              <w:top w:val="single" w:sz="8" w:color="auto"/>
              <w:bottom w:val="single" w:sz="8" w:color="auto"/>
              <w:right w:val="single" w:sz="8" w:color="D9D9D9"/>
            </w:tcBorders>
            <w:gridSpan w:val="2"/>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Initial Liability Rating</w:t>
            </w:r>
          </w:p>
        </w:tc>
        <w:tc>
          <w:tcPr>
            <w:tcW w:w="600" w:type="dxa"/>
            <w:vAlign w:val="bottom"/>
            <w:tcBorders>
              <w:top w:val="single" w:sz="8" w:color="auto"/>
              <w:bottom w:val="single" w:sz="8" w:color="auto"/>
            </w:tcBorders>
            <w:shd w:val="clear" w:color="auto" w:fill="D9D9D9"/>
          </w:tcPr>
          <w:p>
            <w:pPr>
              <w:spacing w:after="0"/>
              <w:rPr>
                <w:sz w:val="24"/>
                <w:szCs w:val="24"/>
                <w:color w:val="auto"/>
              </w:rPr>
            </w:pPr>
          </w:p>
        </w:tc>
        <w:tc>
          <w:tcPr>
            <w:tcW w:w="800" w:type="dxa"/>
            <w:vAlign w:val="bottom"/>
            <w:tcBorders>
              <w:top w:val="single" w:sz="8" w:color="auto"/>
              <w:bottom w:val="single" w:sz="8" w:color="auto"/>
              <w:right w:val="single" w:sz="8" w:color="D9D9D9"/>
            </w:tcBorders>
            <w:shd w:val="clear" w:color="auto" w:fill="D9D9D9"/>
          </w:tcPr>
          <w:p>
            <w:pPr>
              <w:spacing w:after="0"/>
              <w:rPr>
                <w:sz w:val="24"/>
                <w:szCs w:val="24"/>
                <w:color w:val="auto"/>
              </w:rPr>
            </w:pPr>
          </w:p>
        </w:tc>
        <w:tc>
          <w:tcPr>
            <w:tcW w:w="1380" w:type="dxa"/>
            <w:vAlign w:val="bottom"/>
            <w:tcBorders>
              <w:top w:val="single" w:sz="8" w:color="auto"/>
              <w:bottom w:val="single" w:sz="8" w:color="auto"/>
              <w:right w:val="single" w:sz="8" w:color="D9D9D9"/>
            </w:tcBorders>
            <w:shd w:val="clear" w:color="auto" w:fill="D9D9D9"/>
          </w:tcPr>
          <w:p>
            <w:pPr>
              <w:spacing w:after="0"/>
              <w:rPr>
                <w:sz w:val="24"/>
                <w:szCs w:val="24"/>
                <w:color w:val="auto"/>
              </w:rPr>
            </w:pPr>
          </w:p>
        </w:tc>
        <w:tc>
          <w:tcPr>
            <w:tcW w:w="1400" w:type="dxa"/>
            <w:vAlign w:val="bottom"/>
            <w:tcBorders>
              <w:top w:val="single" w:sz="8" w:color="auto"/>
              <w:bottom w:val="single" w:sz="8" w:color="auto"/>
              <w:right w:val="single" w:sz="8" w:color="D9D9D9"/>
            </w:tcBorders>
            <w:shd w:val="clear" w:color="auto" w:fill="D9D9D9"/>
          </w:tcPr>
          <w:p>
            <w:pPr>
              <w:spacing w:after="0"/>
              <w:rPr>
                <w:sz w:val="24"/>
                <w:szCs w:val="24"/>
                <w:color w:val="auto"/>
              </w:rPr>
            </w:pPr>
          </w:p>
        </w:tc>
        <w:tc>
          <w:tcPr>
            <w:tcW w:w="1380" w:type="dxa"/>
            <w:vAlign w:val="bottom"/>
            <w:tcBorders>
              <w:top w:val="single" w:sz="8" w:color="auto"/>
              <w:bottom w:val="single" w:sz="8" w:color="auto"/>
              <w:right w:val="single" w:sz="8" w:color="auto"/>
            </w:tcBorders>
            <w:shd w:val="clear" w:color="auto" w:fill="D9D9D9"/>
          </w:tcPr>
          <w:p>
            <w:pPr>
              <w:spacing w:after="0"/>
              <w:rPr>
                <w:sz w:val="24"/>
                <w:szCs w:val="24"/>
                <w:color w:val="auto"/>
              </w:rPr>
            </w:pPr>
          </w:p>
        </w:tc>
      </w:tr>
      <w:tr>
        <w:trPr>
          <w:trHeight w:val="404"/>
        </w:trPr>
        <w:tc>
          <w:tcPr>
            <w:tcW w:w="2820" w:type="dxa"/>
            <w:vAlign w:val="bottom"/>
            <w:tcBorders>
              <w:left w:val="single" w:sz="8" w:color="auto"/>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"B" and</w:t>
            </w:r>
          </w:p>
        </w:tc>
      </w:tr>
      <w:tr>
        <w:trPr>
          <w:trHeight w:val="274"/>
        </w:trPr>
        <w:tc>
          <w:tcPr>
            <w:tcW w:w="2820" w:type="dxa"/>
            <w:vAlign w:val="bottom"/>
            <w:tcBorders>
              <w:left w:val="single" w:sz="8" w:color="auto"/>
              <w:bottom w:val="single" w:sz="8" w:color="auto"/>
              <w:right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"AAA"</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"AA"</w:t>
            </w: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"A"</w:t>
            </w:r>
          </w:p>
        </w:tc>
        <w:tc>
          <w:tcPr>
            <w:tcW w:w="80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"BBB"</w:t>
            </w:r>
          </w:p>
        </w:tc>
        <w:tc>
          <w:tcPr>
            <w:tcW w:w="14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"BB"</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"CCC"</w:t>
            </w:r>
          </w:p>
        </w:tc>
      </w:tr>
      <w:tr>
        <w:trPr>
          <w:trHeight w:val="237"/>
        </w:trPr>
        <w:tc>
          <w:tcPr>
            <w:tcW w:w="2820" w:type="dxa"/>
            <w:vAlign w:val="bottom"/>
            <w:tcBorders>
              <w:left w:val="single" w:sz="8" w:color="auto"/>
              <w:bottom w:val="single" w:sz="8" w:color="auto"/>
            </w:tcBorders>
          </w:tcPr>
          <w:p>
            <w:pPr>
              <w:ind w:left="80"/>
              <w:spacing w:after="0" w:line="236" w:lineRule="exact"/>
              <w:rPr>
                <w:sz w:val="20"/>
                <w:szCs w:val="20"/>
                <w:color w:val="auto"/>
              </w:rPr>
            </w:pPr>
            <w:r>
              <w:rPr>
                <w:rFonts w:ascii="Times New Roman" w:cs="Times New Roman" w:eastAsia="Times New Roman" w:hAnsi="Times New Roman"/>
                <w:sz w:val="21"/>
                <w:szCs w:val="21"/>
                <w:color w:val="auto"/>
              </w:rPr>
              <w:t>Senior Secured Loans</w:t>
            </w:r>
            <w:r>
              <w:rPr>
                <w:rFonts w:ascii="Times New Roman" w:cs="Times New Roman" w:eastAsia="Times New Roman" w:hAnsi="Times New Roman"/>
                <w:sz w:val="27"/>
                <w:szCs w:val="27"/>
                <w:color w:val="auto"/>
                <w:vertAlign w:val="superscript"/>
              </w:rPr>
              <w:t>4</w:t>
            </w:r>
          </w:p>
        </w:tc>
        <w:tc>
          <w:tcPr>
            <w:tcW w:w="1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r>
      <w:tr>
        <w:trPr>
          <w:trHeight w:val="236"/>
        </w:trPr>
        <w:tc>
          <w:tcPr>
            <w:tcW w:w="28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Group A</w:t>
            </w:r>
          </w:p>
        </w:tc>
        <w:tc>
          <w:tcPr>
            <w:tcW w:w="13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50%</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55%</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59%</w:t>
            </w:r>
          </w:p>
        </w:tc>
        <w:tc>
          <w:tcPr>
            <w:tcW w:w="8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63%</w:t>
            </w:r>
          </w:p>
        </w:tc>
        <w:tc>
          <w:tcPr>
            <w:tcW w:w="14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75%</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79%</w:t>
            </w:r>
          </w:p>
        </w:tc>
      </w:tr>
      <w:tr>
        <w:trPr>
          <w:trHeight w:val="237"/>
        </w:trPr>
        <w:tc>
          <w:tcPr>
            <w:tcW w:w="28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Group B</w:t>
            </w:r>
          </w:p>
        </w:tc>
        <w:tc>
          <w:tcPr>
            <w:tcW w:w="13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39%</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42%</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46%</w:t>
            </w:r>
          </w:p>
        </w:tc>
        <w:tc>
          <w:tcPr>
            <w:tcW w:w="8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49%</w:t>
            </w:r>
          </w:p>
        </w:tc>
        <w:tc>
          <w:tcPr>
            <w:tcW w:w="14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60%</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63%</w:t>
            </w:r>
          </w:p>
        </w:tc>
      </w:tr>
      <w:tr>
        <w:trPr>
          <w:trHeight w:val="237"/>
        </w:trPr>
        <w:tc>
          <w:tcPr>
            <w:tcW w:w="28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Group C</w:t>
            </w:r>
          </w:p>
        </w:tc>
        <w:tc>
          <w:tcPr>
            <w:tcW w:w="13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17%</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19%</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27%</w:t>
            </w:r>
          </w:p>
        </w:tc>
        <w:tc>
          <w:tcPr>
            <w:tcW w:w="8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29%</w:t>
            </w:r>
          </w:p>
        </w:tc>
        <w:tc>
          <w:tcPr>
            <w:tcW w:w="14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31%</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34%</w:t>
            </w:r>
          </w:p>
        </w:tc>
      </w:tr>
      <w:tr>
        <w:trPr>
          <w:trHeight w:val="250"/>
        </w:trPr>
        <w:tc>
          <w:tcPr>
            <w:tcW w:w="418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Times New Roman" w:cs="Times New Roman" w:eastAsia="Times New Roman" w:hAnsi="Times New Roman"/>
                <w:sz w:val="22"/>
                <w:szCs w:val="22"/>
                <w:color w:val="auto"/>
              </w:rPr>
              <w:t>Senior Secured Loans (Cov</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Lite Loans)</w:t>
            </w:r>
          </w:p>
        </w:tc>
        <w:tc>
          <w:tcPr>
            <w:tcW w:w="13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r>
      <w:tr>
        <w:trPr>
          <w:trHeight w:val="236"/>
        </w:trPr>
        <w:tc>
          <w:tcPr>
            <w:tcW w:w="28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Group A</w:t>
            </w:r>
          </w:p>
        </w:tc>
        <w:tc>
          <w:tcPr>
            <w:tcW w:w="13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41%</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46%</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49%</w:t>
            </w:r>
          </w:p>
        </w:tc>
        <w:tc>
          <w:tcPr>
            <w:tcW w:w="8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53%</w:t>
            </w:r>
          </w:p>
        </w:tc>
        <w:tc>
          <w:tcPr>
            <w:tcW w:w="14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63%</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67%</w:t>
            </w:r>
          </w:p>
        </w:tc>
      </w:tr>
      <w:tr>
        <w:trPr>
          <w:trHeight w:val="237"/>
        </w:trPr>
        <w:tc>
          <w:tcPr>
            <w:tcW w:w="28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Group B</w:t>
            </w:r>
          </w:p>
        </w:tc>
        <w:tc>
          <w:tcPr>
            <w:tcW w:w="13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32%</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35%</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39%</w:t>
            </w:r>
          </w:p>
        </w:tc>
        <w:tc>
          <w:tcPr>
            <w:tcW w:w="8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41%</w:t>
            </w:r>
          </w:p>
        </w:tc>
        <w:tc>
          <w:tcPr>
            <w:tcW w:w="14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50%</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53%</w:t>
            </w:r>
          </w:p>
        </w:tc>
      </w:tr>
      <w:tr>
        <w:trPr>
          <w:trHeight w:val="236"/>
        </w:trPr>
        <w:tc>
          <w:tcPr>
            <w:tcW w:w="28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Group C</w:t>
            </w:r>
          </w:p>
        </w:tc>
        <w:tc>
          <w:tcPr>
            <w:tcW w:w="13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17%</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19%</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27%</w:t>
            </w:r>
          </w:p>
        </w:tc>
        <w:tc>
          <w:tcPr>
            <w:tcW w:w="8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29%</w:t>
            </w:r>
          </w:p>
        </w:tc>
        <w:tc>
          <w:tcPr>
            <w:tcW w:w="14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31%</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34%</w:t>
            </w:r>
          </w:p>
        </w:tc>
      </w:tr>
      <w:tr>
        <w:trPr>
          <w:trHeight w:val="250"/>
        </w:trPr>
        <w:tc>
          <w:tcPr>
            <w:tcW w:w="8340" w:type="dxa"/>
            <w:vAlign w:val="bottom"/>
            <w:tcBorders>
              <w:left w:val="single" w:sz="8" w:color="auto"/>
              <w:bottom w:val="single" w:sz="8" w:color="auto"/>
            </w:tcBorders>
            <w:gridSpan w:val="6"/>
          </w:tcPr>
          <w:p>
            <w:pPr>
              <w:ind w:left="80"/>
              <w:spacing w:after="0" w:line="250" w:lineRule="exact"/>
              <w:rPr>
                <w:sz w:val="20"/>
                <w:szCs w:val="20"/>
                <w:color w:val="auto"/>
              </w:rPr>
            </w:pPr>
            <w:r>
              <w:rPr>
                <w:rFonts w:ascii="Times New Roman" w:cs="Times New Roman" w:eastAsia="Times New Roman" w:hAnsi="Times New Roman"/>
                <w:sz w:val="22"/>
                <w:szCs w:val="22"/>
                <w:color w:val="auto"/>
              </w:rPr>
              <w:t>Second Lien Loans, First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Lien Last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Out Loans, Unsecured Loans, Senior Secured Notes</w:t>
            </w:r>
            <w:r>
              <w:rPr>
                <w:rFonts w:ascii="Times New Roman" w:cs="Times New Roman" w:eastAsia="Times New Roman" w:hAnsi="Times New Roman"/>
                <w:sz w:val="28"/>
                <w:szCs w:val="28"/>
                <w:color w:val="auto"/>
                <w:vertAlign w:val="superscript"/>
              </w:rPr>
              <w:t>5</w:t>
            </w:r>
          </w:p>
        </w:tc>
        <w:tc>
          <w:tcPr>
            <w:tcW w:w="140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r>
      <w:tr>
        <w:trPr>
          <w:trHeight w:val="237"/>
        </w:trPr>
        <w:tc>
          <w:tcPr>
            <w:tcW w:w="28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Group A</w:t>
            </w:r>
          </w:p>
        </w:tc>
        <w:tc>
          <w:tcPr>
            <w:tcW w:w="13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20%</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23%</w:t>
            </w:r>
          </w:p>
        </w:tc>
        <w:tc>
          <w:tcPr>
            <w:tcW w:w="8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26%</w:t>
            </w:r>
          </w:p>
        </w:tc>
        <w:tc>
          <w:tcPr>
            <w:tcW w:w="14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29%</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31%</w:t>
            </w:r>
          </w:p>
        </w:tc>
      </w:tr>
      <w:tr>
        <w:trPr>
          <w:trHeight w:val="236"/>
        </w:trPr>
        <w:tc>
          <w:tcPr>
            <w:tcW w:w="28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Group B</w:t>
            </w:r>
          </w:p>
        </w:tc>
        <w:tc>
          <w:tcPr>
            <w:tcW w:w="13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13%</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16%</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8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21%</w:t>
            </w:r>
          </w:p>
        </w:tc>
        <w:tc>
          <w:tcPr>
            <w:tcW w:w="14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23%</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25%</w:t>
            </w:r>
          </w:p>
        </w:tc>
      </w:tr>
      <w:tr>
        <w:trPr>
          <w:trHeight w:val="237"/>
        </w:trPr>
        <w:tc>
          <w:tcPr>
            <w:tcW w:w="28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Group C</w:t>
            </w:r>
          </w:p>
        </w:tc>
        <w:tc>
          <w:tcPr>
            <w:tcW w:w="13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10%</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12%</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14%</w:t>
            </w:r>
          </w:p>
        </w:tc>
        <w:tc>
          <w:tcPr>
            <w:tcW w:w="8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16%</w:t>
            </w:r>
          </w:p>
        </w:tc>
        <w:tc>
          <w:tcPr>
            <w:tcW w:w="14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20%</w:t>
            </w:r>
          </w:p>
        </w:tc>
      </w:tr>
      <w:tr>
        <w:trPr>
          <w:trHeight w:val="237"/>
        </w:trPr>
        <w:tc>
          <w:tcPr>
            <w:tcW w:w="2820" w:type="dxa"/>
            <w:vAlign w:val="bottom"/>
            <w:tcBorders>
              <w:left w:val="single" w:sz="8" w:color="auto"/>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Subordinated loans</w:t>
            </w:r>
          </w:p>
        </w:tc>
        <w:tc>
          <w:tcPr>
            <w:tcW w:w="1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r>
      <w:tr>
        <w:trPr>
          <w:trHeight w:val="236"/>
        </w:trPr>
        <w:tc>
          <w:tcPr>
            <w:tcW w:w="28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Group A</w:t>
            </w:r>
          </w:p>
        </w:tc>
        <w:tc>
          <w:tcPr>
            <w:tcW w:w="13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8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14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r>
      <w:tr>
        <w:trPr>
          <w:trHeight w:val="237"/>
        </w:trPr>
        <w:tc>
          <w:tcPr>
            <w:tcW w:w="28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Group B</w:t>
            </w:r>
          </w:p>
        </w:tc>
        <w:tc>
          <w:tcPr>
            <w:tcW w:w="13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8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14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8%</w:t>
            </w:r>
          </w:p>
        </w:tc>
      </w:tr>
      <w:tr>
        <w:trPr>
          <w:trHeight w:val="236"/>
        </w:trPr>
        <w:tc>
          <w:tcPr>
            <w:tcW w:w="282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Group C</w:t>
            </w:r>
          </w:p>
        </w:tc>
        <w:tc>
          <w:tcPr>
            <w:tcW w:w="13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60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8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140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c>
          <w:tcPr>
            <w:tcW w:w="138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w:t>
            </w:r>
          </w:p>
        </w:tc>
      </w:tr>
      <w:tr>
        <w:trPr>
          <w:trHeight w:val="237"/>
        </w:trPr>
        <w:tc>
          <w:tcPr>
            <w:tcW w:w="2820" w:type="dxa"/>
            <w:vAlign w:val="bottom"/>
            <w:tcBorders>
              <w:left w:val="single" w:sz="8" w:color="auto"/>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ind w:left="160"/>
              <w:spacing w:after="0" w:line="237" w:lineRule="exact"/>
              <w:rPr>
                <w:sz w:val="20"/>
                <w:szCs w:val="20"/>
                <w:color w:val="auto"/>
              </w:rPr>
            </w:pPr>
            <w:r>
              <w:rPr>
                <w:rFonts w:ascii="Times New Roman" w:cs="Times New Roman" w:eastAsia="Times New Roman" w:hAnsi="Times New Roman"/>
                <w:sz w:val="22"/>
                <w:szCs w:val="22"/>
                <w:b w:val="1"/>
                <w:bCs w:val="1"/>
                <w:color w:val="auto"/>
              </w:rPr>
              <w:t>Recovery rate</w:t>
            </w:r>
          </w:p>
        </w:tc>
        <w:tc>
          <w:tcPr>
            <w:tcW w:w="140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1688465" cy="508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firstLine="8"/>
        <w:spacing w:after="0" w:line="216" w:lineRule="auto"/>
        <w:tabs>
          <w:tab w:leader="none" w:pos="128" w:val="left"/>
        </w:tabs>
        <w:numPr>
          <w:ilvl w:val="0"/>
          <w:numId w:val="3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0"/>
          <w:szCs w:val="20"/>
          <w:color w:val="auto"/>
        </w:rPr>
        <w:t>For purposes of determining the S&amp;P Recovery Rate, a Senior Secured Note shall be deemed to be a Senior Secured Loan if such Senior Secured Note, if it were a loan, would satisfy the definition of Senior Secured Loan.</w:t>
      </w:r>
    </w:p>
    <w:p>
      <w:pPr>
        <w:spacing w:after="0" w:line="94" w:lineRule="exact"/>
        <w:rPr>
          <w:sz w:val="20"/>
          <w:szCs w:val="20"/>
          <w:color w:val="auto"/>
        </w:rPr>
      </w:pPr>
    </w:p>
    <w:p>
      <w:pPr>
        <w:jc w:val="both"/>
        <w:ind w:firstLine="8"/>
        <w:spacing w:after="0" w:line="244" w:lineRule="exact"/>
        <w:tabs>
          <w:tab w:leader="none" w:pos="140" w:val="left"/>
        </w:tabs>
        <w:numPr>
          <w:ilvl w:val="0"/>
          <w:numId w:val="3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0"/>
          <w:szCs w:val="20"/>
          <w:color w:val="auto"/>
        </w:rPr>
        <w:t>Solely for the purpose of determining the S&amp;P Recovery Rate for such loan, the Aggregate Principal Balance of all Unsecured Loans, First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Lien Last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Out Loans and Second Lien Loans that, in the aggregate, represent up to 15% of the Collateral Principal Amount shall have the S&amp;P Recovery Rate specified for Unsecured Loans, First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Lien Last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Out Loans and Second Lien Loans in the table above and the Aggregate Principal Balance of all Unsecured Loans, First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Lien Last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Out Loans and Second Lien Loans in excess of 15% of the Collateral Principal Amount shall have the S&amp;P Recovery Rate specified for subordinated loans in the table above</w:t>
      </w:r>
    </w:p>
    <w:p>
      <w:pPr>
        <w:spacing w:after="0" w:line="163"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69" w:name="page270"/>
    <w:bookmarkEnd w:id="269"/>
    <w:p>
      <w:pPr>
        <w:ind w:left="1280" w:right="140" w:hanging="1104"/>
        <w:spacing w:after="0" w:line="239" w:lineRule="auto"/>
        <w:rPr>
          <w:sz w:val="20"/>
          <w:szCs w:val="20"/>
          <w:color w:val="auto"/>
        </w:rPr>
      </w:pPr>
      <w:r>
        <w:rPr>
          <w:rFonts w:ascii="Times New Roman" w:cs="Times New Roman" w:eastAsia="Times New Roman" w:hAnsi="Times New Roman"/>
          <w:sz w:val="22"/>
          <w:szCs w:val="22"/>
          <w:i w:val="1"/>
          <w:iCs w:val="1"/>
          <w:color w:val="auto"/>
        </w:rPr>
        <w:t>Group A: Australia, Austria, Belgium, Canada, Denmark, Finland, France, Germany, Hong Kong, Ireland, Israel, Italy, Japan, Luxembourg, Netherlands, New Zealand, Norway, Portugal, Singapore, Spain, Sweden, Switzerland, U.K. and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-469900</wp:posOffset>
            </wp:positionV>
            <wp:extent cx="7059295" cy="9467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059295" cy="946785"/>
                    </a:xfrm>
                    <a:prstGeom prst="rect">
                      <a:avLst/>
                    </a:prstGeom>
                    <a:noFill/>
                  </pic:spPr>
                </pic:pic>
              </a:graphicData>
            </a:graphic>
          </wp:anchor>
        </w:drawing>
      </w:r>
    </w:p>
    <w:p>
      <w:pPr>
        <w:ind w:left="160"/>
        <w:spacing w:after="0" w:line="231" w:lineRule="auto"/>
        <w:rPr>
          <w:sz w:val="20"/>
          <w:szCs w:val="20"/>
          <w:color w:val="auto"/>
        </w:rPr>
      </w:pPr>
      <w:r>
        <w:rPr>
          <w:rFonts w:ascii="Times New Roman" w:cs="Times New Roman" w:eastAsia="Times New Roman" w:hAnsi="Times New Roman"/>
          <w:sz w:val="22"/>
          <w:szCs w:val="22"/>
          <w:i w:val="1"/>
          <w:iCs w:val="1"/>
          <w:color w:val="auto"/>
        </w:rPr>
        <w:t>Group B: Brazil, Czech Republic, Mexico, Poland and South Africa</w:t>
      </w:r>
    </w:p>
    <w:p>
      <w:pPr>
        <w:spacing w:after="0" w:line="1" w:lineRule="exact"/>
        <w:rPr>
          <w:sz w:val="20"/>
          <w:szCs w:val="20"/>
          <w:color w:val="auto"/>
        </w:rPr>
      </w:pPr>
    </w:p>
    <w:p>
      <w:pPr>
        <w:ind w:left="1280" w:right="640" w:hanging="1104"/>
        <w:spacing w:after="0" w:line="237" w:lineRule="auto"/>
        <w:rPr>
          <w:sz w:val="20"/>
          <w:szCs w:val="20"/>
          <w:color w:val="auto"/>
        </w:rPr>
      </w:pPr>
      <w:r>
        <w:rPr>
          <w:rFonts w:ascii="Times New Roman" w:cs="Times New Roman" w:eastAsia="Times New Roman" w:hAnsi="Times New Roman"/>
          <w:sz w:val="22"/>
          <w:szCs w:val="22"/>
          <w:i w:val="1"/>
          <w:iCs w:val="1"/>
          <w:color w:val="auto"/>
        </w:rPr>
        <w:t>Group C: Dubai International Finance Center, Greece, Kazakhstan, Russian Federation, Turkey, Ukraine, United Arab Emirates, Vietnam and others not included in Group A or Group B</w:t>
      </w:r>
    </w:p>
    <w:p>
      <w:pPr>
        <w:spacing w:after="0" w:line="200" w:lineRule="exact"/>
        <w:rPr>
          <w:sz w:val="20"/>
          <w:szCs w:val="20"/>
          <w:color w:val="auto"/>
        </w:rPr>
      </w:pPr>
    </w:p>
    <w:p>
      <w:pPr>
        <w:spacing w:after="0" w:line="20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Notwithstanding the foregoing, for purposes of determining the S&amp;P Recovery Rate of a Collateral Obligation that is a Senior Secured Loan or a Senior Secured Note secured solely or primarily by common stock or other equity interests, such Collateral Obligation shall be deemed to be an Unsecured Loan.</w:t>
      </w:r>
    </w:p>
    <w:p>
      <w:pPr>
        <w:spacing w:after="0" w:line="152"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70" w:name="page271"/>
    <w:bookmarkEnd w:id="270"/>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Section 2.</w:t>
            </w:r>
          </w:p>
        </w:tc>
        <w:tc>
          <w:tcPr>
            <w:tcW w:w="3200" w:type="dxa"/>
            <w:vAlign w:val="bottom"/>
            <w:gridSpan w:val="4"/>
          </w:tcPr>
          <w:p>
            <w:pPr>
              <w:jc w:val="right"/>
              <w:ind w:right="1092"/>
              <w:spacing w:after="0"/>
              <w:rPr>
                <w:sz w:val="20"/>
                <w:szCs w:val="20"/>
                <w:color w:val="auto"/>
              </w:rPr>
            </w:pPr>
            <w:r>
              <w:rPr>
                <w:rFonts w:ascii="Times New Roman" w:cs="Times New Roman" w:eastAsia="Times New Roman" w:hAnsi="Times New Roman"/>
                <w:sz w:val="22"/>
                <w:szCs w:val="22"/>
                <w:b w:val="1"/>
                <w:bCs w:val="1"/>
                <w:color w:val="auto"/>
              </w:rPr>
              <w:t>S&amp;P CDO Monitor</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697"/>
        </w:trPr>
        <w:tc>
          <w:tcPr>
            <w:tcW w:w="220" w:type="dxa"/>
            <w:vAlign w:val="bottom"/>
          </w:tcPr>
          <w:p>
            <w:pPr>
              <w:spacing w:after="0"/>
              <w:rPr>
                <w:sz w:val="24"/>
                <w:szCs w:val="24"/>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Liability Rating</w:t>
            </w:r>
          </w:p>
        </w:tc>
        <w:tc>
          <w:tcPr>
            <w:tcW w:w="180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b w:val="1"/>
                <w:bCs w:val="1"/>
                <w:color w:val="auto"/>
              </w:rPr>
              <w:t>"AAA"</w:t>
            </w: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"AA"</w:t>
            </w: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"A"</w:t>
            </w:r>
          </w:p>
        </w:tc>
        <w:tc>
          <w:tcPr>
            <w:tcW w:w="1940" w:type="dxa"/>
            <w:vAlign w:val="bottom"/>
            <w:gridSpan w:val="2"/>
          </w:tcPr>
          <w:p>
            <w:pPr>
              <w:ind w:left="200"/>
              <w:spacing w:after="0" w:line="253" w:lineRule="exact"/>
              <w:rPr>
                <w:sz w:val="20"/>
                <w:szCs w:val="20"/>
                <w:color w:val="auto"/>
              </w:rPr>
            </w:pPr>
            <w:r>
              <w:rPr>
                <w:rFonts w:ascii="Times New Roman" w:cs="Times New Roman" w:eastAsia="Times New Roman" w:hAnsi="Times New Roman"/>
                <w:sz w:val="22"/>
                <w:szCs w:val="22"/>
                <w:b w:val="1"/>
                <w:bCs w:val="1"/>
                <w:color w:val="auto"/>
              </w:rPr>
              <w:t>"BBB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w:t>
            </w:r>
          </w:p>
        </w:tc>
        <w:tc>
          <w:tcPr>
            <w:tcW w:w="1900" w:type="dxa"/>
            <w:vAlign w:val="bottom"/>
          </w:tcPr>
          <w:p>
            <w:pPr>
              <w:spacing w:after="0"/>
              <w:rPr>
                <w:sz w:val="24"/>
                <w:szCs w:val="24"/>
                <w:color w:val="auto"/>
              </w:rPr>
            </w:pPr>
          </w:p>
        </w:tc>
      </w:tr>
      <w:tr>
        <w:trPr>
          <w:trHeight w:val="199"/>
        </w:trPr>
        <w:tc>
          <w:tcPr>
            <w:tcW w:w="220" w:type="dxa"/>
            <w:vAlign w:val="bottom"/>
          </w:tcPr>
          <w:p>
            <w:pPr>
              <w:spacing w:after="0"/>
              <w:rPr>
                <w:sz w:val="17"/>
                <w:szCs w:val="17"/>
                <w:color w:val="auto"/>
              </w:rPr>
            </w:pPr>
          </w:p>
        </w:tc>
        <w:tc>
          <w:tcPr>
            <w:tcW w:w="2200" w:type="dxa"/>
            <w:vAlign w:val="bottom"/>
            <w:tcBorders>
              <w:top w:val="single" w:sz="8" w:color="auto"/>
            </w:tcBorders>
            <w:gridSpan w:val="2"/>
          </w:tcPr>
          <w:p>
            <w:pPr>
              <w:spacing w:after="0" w:line="199" w:lineRule="exact"/>
              <w:rPr>
                <w:sz w:val="20"/>
                <w:szCs w:val="20"/>
                <w:color w:val="auto"/>
              </w:rPr>
            </w:pPr>
            <w:r>
              <w:rPr>
                <w:rFonts w:ascii="Times New Roman" w:cs="Times New Roman" w:eastAsia="Times New Roman" w:hAnsi="Times New Roman"/>
                <w:sz w:val="22"/>
                <w:szCs w:val="22"/>
                <w:b w:val="1"/>
                <w:bCs w:val="1"/>
                <w:color w:val="auto"/>
                <w:w w:val="97"/>
              </w:rPr>
              <w:t>Weighted Average S&amp;P</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top w:val="single" w:sz="8" w:color="auto"/>
            </w:tcBorders>
          </w:tcPr>
          <w:p>
            <w:pPr>
              <w:jc w:val="right"/>
              <w:ind w:right="1092"/>
              <w:spacing w:after="0" w:line="199" w:lineRule="exact"/>
              <w:rPr>
                <w:sz w:val="20"/>
                <w:szCs w:val="20"/>
                <w:color w:val="auto"/>
              </w:rPr>
            </w:pPr>
            <w:r>
              <w:rPr>
                <w:rFonts w:ascii="Times New Roman" w:cs="Times New Roman" w:eastAsia="Times New Roman" w:hAnsi="Times New Roman"/>
                <w:sz w:val="22"/>
                <w:szCs w:val="22"/>
                <w:color w:val="auto"/>
                <w:w w:val="92"/>
              </w:rPr>
              <w:t>35.00</w:t>
            </w:r>
          </w:p>
        </w:tc>
        <w:tc>
          <w:tcPr>
            <w:tcW w:w="200" w:type="dxa"/>
            <w:vAlign w:val="bottom"/>
          </w:tcPr>
          <w:p>
            <w:pPr>
              <w:spacing w:after="0"/>
              <w:rPr>
                <w:sz w:val="17"/>
                <w:szCs w:val="17"/>
                <w:color w:val="auto"/>
              </w:rPr>
            </w:pPr>
          </w:p>
        </w:tc>
        <w:tc>
          <w:tcPr>
            <w:tcW w:w="138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2"/>
                <w:szCs w:val="22"/>
                <w:color w:val="auto"/>
              </w:rPr>
              <w:t>40.00</w:t>
            </w:r>
          </w:p>
        </w:tc>
        <w:tc>
          <w:tcPr>
            <w:tcW w:w="200" w:type="dxa"/>
            <w:vAlign w:val="bottom"/>
          </w:tcPr>
          <w:p>
            <w:pPr>
              <w:spacing w:after="0"/>
              <w:rPr>
                <w:sz w:val="17"/>
                <w:szCs w:val="17"/>
                <w:color w:val="auto"/>
              </w:rPr>
            </w:pPr>
          </w:p>
        </w:tc>
        <w:tc>
          <w:tcPr>
            <w:tcW w:w="132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2"/>
                <w:szCs w:val="22"/>
                <w:color w:val="auto"/>
              </w:rPr>
              <w:t>45.00</w:t>
            </w:r>
          </w:p>
        </w:tc>
        <w:tc>
          <w:tcPr>
            <w:tcW w:w="200" w:type="dxa"/>
            <w:vAlign w:val="bottom"/>
          </w:tcPr>
          <w:p>
            <w:pPr>
              <w:spacing w:after="0"/>
              <w:rPr>
                <w:sz w:val="17"/>
                <w:szCs w:val="17"/>
                <w:color w:val="auto"/>
              </w:rPr>
            </w:pPr>
          </w:p>
        </w:tc>
        <w:tc>
          <w:tcPr>
            <w:tcW w:w="174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2"/>
                <w:szCs w:val="22"/>
                <w:color w:val="auto"/>
              </w:rPr>
              <w:t>50.00</w:t>
            </w:r>
          </w:p>
        </w:tc>
        <w:tc>
          <w:tcPr>
            <w:tcW w:w="1900" w:type="dxa"/>
            <w:vAlign w:val="bottom"/>
          </w:tcPr>
          <w:p>
            <w:pPr>
              <w:spacing w:after="0"/>
              <w:rPr>
                <w:sz w:val="17"/>
                <w:szCs w:val="17"/>
                <w:color w:val="auto"/>
              </w:rPr>
            </w:pPr>
          </w:p>
        </w:tc>
      </w:tr>
      <w:tr>
        <w:trPr>
          <w:trHeight w:val="247"/>
        </w:trPr>
        <w:tc>
          <w:tcPr>
            <w:tcW w:w="220" w:type="dxa"/>
            <w:vAlign w:val="bottom"/>
          </w:tcPr>
          <w:p>
            <w:pPr>
              <w:spacing w:after="0"/>
              <w:rPr>
                <w:sz w:val="21"/>
                <w:szCs w:val="21"/>
                <w:color w:val="auto"/>
              </w:rPr>
            </w:pPr>
          </w:p>
        </w:tc>
        <w:tc>
          <w:tcPr>
            <w:tcW w:w="2280" w:type="dxa"/>
            <w:vAlign w:val="bottom"/>
            <w:gridSpan w:val="3"/>
          </w:tcPr>
          <w:p>
            <w:pPr>
              <w:ind w:left="420"/>
              <w:spacing w:after="0" w:line="247" w:lineRule="exact"/>
              <w:rPr>
                <w:sz w:val="20"/>
                <w:szCs w:val="20"/>
                <w:color w:val="auto"/>
              </w:rPr>
            </w:pPr>
            <w:r>
              <w:rPr>
                <w:rFonts w:ascii="Times New Roman" w:cs="Times New Roman" w:eastAsia="Times New Roman" w:hAnsi="Times New Roman"/>
                <w:sz w:val="22"/>
                <w:szCs w:val="22"/>
                <w:b w:val="1"/>
                <w:bCs w:val="1"/>
                <w:color w:val="auto"/>
              </w:rPr>
              <w:t>Recovery Rate</w:t>
            </w:r>
          </w:p>
        </w:tc>
        <w:tc>
          <w:tcPr>
            <w:tcW w:w="1800" w:type="dxa"/>
            <w:vAlign w:val="bottom"/>
            <w:gridSpan w:val="2"/>
          </w:tcPr>
          <w:p>
            <w:pPr>
              <w:jc w:val="right"/>
              <w:ind w:right="1092"/>
              <w:spacing w:after="0" w:line="247" w:lineRule="exact"/>
              <w:rPr>
                <w:sz w:val="20"/>
                <w:szCs w:val="20"/>
                <w:color w:val="auto"/>
              </w:rPr>
            </w:pPr>
            <w:r>
              <w:rPr>
                <w:rFonts w:ascii="Times New Roman" w:cs="Times New Roman" w:eastAsia="Times New Roman" w:hAnsi="Times New Roman"/>
                <w:sz w:val="22"/>
                <w:szCs w:val="22"/>
                <w:color w:val="auto"/>
              </w:rPr>
              <w:t>35.10</w:t>
            </w:r>
          </w:p>
        </w:tc>
        <w:tc>
          <w:tcPr>
            <w:tcW w:w="1580" w:type="dxa"/>
            <w:vAlign w:val="bottom"/>
            <w:gridSpan w:val="2"/>
          </w:tcPr>
          <w:p>
            <w:pPr>
              <w:ind w:left="200"/>
              <w:spacing w:after="0" w:line="247" w:lineRule="exact"/>
              <w:rPr>
                <w:sz w:val="20"/>
                <w:szCs w:val="20"/>
                <w:color w:val="auto"/>
              </w:rPr>
            </w:pPr>
            <w:r>
              <w:rPr>
                <w:rFonts w:ascii="Times New Roman" w:cs="Times New Roman" w:eastAsia="Times New Roman" w:hAnsi="Times New Roman"/>
                <w:sz w:val="22"/>
                <w:szCs w:val="22"/>
                <w:color w:val="auto"/>
              </w:rPr>
              <w:t>40.10</w:t>
            </w:r>
          </w:p>
        </w:tc>
        <w:tc>
          <w:tcPr>
            <w:tcW w:w="1520" w:type="dxa"/>
            <w:vAlign w:val="bottom"/>
            <w:gridSpan w:val="2"/>
          </w:tcPr>
          <w:p>
            <w:pPr>
              <w:ind w:left="200"/>
              <w:spacing w:after="0" w:line="247" w:lineRule="exact"/>
              <w:rPr>
                <w:sz w:val="20"/>
                <w:szCs w:val="20"/>
                <w:color w:val="auto"/>
              </w:rPr>
            </w:pPr>
            <w:r>
              <w:rPr>
                <w:rFonts w:ascii="Times New Roman" w:cs="Times New Roman" w:eastAsia="Times New Roman" w:hAnsi="Times New Roman"/>
                <w:sz w:val="22"/>
                <w:szCs w:val="22"/>
                <w:color w:val="auto"/>
              </w:rPr>
              <w:t>45.10</w:t>
            </w:r>
          </w:p>
        </w:tc>
        <w:tc>
          <w:tcPr>
            <w:tcW w:w="1940" w:type="dxa"/>
            <w:vAlign w:val="bottom"/>
            <w:gridSpan w:val="2"/>
          </w:tcPr>
          <w:p>
            <w:pPr>
              <w:ind w:left="200"/>
              <w:spacing w:after="0" w:line="247" w:lineRule="exact"/>
              <w:rPr>
                <w:sz w:val="20"/>
                <w:szCs w:val="20"/>
                <w:color w:val="auto"/>
              </w:rPr>
            </w:pPr>
            <w:r>
              <w:rPr>
                <w:rFonts w:ascii="Times New Roman" w:cs="Times New Roman" w:eastAsia="Times New Roman" w:hAnsi="Times New Roman"/>
                <w:sz w:val="22"/>
                <w:szCs w:val="22"/>
                <w:color w:val="auto"/>
              </w:rPr>
              <w:t>50.10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35.20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40.20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45.20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50.20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35.30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40.30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45.30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50.30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35.40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40.40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45.40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50.40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35.50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40.50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45.50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50.50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35.60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40.60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45.60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50.60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35.70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40.70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45.70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50.70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35.80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40.80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45.80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50.80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35.90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40.90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45.90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50.90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36.00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41.00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46.00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51.00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36.10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41.10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46.10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51.10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36.20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41.20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51.20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36.30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41.30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51.30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36.40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41.40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51.40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36.50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41.50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51.50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36.60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41.60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51.60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36.70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41.70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51.70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36.80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41.80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51.80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36.90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41.90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51.90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37.00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42.00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47.00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52.00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37.10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42.10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47.10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52.10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37.20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42.20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52.20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37.30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42.30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52.30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37.40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42.40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52.40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37.50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42.50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52.50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37.60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42.60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52.60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37.70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42.70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52.70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37.80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42.80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52.80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37.90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42.90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52.90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38.00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43.00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48.00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53.00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38.10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43.10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48.10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53.10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38.20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43.20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48.20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53.20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38.30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43.30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48.30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53.30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38.40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43.40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48.40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53.40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38.50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43.50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48.50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53.50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38.60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43.60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48.60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53.60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38.70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43.70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48.70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53.70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38.80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43.80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48.80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53.80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38.90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43.90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48.90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53.90</w:t>
            </w:r>
          </w:p>
        </w:tc>
        <w:tc>
          <w:tcPr>
            <w:tcW w:w="190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39.00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44.00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49.00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54.00</w:t>
            </w:r>
          </w:p>
        </w:tc>
        <w:tc>
          <w:tcPr>
            <w:tcW w:w="1900" w:type="dxa"/>
            <w:vAlign w:val="bottom"/>
          </w:tcPr>
          <w:p>
            <w:pPr>
              <w:spacing w:after="0"/>
              <w:rPr>
                <w:sz w:val="21"/>
                <w:szCs w:val="21"/>
                <w:color w:val="auto"/>
              </w:rPr>
            </w:pPr>
          </w:p>
        </w:tc>
      </w:tr>
      <w:tr>
        <w:trPr>
          <w:trHeight w:val="282"/>
        </w:trPr>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39.10</w:t>
            </w: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44.10</w:t>
            </w: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49.10</w:t>
            </w:r>
          </w:p>
        </w:tc>
        <w:tc>
          <w:tcPr>
            <w:tcW w:w="19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54.10</w:t>
            </w:r>
          </w:p>
        </w:tc>
        <w:tc>
          <w:tcPr>
            <w:tcW w:w="1900" w:type="dxa"/>
            <w:vAlign w:val="bottom"/>
          </w:tcPr>
          <w:p>
            <w:pPr>
              <w:spacing w:after="0"/>
              <w:rPr>
                <w:sz w:val="24"/>
                <w:szCs w:val="24"/>
                <w:color w:val="auto"/>
              </w:rPr>
            </w:pPr>
          </w:p>
        </w:tc>
      </w:tr>
      <w:tr>
        <w:trPr>
          <w:trHeight w:val="518"/>
        </w:trPr>
        <w:tc>
          <w:tcPr>
            <w:tcW w:w="1100" w:type="dxa"/>
            <w:vAlign w:val="bottom"/>
            <w:gridSpan w:val="2"/>
          </w:tcPr>
          <w:p>
            <w:pPr>
              <w:spacing w:after="0" w:line="253" w:lineRule="exact"/>
              <w:rPr>
                <w:sz w:val="20"/>
                <w:szCs w:val="20"/>
                <w:color w:val="auto"/>
              </w:rPr>
            </w:pPr>
            <w:r>
              <w:rPr>
                <w:rFonts w:ascii="Times New Roman" w:cs="Times New Roman" w:eastAsia="Times New Roman" w:hAnsi="Times New Roman"/>
                <w:sz w:val="22"/>
                <w:szCs w:val="22"/>
                <w:color w:val="auto"/>
              </w:rPr>
              <w:t>S-5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881"/>
        </w:trPr>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81"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2"/>
          <w:szCs w:val="22"/>
          <w:b w:val="1"/>
          <w:bCs w:val="1"/>
          <w:color w:val="auto"/>
        </w:rPr>
        <w:t>Liability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22225</wp:posOffset>
            </wp:positionV>
            <wp:extent cx="138874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2"/>
        </w:trPr>
        <w:tc>
          <w:tcPr>
            <w:tcW w:w="17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"AAA"</w:t>
            </w: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"AA"</w:t>
            </w: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"A"</w:t>
            </w:r>
          </w:p>
        </w:tc>
        <w:tc>
          <w:tcPr>
            <w:tcW w:w="1940" w:type="dxa"/>
            <w:vAlign w:val="bottom"/>
            <w:gridSpan w:val="2"/>
          </w:tcPr>
          <w:p>
            <w:pPr>
              <w:ind w:left="200"/>
              <w:spacing w:after="0" w:line="253" w:lineRule="exact"/>
              <w:rPr>
                <w:sz w:val="20"/>
                <w:szCs w:val="20"/>
                <w:color w:val="auto"/>
              </w:rPr>
            </w:pPr>
            <w:r>
              <w:rPr>
                <w:rFonts w:ascii="Times New Roman" w:cs="Times New Roman" w:eastAsia="Times New Roman" w:hAnsi="Times New Roman"/>
                <w:sz w:val="22"/>
                <w:szCs w:val="22"/>
                <w:b w:val="1"/>
                <w:bCs w:val="1"/>
                <w:color w:val="auto"/>
              </w:rPr>
              <w:t>"BBB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w:t>
            </w:r>
          </w:p>
        </w:tc>
      </w:tr>
      <w:tr>
        <w:trPr>
          <w:trHeight w:val="209"/>
        </w:trPr>
        <w:tc>
          <w:tcPr>
            <w:tcW w:w="170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39.20</w:t>
            </w:r>
          </w:p>
        </w:tc>
        <w:tc>
          <w:tcPr>
            <w:tcW w:w="200" w:type="dxa"/>
            <w:vAlign w:val="bottom"/>
          </w:tcPr>
          <w:p>
            <w:pPr>
              <w:spacing w:after="0"/>
              <w:rPr>
                <w:sz w:val="18"/>
                <w:szCs w:val="18"/>
                <w:color w:val="auto"/>
              </w:rPr>
            </w:pPr>
          </w:p>
        </w:tc>
        <w:tc>
          <w:tcPr>
            <w:tcW w:w="138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44.20</w:t>
            </w: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49.20</w:t>
            </w:r>
          </w:p>
        </w:tc>
        <w:tc>
          <w:tcPr>
            <w:tcW w:w="200" w:type="dxa"/>
            <w:vAlign w:val="bottom"/>
          </w:tcPr>
          <w:p>
            <w:pPr>
              <w:spacing w:after="0"/>
              <w:rPr>
                <w:sz w:val="18"/>
                <w:szCs w:val="18"/>
                <w:color w:val="auto"/>
              </w:rPr>
            </w:pPr>
          </w:p>
        </w:tc>
        <w:tc>
          <w:tcPr>
            <w:tcW w:w="174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54.20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39.30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44.30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49.30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54.30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39.40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44.40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49.40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54.40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39.50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44.50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49.50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54.50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39.60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44.60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49.60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54.60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39.70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44.70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49.70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54.70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39.80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44.80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49.80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54.80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39.90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44.90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49.90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54.90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45.00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55.00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45.10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50.10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55.10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40.20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45.20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55.20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40.30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45.30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55.30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40.40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45.40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55.40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40.50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45.50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55.50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40.60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45.60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55.60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40.70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45.70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55.70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40.80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45.80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55.80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40.90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45.90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55.90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41.00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46.00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51.00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56.00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41.10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46.10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51.10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56.10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41.20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56.20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41.30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56.30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41.40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56.40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41.50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56.50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41.60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56.60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41.70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56.70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41.80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56.80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41.90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46.90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56.90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42.00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47.00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52.00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57.00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42.10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47.10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52.10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57.10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42.20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57.20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42.30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57.30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42.40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57.40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42.50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57.50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42.60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57.60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42.70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57.70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42.80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57.80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47.90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57.90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43.00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48.00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53.00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58.00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43.10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48.10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53.10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58.10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43.20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48.20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58.20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43.30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48.30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58.30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43.40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48.40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58.40</w:t>
            </w:r>
          </w:p>
        </w:tc>
      </w:t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43.50</w:t>
            </w: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48.50</w:t>
            </w: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53.50</w:t>
            </w:r>
          </w:p>
        </w:tc>
        <w:tc>
          <w:tcPr>
            <w:tcW w:w="19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58.50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871220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880" w:space="720"/>
            <w:col w:w="7539"/>
          </w:cols>
          <w:pgMar w:left="320" w:top="1440" w:right="1440" w:bottom="1440" w:gutter="0" w:footer="0" w:header="0"/>
        </w:sectPr>
      </w:pPr>
    </w:p>
    <w:bookmarkStart w:id="272" w:name="page273"/>
    <w:bookmarkEnd w:id="272"/>
    <w:p>
      <w:pPr>
        <w:spacing w:after="0" w:line="181"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2"/>
          <w:szCs w:val="22"/>
          <w:b w:val="1"/>
          <w:bCs w:val="1"/>
          <w:color w:val="auto"/>
        </w:rPr>
        <w:t>Liability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22225</wp:posOffset>
            </wp:positionV>
            <wp:extent cx="138874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2"/>
        </w:trPr>
        <w:tc>
          <w:tcPr>
            <w:tcW w:w="17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"AAA"</w:t>
            </w: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"AA"</w:t>
            </w: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"A"</w:t>
            </w:r>
          </w:p>
        </w:tc>
        <w:tc>
          <w:tcPr>
            <w:tcW w:w="1940" w:type="dxa"/>
            <w:vAlign w:val="bottom"/>
            <w:gridSpan w:val="2"/>
          </w:tcPr>
          <w:p>
            <w:pPr>
              <w:ind w:left="200"/>
              <w:spacing w:after="0" w:line="253" w:lineRule="exact"/>
              <w:rPr>
                <w:sz w:val="20"/>
                <w:szCs w:val="20"/>
                <w:color w:val="auto"/>
              </w:rPr>
            </w:pPr>
            <w:r>
              <w:rPr>
                <w:rFonts w:ascii="Times New Roman" w:cs="Times New Roman" w:eastAsia="Times New Roman" w:hAnsi="Times New Roman"/>
                <w:sz w:val="22"/>
                <w:szCs w:val="22"/>
                <w:b w:val="1"/>
                <w:bCs w:val="1"/>
                <w:color w:val="auto"/>
              </w:rPr>
              <w:t>"BBB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w:t>
            </w:r>
          </w:p>
        </w:tc>
      </w:tr>
      <w:tr>
        <w:trPr>
          <w:trHeight w:val="209"/>
        </w:trPr>
        <w:tc>
          <w:tcPr>
            <w:tcW w:w="170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43.60</w:t>
            </w:r>
          </w:p>
        </w:tc>
        <w:tc>
          <w:tcPr>
            <w:tcW w:w="200" w:type="dxa"/>
            <w:vAlign w:val="bottom"/>
          </w:tcPr>
          <w:p>
            <w:pPr>
              <w:spacing w:after="0"/>
              <w:rPr>
                <w:sz w:val="18"/>
                <w:szCs w:val="18"/>
                <w:color w:val="auto"/>
              </w:rPr>
            </w:pPr>
          </w:p>
        </w:tc>
        <w:tc>
          <w:tcPr>
            <w:tcW w:w="138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48.60</w:t>
            </w: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53.60</w:t>
            </w:r>
          </w:p>
        </w:tc>
        <w:tc>
          <w:tcPr>
            <w:tcW w:w="200" w:type="dxa"/>
            <w:vAlign w:val="bottom"/>
          </w:tcPr>
          <w:p>
            <w:pPr>
              <w:spacing w:after="0"/>
              <w:rPr>
                <w:sz w:val="18"/>
                <w:szCs w:val="18"/>
                <w:color w:val="auto"/>
              </w:rPr>
            </w:pPr>
          </w:p>
        </w:tc>
        <w:tc>
          <w:tcPr>
            <w:tcW w:w="174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58.60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43.70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48.70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58.70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43.80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48.80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58.80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43.90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48.90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58.90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44.00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49.00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54.00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59.00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44.10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49.10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54.10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59.10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44.20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49.20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59.20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44.30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49.30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59.30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44.40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49.40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59.40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44.50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49.50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59.50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44.60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49.60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59.60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44.70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49.70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59.70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44.80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49.80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59.80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44.90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49.90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59.90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45.00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55.00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60.00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45.10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50.10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55.10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60.10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45.20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60.20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45.30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60.30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45.40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60.40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45.50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60.50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45.60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60.60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45.70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60.70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45.80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60.80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45.90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50.90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60.90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46.00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51.00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56.00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61.00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46.10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51.10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56.10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61.10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46.20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61.20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46.30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61.30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46.40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61.40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46.50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61.50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46.60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61.60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46.70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61.70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46.80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61.80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46.90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51.90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61.90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47.00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52.00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57.00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62.00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47.10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52.10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57.10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62.10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47.20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62.20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47.30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62.30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47.40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62.40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62.50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47.60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62.60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47.70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62.70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47.80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52.80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62.80</w:t>
            </w:r>
          </w:p>
        </w:tc>
      </w:t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47.90</w:t>
            </w: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52.90</w:t>
            </w: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57.90</w:t>
            </w:r>
          </w:p>
        </w:tc>
        <w:tc>
          <w:tcPr>
            <w:tcW w:w="19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62.90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871220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880" w:space="720"/>
            <w:col w:w="7539"/>
          </w:cols>
          <w:pgMar w:left="320" w:top="1440" w:right="1440" w:bottom="1440" w:gutter="0" w:footer="0" w:header="0"/>
        </w:sectPr>
      </w:pPr>
    </w:p>
    <w:bookmarkStart w:id="273" w:name="page274"/>
    <w:bookmarkEnd w:id="273"/>
    <w:p>
      <w:pPr>
        <w:spacing w:after="0" w:line="181"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2"/>
          <w:szCs w:val="22"/>
          <w:b w:val="1"/>
          <w:bCs w:val="1"/>
          <w:color w:val="auto"/>
        </w:rPr>
        <w:t>Liability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22225</wp:posOffset>
            </wp:positionV>
            <wp:extent cx="138874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2"/>
        </w:trPr>
        <w:tc>
          <w:tcPr>
            <w:tcW w:w="17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"AAA"</w:t>
            </w: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"AA"</w:t>
            </w: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"A"</w:t>
            </w:r>
          </w:p>
        </w:tc>
        <w:tc>
          <w:tcPr>
            <w:tcW w:w="1940" w:type="dxa"/>
            <w:vAlign w:val="bottom"/>
            <w:gridSpan w:val="2"/>
          </w:tcPr>
          <w:p>
            <w:pPr>
              <w:ind w:left="200"/>
              <w:spacing w:after="0" w:line="253" w:lineRule="exact"/>
              <w:rPr>
                <w:sz w:val="20"/>
                <w:szCs w:val="20"/>
                <w:color w:val="auto"/>
              </w:rPr>
            </w:pPr>
            <w:r>
              <w:rPr>
                <w:rFonts w:ascii="Times New Roman" w:cs="Times New Roman" w:eastAsia="Times New Roman" w:hAnsi="Times New Roman"/>
                <w:sz w:val="22"/>
                <w:szCs w:val="22"/>
                <w:b w:val="1"/>
                <w:bCs w:val="1"/>
                <w:color w:val="auto"/>
              </w:rPr>
              <w:t>"BBB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w:t>
            </w:r>
          </w:p>
        </w:tc>
      </w:tr>
      <w:tr>
        <w:trPr>
          <w:trHeight w:val="209"/>
        </w:trPr>
        <w:tc>
          <w:tcPr>
            <w:tcW w:w="170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48.00</w:t>
            </w:r>
          </w:p>
        </w:tc>
        <w:tc>
          <w:tcPr>
            <w:tcW w:w="200" w:type="dxa"/>
            <w:vAlign w:val="bottom"/>
          </w:tcPr>
          <w:p>
            <w:pPr>
              <w:spacing w:after="0"/>
              <w:rPr>
                <w:sz w:val="18"/>
                <w:szCs w:val="18"/>
                <w:color w:val="auto"/>
              </w:rPr>
            </w:pPr>
          </w:p>
        </w:tc>
        <w:tc>
          <w:tcPr>
            <w:tcW w:w="138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53.00</w:t>
            </w: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58.00</w:t>
            </w:r>
          </w:p>
        </w:tc>
        <w:tc>
          <w:tcPr>
            <w:tcW w:w="200" w:type="dxa"/>
            <w:vAlign w:val="bottom"/>
          </w:tcPr>
          <w:p>
            <w:pPr>
              <w:spacing w:after="0"/>
              <w:rPr>
                <w:sz w:val="18"/>
                <w:szCs w:val="18"/>
                <w:color w:val="auto"/>
              </w:rPr>
            </w:pPr>
          </w:p>
        </w:tc>
        <w:tc>
          <w:tcPr>
            <w:tcW w:w="174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63.00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48.10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53.10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58.10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63.10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48.20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63.20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48.30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63.30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48.40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63.40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48.50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63.50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48.60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63.60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48.70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63.70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48.80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63.80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48.90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53.90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63.90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49.00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54.00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59.00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64.00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49.10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54.10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59.10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64.10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49.20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64.20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49.30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64.30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49.40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64.40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49.50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64.50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49.60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64.60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49.70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64.70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49.80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64.80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49.90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54.90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64.90</w:t>
            </w: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55.00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60.00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65.00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55.10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60.10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65.10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65.20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65.30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65.40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65.50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65.60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65.70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65.80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55.90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60.90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65.90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56.00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61.00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66.00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56.10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61.10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66.10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66.20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66.30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66.40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66.50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66.60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66.70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66.80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56.90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61.90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66.90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57.00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62.00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67.00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57.10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62.10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67.10</w:t>
            </w:r>
          </w:p>
        </w:tc>
      </w:tr>
      <w:tr>
        <w:trPr>
          <w:trHeight w:val="243"/>
        </w:trPr>
        <w:tc>
          <w:tcPr>
            <w:tcW w:w="170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62.20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67.20</w:t>
            </w:r>
          </w:p>
        </w:tc>
      </w:tr>
      <w:tr>
        <w:trPr>
          <w:trHeight w:val="282"/>
        </w:trPr>
        <w:tc>
          <w:tcPr>
            <w:tcW w:w="1700" w:type="dxa"/>
            <w:vAlign w:val="bottom"/>
          </w:tcPr>
          <w:p>
            <w:pPr>
              <w:spacing w:after="0"/>
              <w:rPr>
                <w:sz w:val="24"/>
                <w:szCs w:val="24"/>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57.30</w:t>
            </w: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62.30</w:t>
            </w:r>
          </w:p>
        </w:tc>
        <w:tc>
          <w:tcPr>
            <w:tcW w:w="19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67.30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871220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880" w:space="720"/>
            <w:col w:w="7539"/>
          </w:cols>
          <w:pgMar w:left="320" w:top="1440" w:right="1440" w:bottom="1440" w:gutter="0" w:footer="0" w:header="0"/>
        </w:sectPr>
      </w:pPr>
    </w:p>
    <w:bookmarkStart w:id="274" w:name="page275"/>
    <w:bookmarkEnd w:id="274"/>
    <w:p>
      <w:pPr>
        <w:spacing w:after="0" w:line="150" w:lineRule="exact"/>
        <w:rPr>
          <w:sz w:val="20"/>
          <w:szCs w:val="20"/>
          <w:color w:val="auto"/>
        </w:rPr>
      </w:pPr>
    </w:p>
    <w:tbl>
      <w:tblPr>
        <w:tblLayout w:type="fixed"/>
        <w:tblInd w:w="220" w:type="dxa"/>
        <w:tblCellMar>
          <w:top w:w="0" w:type="dxa"/>
          <w:left w:w="0" w:type="dxa"/>
          <w:bottom w:w="0" w:type="dxa"/>
          <w:right w:w="0" w:type="dxa"/>
        </w:tblCellMar>
      </w:tblPr>
      <w:tr>
        <w:trPr>
          <w:trHeight w:val="325"/>
        </w:trPr>
        <w:tc>
          <w:tcPr>
            <w:tcW w:w="2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Liability Rating</w:t>
            </w: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auto"/>
              </w:rPr>
              <w:t>"AAA"</w:t>
            </w: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"AA"</w:t>
            </w: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"A"</w:t>
            </w:r>
          </w:p>
        </w:tc>
        <w:tc>
          <w:tcPr>
            <w:tcW w:w="1940" w:type="dxa"/>
            <w:vAlign w:val="bottom"/>
            <w:gridSpan w:val="2"/>
          </w:tcPr>
          <w:p>
            <w:pPr>
              <w:ind w:left="200"/>
              <w:spacing w:after="0" w:line="253" w:lineRule="exact"/>
              <w:rPr>
                <w:sz w:val="20"/>
                <w:szCs w:val="20"/>
                <w:color w:val="auto"/>
              </w:rPr>
            </w:pPr>
            <w:r>
              <w:rPr>
                <w:rFonts w:ascii="Times New Roman" w:cs="Times New Roman" w:eastAsia="Times New Roman" w:hAnsi="Times New Roman"/>
                <w:sz w:val="22"/>
                <w:szCs w:val="22"/>
                <w:b w:val="1"/>
                <w:bCs w:val="1"/>
                <w:color w:val="auto"/>
              </w:rPr>
              <w:t>"BBB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w:t>
            </w:r>
          </w:p>
        </w:tc>
      </w:tr>
      <w:tr>
        <w:trPr>
          <w:trHeight w:val="216"/>
        </w:trPr>
        <w:tc>
          <w:tcPr>
            <w:tcW w:w="2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tcBorders>
          </w:tcPr>
          <w:p>
            <w:pPr>
              <w:spacing w:after="0" w:line="216" w:lineRule="exact"/>
              <w:rPr>
                <w:sz w:val="20"/>
                <w:szCs w:val="20"/>
                <w:color w:val="auto"/>
              </w:rPr>
            </w:pPr>
            <w:r>
              <w:rPr>
                <w:rFonts w:ascii="Times New Roman" w:cs="Times New Roman" w:eastAsia="Times New Roman" w:hAnsi="Times New Roman"/>
                <w:sz w:val="22"/>
                <w:szCs w:val="22"/>
                <w:color w:val="auto"/>
              </w:rPr>
              <w:t>57.40</w:t>
            </w: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line="216" w:lineRule="exact"/>
              <w:rPr>
                <w:sz w:val="20"/>
                <w:szCs w:val="20"/>
                <w:color w:val="auto"/>
              </w:rPr>
            </w:pPr>
            <w:r>
              <w:rPr>
                <w:rFonts w:ascii="Times New Roman" w:cs="Times New Roman" w:eastAsia="Times New Roman" w:hAnsi="Times New Roman"/>
                <w:sz w:val="22"/>
                <w:szCs w:val="22"/>
                <w:color w:val="auto"/>
              </w:rPr>
              <w:t>62.40</w:t>
            </w:r>
          </w:p>
        </w:tc>
        <w:tc>
          <w:tcPr>
            <w:tcW w:w="200" w:type="dxa"/>
            <w:vAlign w:val="bottom"/>
          </w:tcPr>
          <w:p>
            <w:pPr>
              <w:spacing w:after="0"/>
              <w:rPr>
                <w:sz w:val="18"/>
                <w:szCs w:val="18"/>
                <w:color w:val="auto"/>
              </w:rPr>
            </w:pPr>
          </w:p>
        </w:tc>
        <w:tc>
          <w:tcPr>
            <w:tcW w:w="1740" w:type="dxa"/>
            <w:vAlign w:val="bottom"/>
            <w:tcBorders>
              <w:top w:val="single" w:sz="8" w:color="auto"/>
            </w:tcBorders>
          </w:tcPr>
          <w:p>
            <w:pPr>
              <w:spacing w:after="0" w:line="216" w:lineRule="exact"/>
              <w:rPr>
                <w:sz w:val="20"/>
                <w:szCs w:val="20"/>
                <w:color w:val="auto"/>
              </w:rPr>
            </w:pPr>
            <w:r>
              <w:rPr>
                <w:rFonts w:ascii="Times New Roman" w:cs="Times New Roman" w:eastAsia="Times New Roman" w:hAnsi="Times New Roman"/>
                <w:sz w:val="22"/>
                <w:szCs w:val="22"/>
                <w:color w:val="auto"/>
              </w:rPr>
              <w:t>67.40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62.50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67.50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62.60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67.60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62.70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67.70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62.80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67.80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57.90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62.90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67.90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58.00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63.00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68.00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58.10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63.10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68.10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68.20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68.30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68.40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68.50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68.60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68.70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68.80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58.90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63.90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68.90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59.00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64.00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69.00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59.10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64.10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69.10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59.20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64.20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69.20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59.30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64.30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69.30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59.40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64.40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69.40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59.50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64.50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69.50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59.60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64.60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69.60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59.70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64.70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69.70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59.80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64.80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69.80</w:t>
            </w: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59.90</w:t>
            </w:r>
          </w:p>
        </w:tc>
        <w:tc>
          <w:tcPr>
            <w:tcW w:w="1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64.90</w:t>
            </w:r>
          </w:p>
        </w:tc>
        <w:tc>
          <w:tcPr>
            <w:tcW w:w="19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69.90</w:t>
            </w:r>
          </w:p>
        </w:tc>
      </w:tr>
      <w:tr>
        <w:trPr>
          <w:trHeight w:val="282"/>
        </w:trPr>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60.00</w:t>
            </w: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65.00</w:t>
            </w:r>
          </w:p>
        </w:tc>
        <w:tc>
          <w:tcPr>
            <w:tcW w:w="19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70.00</w:t>
            </w:r>
          </w:p>
        </w:tc>
      </w:tr>
    </w:tbl>
    <w:p>
      <w:pPr>
        <w:spacing w:after="0" w:line="200" w:lineRule="exact"/>
        <w:rPr>
          <w:sz w:val="20"/>
          <w:szCs w:val="20"/>
          <w:color w:val="auto"/>
        </w:rPr>
      </w:pPr>
    </w:p>
    <w:p>
      <w:pPr>
        <w:spacing w:after="0" w:line="22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For purposes of calculating the Collateral Quality Test, DIP Collateral Obligations will be treated as having an S&amp;P Recovery Rate equal to the S&amp;P Recovery Rate for Senior Secured Loans.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applicable weighted average spread will be the spread between 3.50% and 7.50% (in increments of .01%) without exceeding the Weighted Average Floating Spread (determined for purposes of this definition as if all Discount Obligations instead constituted Collateral Obligations that are not Discount Obligations) as of such Measurement Date.</w:t>
      </w:r>
    </w:p>
    <w:p>
      <w:pPr>
        <w:spacing w:after="0" w:line="152"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5" w:name="page276"/>
    <w:bookmarkEnd w:id="275"/>
    <w:p>
      <w:pPr>
        <w:ind w:left="440" w:hanging="432"/>
        <w:spacing w:after="0"/>
        <w:tabs>
          <w:tab w:leader="none" w:pos="440" w:val="left"/>
        </w:tabs>
        <w:numPr>
          <w:ilvl w:val="0"/>
          <w:numId w:val="3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S&amp;P Region 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137795</wp:posOffset>
            </wp:positionV>
            <wp:extent cx="33655" cy="3511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 cy="35115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0" w:type="dxa"/>
            <w:vAlign w:val="bottom"/>
            <w:shd w:val="clear" w:color="auto" w:fill="BFBFBF"/>
          </w:tcPr>
          <w:p>
            <w:pPr>
              <w:spacing w:after="0"/>
              <w:rPr>
                <w:sz w:val="22"/>
                <w:szCs w:val="22"/>
                <w:color w:val="auto"/>
              </w:rPr>
            </w:pPr>
          </w:p>
        </w:tc>
        <w:tc>
          <w:tcPr>
            <w:tcW w:w="1280" w:type="dxa"/>
            <w:vAlign w:val="bottom"/>
            <w:shd w:val="clear" w:color="auto" w:fill="BFBFBF"/>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Country</w:t>
            </w:r>
          </w:p>
        </w:tc>
        <w:tc>
          <w:tcPr>
            <w:tcW w:w="4200" w:type="dxa"/>
            <w:vAlign w:val="bottom"/>
            <w:shd w:val="clear" w:color="auto" w:fill="BFBFBF"/>
          </w:tcPr>
          <w:p>
            <w:pPr>
              <w:spacing w:after="0"/>
              <w:rPr>
                <w:sz w:val="22"/>
                <w:szCs w:val="22"/>
                <w:color w:val="auto"/>
              </w:rPr>
            </w:pPr>
          </w:p>
        </w:tc>
        <w:tc>
          <w:tcPr>
            <w:tcW w:w="1760" w:type="dxa"/>
            <w:vAlign w:val="bottom"/>
            <w:shd w:val="clear" w:color="auto" w:fill="BFBFBF"/>
          </w:tcPr>
          <w:p>
            <w:pPr>
              <w:ind w:left="660"/>
              <w:spacing w:after="0"/>
              <w:rPr>
                <w:sz w:val="20"/>
                <w:szCs w:val="20"/>
                <w:color w:val="auto"/>
              </w:rPr>
            </w:pPr>
            <w:r>
              <w:rPr>
                <w:rFonts w:ascii="Times New Roman" w:cs="Times New Roman" w:eastAsia="Times New Roman" w:hAnsi="Times New Roman"/>
                <w:sz w:val="22"/>
                <w:szCs w:val="22"/>
                <w:b w:val="1"/>
                <w:bCs w:val="1"/>
                <w:color w:val="auto"/>
              </w:rPr>
              <w:t>Recovery</w:t>
            </w:r>
          </w:p>
        </w:tc>
        <w:tc>
          <w:tcPr>
            <w:tcW w:w="800" w:type="dxa"/>
            <w:vAlign w:val="bottom"/>
          </w:tcPr>
          <w:p>
            <w:pPr>
              <w:spacing w:after="0"/>
              <w:rPr>
                <w:sz w:val="22"/>
                <w:szCs w:val="22"/>
                <w:color w:val="auto"/>
              </w:rPr>
            </w:pPr>
          </w:p>
        </w:tc>
      </w:tr>
      <w:tr>
        <w:trPr>
          <w:trHeight w:val="274"/>
        </w:trPr>
        <w:tc>
          <w:tcPr>
            <w:tcW w:w="3200" w:type="dxa"/>
            <w:vAlign w:val="bottom"/>
            <w:tcBorders>
              <w:bottom w:val="single" w:sz="8" w:color="auto"/>
            </w:tcBorders>
            <w:shd w:val="clear" w:color="auto" w:fill="BFBFBF"/>
          </w:tcPr>
          <w:p>
            <w:pPr>
              <w:ind w:left="920"/>
              <w:spacing w:after="0"/>
              <w:rPr>
                <w:sz w:val="20"/>
                <w:szCs w:val="20"/>
                <w:color w:val="auto"/>
              </w:rPr>
            </w:pPr>
            <w:r>
              <w:rPr>
                <w:rFonts w:ascii="Times New Roman" w:cs="Times New Roman" w:eastAsia="Times New Roman" w:hAnsi="Times New Roman"/>
                <w:sz w:val="22"/>
                <w:szCs w:val="22"/>
                <w:b w:val="1"/>
                <w:bCs w:val="1"/>
                <w:color w:val="auto"/>
              </w:rPr>
              <w:t>Country Name</w:t>
            </w:r>
          </w:p>
        </w:tc>
        <w:tc>
          <w:tcPr>
            <w:tcW w:w="1280" w:type="dxa"/>
            <w:vAlign w:val="bottom"/>
            <w:tcBorders>
              <w:bottom w:val="single" w:sz="8" w:color="auto"/>
            </w:tcBorders>
            <w:shd w:val="clear" w:color="auto" w:fill="BFBFBF"/>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Code</w:t>
            </w:r>
          </w:p>
        </w:tc>
        <w:tc>
          <w:tcPr>
            <w:tcW w:w="4200" w:type="dxa"/>
            <w:vAlign w:val="bottom"/>
            <w:tcBorders>
              <w:bottom w:val="single" w:sz="8" w:color="auto"/>
            </w:tcBorders>
            <w:shd w:val="clear" w:color="auto" w:fill="BFBFBF"/>
          </w:tcPr>
          <w:p>
            <w:pPr>
              <w:ind w:left="2000"/>
              <w:spacing w:after="0"/>
              <w:rPr>
                <w:sz w:val="20"/>
                <w:szCs w:val="20"/>
                <w:color w:val="auto"/>
              </w:rPr>
            </w:pPr>
            <w:r>
              <w:rPr>
                <w:rFonts w:ascii="Times New Roman" w:cs="Times New Roman" w:eastAsia="Times New Roman" w:hAnsi="Times New Roman"/>
                <w:sz w:val="22"/>
                <w:szCs w:val="22"/>
                <w:b w:val="1"/>
                <w:bCs w:val="1"/>
                <w:color w:val="auto"/>
              </w:rPr>
              <w:t>Region</w:t>
            </w:r>
          </w:p>
        </w:tc>
        <w:tc>
          <w:tcPr>
            <w:tcW w:w="1760" w:type="dxa"/>
            <w:vAlign w:val="bottom"/>
            <w:tcBorders>
              <w:bottom w:val="single" w:sz="8" w:color="auto"/>
            </w:tcBorders>
            <w:shd w:val="clear" w:color="auto" w:fill="BFBFBF"/>
          </w:tcPr>
          <w:p>
            <w:pPr>
              <w:ind w:left="800"/>
              <w:spacing w:after="0"/>
              <w:rPr>
                <w:sz w:val="20"/>
                <w:szCs w:val="20"/>
                <w:color w:val="auto"/>
              </w:rPr>
            </w:pPr>
            <w:r>
              <w:rPr>
                <w:rFonts w:ascii="Times New Roman" w:cs="Times New Roman" w:eastAsia="Times New Roman" w:hAnsi="Times New Roman"/>
                <w:sz w:val="22"/>
                <w:szCs w:val="22"/>
                <w:b w:val="1"/>
                <w:bCs w:val="1"/>
                <w:color w:val="auto"/>
              </w:rPr>
              <w:t>Group</w:t>
            </w:r>
          </w:p>
        </w:tc>
        <w:tc>
          <w:tcPr>
            <w:tcW w:w="800" w:type="dxa"/>
            <w:vAlign w:val="bottom"/>
          </w:tcPr>
          <w:p>
            <w:pPr>
              <w:spacing w:after="0"/>
              <w:rPr>
                <w:sz w:val="23"/>
                <w:szCs w:val="23"/>
                <w:color w:val="auto"/>
              </w:rPr>
            </w:pPr>
          </w:p>
        </w:tc>
      </w:tr>
      <w:tr>
        <w:trPr>
          <w:trHeight w:val="209"/>
        </w:trPr>
        <w:tc>
          <w:tcPr>
            <w:tcW w:w="320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Afghanistan</w:t>
            </w:r>
          </w:p>
        </w:tc>
        <w:tc>
          <w:tcPr>
            <w:tcW w:w="1280" w:type="dxa"/>
            <w:vAlign w:val="bottom"/>
          </w:tcPr>
          <w:p>
            <w:pPr>
              <w:jc w:val="right"/>
              <w:spacing w:after="0" w:line="209" w:lineRule="exact"/>
              <w:rPr>
                <w:sz w:val="20"/>
                <w:szCs w:val="20"/>
                <w:color w:val="auto"/>
              </w:rPr>
            </w:pPr>
            <w:r>
              <w:rPr>
                <w:rFonts w:ascii="Times New Roman" w:cs="Times New Roman" w:eastAsia="Times New Roman" w:hAnsi="Times New Roman"/>
                <w:sz w:val="22"/>
                <w:szCs w:val="22"/>
                <w:color w:val="auto"/>
              </w:rPr>
              <w:t>93</w:t>
            </w:r>
          </w:p>
        </w:tc>
        <w:tc>
          <w:tcPr>
            <w:tcW w:w="420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Asia: India, Pakistan, and Afghanistan</w:t>
            </w:r>
          </w:p>
        </w:tc>
        <w:tc>
          <w:tcPr>
            <w:tcW w:w="1760" w:type="dxa"/>
            <w:vAlign w:val="bottom"/>
          </w:tcPr>
          <w:p>
            <w:pPr>
              <w:ind w:left="560"/>
              <w:spacing w:after="0" w:line="209"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18"/>
                <w:szCs w:val="18"/>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Albania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355</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Eastern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Algeria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213</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Middle East: MENA</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Andorra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376</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Angola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244</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Anguilla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1264</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Antigua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1268</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Argentina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Mercosur and Southern Cone</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Armenia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374</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Russia &amp; CIS</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Aruba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297</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Ascension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247</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Southern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Australia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Asia-Pacific: Australia and New Zealand</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Austria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Azerbaijan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994</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Russia &amp; CIS</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Bahamas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1242</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Bahrain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973</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Middle East: Gulf States</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Bangladesh</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880</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Other South</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Barbados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246</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Belarus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375</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Russia &amp; CIS</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Belgium</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Belize</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501</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Benin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229</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Bermuda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441</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Bhutan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975</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Other South</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Bolivia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591</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Andean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Bosnia and Herzegovina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387</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Eastern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Botswana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267</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Southern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Brazil</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Mercosur and Southern Cone</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B</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British Virgin Islands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284</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Brunei</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673</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Southeast, Korea, and Japan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Bulgaria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359</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Eastern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Burkina Faso</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226</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Burundi</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257</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Cambodia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855</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Southeast, Korea, and Japan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Cameroon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237</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Canada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U.S. and Canada</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Cape Verde Islands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238</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Cayman Islands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345</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Central African Republic</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236</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Chad</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235</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Chile</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Mercosur and Southern Cone</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China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China, Hong Kong, Taiwan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Colombia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Andean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16"/>
        </w:trPr>
        <w:tc>
          <w:tcPr>
            <w:tcW w:w="320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rPr>
              <w:t>Comoros</w:t>
            </w:r>
          </w:p>
        </w:tc>
        <w:tc>
          <w:tcPr>
            <w:tcW w:w="12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269</w:t>
            </w:r>
          </w:p>
        </w:tc>
        <w:tc>
          <w:tcPr>
            <w:tcW w:w="420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17"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18"/>
                <w:szCs w:val="18"/>
                <w:color w:val="auto"/>
              </w:rPr>
            </w:pPr>
          </w:p>
        </w:tc>
      </w:tr>
      <w:tr>
        <w:trPr>
          <w:trHeight w:val="362"/>
        </w:trPr>
        <w:tc>
          <w:tcPr>
            <w:tcW w:w="3200" w:type="dxa"/>
            <w:vAlign w:val="bottom"/>
          </w:tcPr>
          <w:p>
            <w:pPr>
              <w:spacing w:after="0" w:line="253" w:lineRule="exact"/>
              <w:rPr>
                <w:sz w:val="20"/>
                <w:szCs w:val="20"/>
                <w:color w:val="auto"/>
              </w:rPr>
            </w:pPr>
            <w:r>
              <w:rPr>
                <w:rFonts w:ascii="Times New Roman" w:cs="Times New Roman" w:eastAsia="Times New Roman" w:hAnsi="Times New Roman"/>
                <w:sz w:val="22"/>
                <w:szCs w:val="22"/>
                <w:color w:val="auto"/>
              </w:rPr>
              <w:t>S-5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11</w:t>
            </w:r>
          </w:p>
        </w:tc>
        <w:tc>
          <w:tcPr>
            <w:tcW w:w="1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73"/>
        </w:trPr>
        <w:tc>
          <w:tcPr>
            <w:tcW w:w="3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53"/>
        </w:trPr>
        <w:tc>
          <w:tcPr>
            <w:tcW w:w="3200" w:type="dxa"/>
            <w:vAlign w:val="bottom"/>
            <w:shd w:val="clear" w:color="auto" w:fill="BFBFBF"/>
          </w:tcPr>
          <w:p>
            <w:pPr>
              <w:spacing w:after="0"/>
              <w:rPr>
                <w:sz w:val="22"/>
                <w:szCs w:val="22"/>
                <w:color w:val="auto"/>
              </w:rPr>
            </w:pPr>
          </w:p>
        </w:tc>
        <w:tc>
          <w:tcPr>
            <w:tcW w:w="1280" w:type="dxa"/>
            <w:vAlign w:val="bottom"/>
            <w:shd w:val="clear" w:color="auto" w:fill="BFBFBF"/>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Country</w:t>
            </w:r>
          </w:p>
        </w:tc>
        <w:tc>
          <w:tcPr>
            <w:tcW w:w="4200" w:type="dxa"/>
            <w:vAlign w:val="bottom"/>
            <w:shd w:val="clear" w:color="auto" w:fill="BFBFBF"/>
          </w:tcPr>
          <w:p>
            <w:pPr>
              <w:spacing w:after="0"/>
              <w:rPr>
                <w:sz w:val="22"/>
                <w:szCs w:val="22"/>
                <w:color w:val="auto"/>
              </w:rPr>
            </w:pPr>
          </w:p>
        </w:tc>
        <w:tc>
          <w:tcPr>
            <w:tcW w:w="1760" w:type="dxa"/>
            <w:vAlign w:val="bottom"/>
            <w:shd w:val="clear" w:color="auto" w:fill="BFBFBF"/>
          </w:tcPr>
          <w:p>
            <w:pPr>
              <w:ind w:left="660"/>
              <w:spacing w:after="0"/>
              <w:rPr>
                <w:sz w:val="20"/>
                <w:szCs w:val="20"/>
                <w:color w:val="auto"/>
              </w:rPr>
            </w:pPr>
            <w:r>
              <w:rPr>
                <w:rFonts w:ascii="Times New Roman" w:cs="Times New Roman" w:eastAsia="Times New Roman" w:hAnsi="Times New Roman"/>
                <w:sz w:val="22"/>
                <w:szCs w:val="22"/>
                <w:b w:val="1"/>
                <w:bCs w:val="1"/>
                <w:color w:val="auto"/>
              </w:rPr>
              <w:t>Recovery</w:t>
            </w:r>
          </w:p>
        </w:tc>
        <w:tc>
          <w:tcPr>
            <w:tcW w:w="800" w:type="dxa"/>
            <w:vAlign w:val="bottom"/>
          </w:tcPr>
          <w:p>
            <w:pPr>
              <w:spacing w:after="0"/>
              <w:rPr>
                <w:sz w:val="22"/>
                <w:szCs w:val="22"/>
                <w:color w:val="auto"/>
              </w:rPr>
            </w:pPr>
          </w:p>
        </w:tc>
      </w:tr>
      <w:tr>
        <w:trPr>
          <w:trHeight w:val="274"/>
        </w:trPr>
        <w:tc>
          <w:tcPr>
            <w:tcW w:w="3200" w:type="dxa"/>
            <w:vAlign w:val="bottom"/>
            <w:tcBorders>
              <w:bottom w:val="single" w:sz="8" w:color="auto"/>
            </w:tcBorders>
            <w:shd w:val="clear" w:color="auto" w:fill="BFBFBF"/>
          </w:tcPr>
          <w:p>
            <w:pPr>
              <w:ind w:left="920"/>
              <w:spacing w:after="0"/>
              <w:rPr>
                <w:sz w:val="20"/>
                <w:szCs w:val="20"/>
                <w:color w:val="auto"/>
              </w:rPr>
            </w:pPr>
            <w:r>
              <w:rPr>
                <w:rFonts w:ascii="Times New Roman" w:cs="Times New Roman" w:eastAsia="Times New Roman" w:hAnsi="Times New Roman"/>
                <w:sz w:val="22"/>
                <w:szCs w:val="22"/>
                <w:b w:val="1"/>
                <w:bCs w:val="1"/>
                <w:color w:val="auto"/>
              </w:rPr>
              <w:t>Country Name</w:t>
            </w:r>
          </w:p>
        </w:tc>
        <w:tc>
          <w:tcPr>
            <w:tcW w:w="1280" w:type="dxa"/>
            <w:vAlign w:val="bottom"/>
            <w:tcBorders>
              <w:bottom w:val="single" w:sz="8" w:color="auto"/>
            </w:tcBorders>
            <w:shd w:val="clear" w:color="auto" w:fill="BFBFBF"/>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Code</w:t>
            </w:r>
          </w:p>
        </w:tc>
        <w:tc>
          <w:tcPr>
            <w:tcW w:w="4200" w:type="dxa"/>
            <w:vAlign w:val="bottom"/>
            <w:tcBorders>
              <w:bottom w:val="single" w:sz="8" w:color="auto"/>
            </w:tcBorders>
            <w:shd w:val="clear" w:color="auto" w:fill="BFBFBF"/>
          </w:tcPr>
          <w:p>
            <w:pPr>
              <w:ind w:left="2000"/>
              <w:spacing w:after="0"/>
              <w:rPr>
                <w:sz w:val="20"/>
                <w:szCs w:val="20"/>
                <w:color w:val="auto"/>
              </w:rPr>
            </w:pPr>
            <w:r>
              <w:rPr>
                <w:rFonts w:ascii="Times New Roman" w:cs="Times New Roman" w:eastAsia="Times New Roman" w:hAnsi="Times New Roman"/>
                <w:sz w:val="22"/>
                <w:szCs w:val="22"/>
                <w:b w:val="1"/>
                <w:bCs w:val="1"/>
                <w:color w:val="auto"/>
              </w:rPr>
              <w:t>Region</w:t>
            </w:r>
          </w:p>
        </w:tc>
        <w:tc>
          <w:tcPr>
            <w:tcW w:w="1760" w:type="dxa"/>
            <w:vAlign w:val="bottom"/>
            <w:tcBorders>
              <w:bottom w:val="single" w:sz="8" w:color="auto"/>
            </w:tcBorders>
            <w:shd w:val="clear" w:color="auto" w:fill="BFBFBF"/>
          </w:tcPr>
          <w:p>
            <w:pPr>
              <w:ind w:left="800"/>
              <w:spacing w:after="0"/>
              <w:rPr>
                <w:sz w:val="20"/>
                <w:szCs w:val="20"/>
                <w:color w:val="auto"/>
              </w:rPr>
            </w:pPr>
            <w:r>
              <w:rPr>
                <w:rFonts w:ascii="Times New Roman" w:cs="Times New Roman" w:eastAsia="Times New Roman" w:hAnsi="Times New Roman"/>
                <w:sz w:val="22"/>
                <w:szCs w:val="22"/>
                <w:b w:val="1"/>
                <w:bCs w:val="1"/>
                <w:color w:val="auto"/>
              </w:rPr>
              <w:t>Group</w:t>
            </w:r>
          </w:p>
        </w:tc>
        <w:tc>
          <w:tcPr>
            <w:tcW w:w="800" w:type="dxa"/>
            <w:vAlign w:val="bottom"/>
          </w:tcPr>
          <w:p>
            <w:pPr>
              <w:spacing w:after="0"/>
              <w:rPr>
                <w:sz w:val="23"/>
                <w:szCs w:val="23"/>
                <w:color w:val="auto"/>
              </w:rPr>
            </w:pPr>
          </w:p>
        </w:tc>
      </w:tr>
      <w:tr>
        <w:trPr>
          <w:trHeight w:val="209"/>
        </w:trPr>
        <w:tc>
          <w:tcPr>
            <w:tcW w:w="320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Congo-Brazzaville</w:t>
            </w:r>
          </w:p>
        </w:tc>
        <w:tc>
          <w:tcPr>
            <w:tcW w:w="1280" w:type="dxa"/>
            <w:vAlign w:val="bottom"/>
          </w:tcPr>
          <w:p>
            <w:pPr>
              <w:jc w:val="right"/>
              <w:spacing w:after="0" w:line="209" w:lineRule="exact"/>
              <w:rPr>
                <w:sz w:val="20"/>
                <w:szCs w:val="20"/>
                <w:color w:val="auto"/>
              </w:rPr>
            </w:pPr>
            <w:r>
              <w:rPr>
                <w:rFonts w:ascii="Times New Roman" w:cs="Times New Roman" w:eastAsia="Times New Roman" w:hAnsi="Times New Roman"/>
                <w:sz w:val="22"/>
                <w:szCs w:val="22"/>
                <w:color w:val="auto"/>
              </w:rPr>
              <w:t>242</w:t>
            </w:r>
          </w:p>
        </w:tc>
        <w:tc>
          <w:tcPr>
            <w:tcW w:w="420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09"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18"/>
                <w:szCs w:val="18"/>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Congo-Kinshasa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243</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Cook Islands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682</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Asia-Pacific: Australia and New Zealand</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Costa Rica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506</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Cote d'Ivoire</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225</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Croatia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385</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Eastern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Cuba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Curacao</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599</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Cyprus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357</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Czech Republic</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420</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Central</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B</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Denmark</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Djibouti</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253</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Eastern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Dominica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767</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Dominican Republic</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809</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East Timor</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670</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Southeast, Korea and Japan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Ecuador</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593</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Andean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Egypt</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Middle East: MENA</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El Salvador</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503</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Equatorial Guinea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240</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Eritrea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291</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Eastern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Estonia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372</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Central</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Ethiopia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251</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Eastern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Fiji</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679</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Asia-Pacific: Islands</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Finland</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358</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France</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French Guiana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594</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French Polynesia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689</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Asia-Pacific: Islands</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Gabonese Republic</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241</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Gambia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Georgia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995</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Russia &amp; CIS</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Ghana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233</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Greece</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Grenada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473</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Guadeloupe</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590</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Guatemala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502</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Guinea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224</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Guinea-Bissau</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245</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Guyana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592</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Haiti</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509</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Honduras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504</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Hong Kong</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852</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China, Hong Kong, Taiwan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Hungary</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Central</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Iceland</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354</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India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91</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India, Pakistan and Afghanistan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Indonesia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Southeast, Korea and Japan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16"/>
        </w:trPr>
        <w:tc>
          <w:tcPr>
            <w:tcW w:w="320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rPr>
              <w:t>Iran</w:t>
            </w:r>
          </w:p>
        </w:tc>
        <w:tc>
          <w:tcPr>
            <w:tcW w:w="12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98</w:t>
            </w:r>
          </w:p>
        </w:tc>
        <w:tc>
          <w:tcPr>
            <w:tcW w:w="420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rPr>
              <w:t>Middle East: Gulf States</w:t>
            </w:r>
          </w:p>
        </w:tc>
        <w:tc>
          <w:tcPr>
            <w:tcW w:w="1760" w:type="dxa"/>
            <w:vAlign w:val="bottom"/>
          </w:tcPr>
          <w:p>
            <w:pPr>
              <w:ind w:left="560"/>
              <w:spacing w:after="0" w:line="217"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18"/>
                <w:szCs w:val="18"/>
                <w:color w:val="auto"/>
              </w:rPr>
            </w:pPr>
          </w:p>
        </w:tc>
      </w:tr>
      <w:tr>
        <w:trPr>
          <w:trHeight w:val="362"/>
        </w:trPr>
        <w:tc>
          <w:tcPr>
            <w:tcW w:w="3200" w:type="dxa"/>
            <w:vAlign w:val="bottom"/>
          </w:tcPr>
          <w:p>
            <w:pPr>
              <w:spacing w:after="0" w:line="253" w:lineRule="exact"/>
              <w:rPr>
                <w:sz w:val="20"/>
                <w:szCs w:val="20"/>
                <w:color w:val="auto"/>
              </w:rPr>
            </w:pPr>
            <w:r>
              <w:rPr>
                <w:rFonts w:ascii="Times New Roman" w:cs="Times New Roman" w:eastAsia="Times New Roman" w:hAnsi="Times New Roman"/>
                <w:sz w:val="22"/>
                <w:szCs w:val="22"/>
                <w:color w:val="auto"/>
              </w:rPr>
              <w:t>S-5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12</w:t>
            </w:r>
          </w:p>
        </w:tc>
        <w:tc>
          <w:tcPr>
            <w:tcW w:w="1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73"/>
        </w:trPr>
        <w:tc>
          <w:tcPr>
            <w:tcW w:w="3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3024505</wp:posOffset>
            </wp:positionH>
            <wp:positionV relativeFrom="page">
              <wp:posOffset>641985</wp:posOffset>
            </wp:positionV>
            <wp:extent cx="33655" cy="3511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3511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53"/>
        </w:trPr>
        <w:tc>
          <w:tcPr>
            <w:tcW w:w="3200" w:type="dxa"/>
            <w:vAlign w:val="bottom"/>
            <w:shd w:val="clear" w:color="auto" w:fill="BFBFBF"/>
          </w:tcPr>
          <w:p>
            <w:pPr>
              <w:spacing w:after="0"/>
              <w:rPr>
                <w:sz w:val="22"/>
                <w:szCs w:val="22"/>
                <w:color w:val="auto"/>
              </w:rPr>
            </w:pPr>
          </w:p>
        </w:tc>
        <w:tc>
          <w:tcPr>
            <w:tcW w:w="1280" w:type="dxa"/>
            <w:vAlign w:val="bottom"/>
            <w:shd w:val="clear" w:color="auto" w:fill="BFBFBF"/>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Country</w:t>
            </w:r>
          </w:p>
        </w:tc>
        <w:tc>
          <w:tcPr>
            <w:tcW w:w="4140" w:type="dxa"/>
            <w:vAlign w:val="bottom"/>
            <w:shd w:val="clear" w:color="auto" w:fill="BFBFBF"/>
          </w:tcPr>
          <w:p>
            <w:pPr>
              <w:spacing w:after="0"/>
              <w:rPr>
                <w:sz w:val="22"/>
                <w:szCs w:val="22"/>
                <w:color w:val="auto"/>
              </w:rPr>
            </w:pPr>
          </w:p>
        </w:tc>
        <w:tc>
          <w:tcPr>
            <w:tcW w:w="1820" w:type="dxa"/>
            <w:vAlign w:val="bottom"/>
            <w:shd w:val="clear" w:color="auto" w:fill="BFBFBF"/>
          </w:tcPr>
          <w:p>
            <w:pPr>
              <w:ind w:left="720"/>
              <w:spacing w:after="0"/>
              <w:rPr>
                <w:sz w:val="20"/>
                <w:szCs w:val="20"/>
                <w:color w:val="auto"/>
              </w:rPr>
            </w:pPr>
            <w:r>
              <w:rPr>
                <w:rFonts w:ascii="Times New Roman" w:cs="Times New Roman" w:eastAsia="Times New Roman" w:hAnsi="Times New Roman"/>
                <w:sz w:val="22"/>
                <w:szCs w:val="22"/>
                <w:b w:val="1"/>
                <w:bCs w:val="1"/>
                <w:color w:val="auto"/>
              </w:rPr>
              <w:t>Recovery</w:t>
            </w:r>
          </w:p>
        </w:tc>
        <w:tc>
          <w:tcPr>
            <w:tcW w:w="800" w:type="dxa"/>
            <w:vAlign w:val="bottom"/>
          </w:tcPr>
          <w:p>
            <w:pPr>
              <w:spacing w:after="0"/>
              <w:rPr>
                <w:sz w:val="22"/>
                <w:szCs w:val="22"/>
                <w:color w:val="auto"/>
              </w:rPr>
            </w:pPr>
          </w:p>
        </w:tc>
      </w:tr>
      <w:tr>
        <w:trPr>
          <w:trHeight w:val="274"/>
        </w:trPr>
        <w:tc>
          <w:tcPr>
            <w:tcW w:w="3200" w:type="dxa"/>
            <w:vAlign w:val="bottom"/>
            <w:tcBorders>
              <w:bottom w:val="single" w:sz="8" w:color="auto"/>
            </w:tcBorders>
            <w:shd w:val="clear" w:color="auto" w:fill="BFBFBF"/>
          </w:tcPr>
          <w:p>
            <w:pPr>
              <w:ind w:left="920"/>
              <w:spacing w:after="0"/>
              <w:rPr>
                <w:sz w:val="20"/>
                <w:szCs w:val="20"/>
                <w:color w:val="auto"/>
              </w:rPr>
            </w:pPr>
            <w:r>
              <w:rPr>
                <w:rFonts w:ascii="Times New Roman" w:cs="Times New Roman" w:eastAsia="Times New Roman" w:hAnsi="Times New Roman"/>
                <w:sz w:val="22"/>
                <w:szCs w:val="22"/>
                <w:b w:val="1"/>
                <w:bCs w:val="1"/>
                <w:color w:val="auto"/>
              </w:rPr>
              <w:t>Country Name</w:t>
            </w:r>
          </w:p>
        </w:tc>
        <w:tc>
          <w:tcPr>
            <w:tcW w:w="1280" w:type="dxa"/>
            <w:vAlign w:val="bottom"/>
            <w:tcBorders>
              <w:bottom w:val="single" w:sz="8" w:color="auto"/>
            </w:tcBorders>
            <w:shd w:val="clear" w:color="auto" w:fill="BFBFBF"/>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Code</w:t>
            </w:r>
          </w:p>
        </w:tc>
        <w:tc>
          <w:tcPr>
            <w:tcW w:w="4140" w:type="dxa"/>
            <w:vAlign w:val="bottom"/>
            <w:tcBorders>
              <w:bottom w:val="single" w:sz="8" w:color="auto"/>
            </w:tcBorders>
            <w:shd w:val="clear" w:color="auto" w:fill="BFBFBF"/>
          </w:tcPr>
          <w:p>
            <w:pPr>
              <w:ind w:left="2000"/>
              <w:spacing w:after="0"/>
              <w:rPr>
                <w:sz w:val="20"/>
                <w:szCs w:val="20"/>
                <w:color w:val="auto"/>
              </w:rPr>
            </w:pPr>
            <w:r>
              <w:rPr>
                <w:rFonts w:ascii="Times New Roman" w:cs="Times New Roman" w:eastAsia="Times New Roman" w:hAnsi="Times New Roman"/>
                <w:sz w:val="22"/>
                <w:szCs w:val="22"/>
                <w:b w:val="1"/>
                <w:bCs w:val="1"/>
                <w:color w:val="auto"/>
              </w:rPr>
              <w:t>Region</w:t>
            </w:r>
          </w:p>
        </w:tc>
        <w:tc>
          <w:tcPr>
            <w:tcW w:w="1820" w:type="dxa"/>
            <w:vAlign w:val="bottom"/>
            <w:tcBorders>
              <w:bottom w:val="single" w:sz="8" w:color="auto"/>
            </w:tcBorders>
            <w:shd w:val="clear" w:color="auto" w:fill="BFBFBF"/>
          </w:tcPr>
          <w:p>
            <w:pPr>
              <w:ind w:left="860"/>
              <w:spacing w:after="0"/>
              <w:rPr>
                <w:sz w:val="20"/>
                <w:szCs w:val="20"/>
                <w:color w:val="auto"/>
              </w:rPr>
            </w:pPr>
            <w:r>
              <w:rPr>
                <w:rFonts w:ascii="Times New Roman" w:cs="Times New Roman" w:eastAsia="Times New Roman" w:hAnsi="Times New Roman"/>
                <w:sz w:val="22"/>
                <w:szCs w:val="22"/>
                <w:b w:val="1"/>
                <w:bCs w:val="1"/>
                <w:color w:val="auto"/>
              </w:rPr>
              <w:t>Group</w:t>
            </w:r>
          </w:p>
        </w:tc>
        <w:tc>
          <w:tcPr>
            <w:tcW w:w="800" w:type="dxa"/>
            <w:vAlign w:val="bottom"/>
          </w:tcPr>
          <w:p>
            <w:pPr>
              <w:spacing w:after="0"/>
              <w:rPr>
                <w:sz w:val="23"/>
                <w:szCs w:val="23"/>
                <w:color w:val="auto"/>
              </w:rPr>
            </w:pPr>
          </w:p>
        </w:tc>
      </w:tr>
      <w:tr>
        <w:trPr>
          <w:trHeight w:val="209"/>
        </w:trPr>
        <w:tc>
          <w:tcPr>
            <w:tcW w:w="320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Iraq</w:t>
            </w:r>
          </w:p>
        </w:tc>
        <w:tc>
          <w:tcPr>
            <w:tcW w:w="1280" w:type="dxa"/>
            <w:vAlign w:val="bottom"/>
          </w:tcPr>
          <w:p>
            <w:pPr>
              <w:jc w:val="right"/>
              <w:spacing w:after="0" w:line="209" w:lineRule="exact"/>
              <w:rPr>
                <w:sz w:val="20"/>
                <w:szCs w:val="20"/>
                <w:color w:val="auto"/>
              </w:rPr>
            </w:pPr>
            <w:r>
              <w:rPr>
                <w:rFonts w:ascii="Times New Roman" w:cs="Times New Roman" w:eastAsia="Times New Roman" w:hAnsi="Times New Roman"/>
                <w:sz w:val="22"/>
                <w:szCs w:val="22"/>
                <w:color w:val="auto"/>
              </w:rPr>
              <w:t>964</w:t>
            </w:r>
          </w:p>
        </w:tc>
        <w:tc>
          <w:tcPr>
            <w:tcW w:w="414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Middle East: Gulf States</w:t>
            </w:r>
          </w:p>
        </w:tc>
        <w:tc>
          <w:tcPr>
            <w:tcW w:w="1820" w:type="dxa"/>
            <w:vAlign w:val="bottom"/>
          </w:tcPr>
          <w:p>
            <w:pPr>
              <w:ind w:left="620"/>
              <w:spacing w:after="0" w:line="209"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18"/>
                <w:szCs w:val="18"/>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Ireland</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353</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Isle of Man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101</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Israel</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972</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Middle East: MENA</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Italy</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Jamaica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876</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Japan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Southeast, Korea and Japan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Jordan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962</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Middle East: MENA</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Kazakhstan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Russia &amp; CIS</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Kenya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254</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Eastern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Kiribati</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686</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Asia-Pacific: Islands</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Kosovo</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383</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Eastern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Kuwait</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965</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Middle East: Gulf States</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Kyrgyzstan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996</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Russia &amp; CIS</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Laos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856</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Southeast, Korea and Japan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Latvia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371</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Central</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Lebanon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961</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Middle East: MENA</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Lesotho</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266</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Southern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Liberia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231</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Libya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218</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Middle East: MENA</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Liechtenstein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Lithuania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370</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Central</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Luxembourg</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352</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Macedonia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389</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Eastern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Madagascar</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261</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Malawi</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265</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Malaysia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Southeast, Korea and Japan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Maldives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960</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Other South</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Mali</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223</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Malta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356</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Martinique</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596</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Mauritania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222</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Mauritius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230</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Southern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Mexico</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Mexico</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B</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Micronesia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691</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Asia-Pacific: Islands</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Moldova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373</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Russia &amp; CIS</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Monaco</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377</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Mongolia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976</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Russia &amp; CIS</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Montenegro</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382</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Eastern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Montserrat</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664</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Morocco</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212</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Middle East: MENA</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Mozambique</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258</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Myanmar</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95</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Southeast, Korea and Japan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Namibia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264</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Southern</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Nauru</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674</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Asia-Pacific: Islands</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Nepal</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977</w:t>
            </w:r>
          </w:p>
        </w:tc>
        <w:tc>
          <w:tcPr>
            <w:tcW w:w="4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Other South</w:t>
            </w:r>
          </w:p>
        </w:tc>
        <w:tc>
          <w:tcPr>
            <w:tcW w:w="18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16"/>
        </w:trPr>
        <w:tc>
          <w:tcPr>
            <w:tcW w:w="320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rPr>
              <w:t>Netherlands</w:t>
            </w:r>
          </w:p>
        </w:tc>
        <w:tc>
          <w:tcPr>
            <w:tcW w:w="12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31</w:t>
            </w:r>
          </w:p>
        </w:tc>
        <w:tc>
          <w:tcPr>
            <w:tcW w:w="414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rPr>
              <w:t>Europe: Western</w:t>
            </w:r>
          </w:p>
        </w:tc>
        <w:tc>
          <w:tcPr>
            <w:tcW w:w="1820" w:type="dxa"/>
            <w:vAlign w:val="bottom"/>
          </w:tcPr>
          <w:p>
            <w:pPr>
              <w:ind w:left="620"/>
              <w:spacing w:after="0" w:line="217"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18"/>
                <w:szCs w:val="18"/>
                <w:color w:val="auto"/>
              </w:rPr>
            </w:pPr>
          </w:p>
        </w:tc>
      </w:tr>
      <w:tr>
        <w:trPr>
          <w:trHeight w:val="362"/>
        </w:trPr>
        <w:tc>
          <w:tcPr>
            <w:tcW w:w="3200" w:type="dxa"/>
            <w:vAlign w:val="bottom"/>
          </w:tcPr>
          <w:p>
            <w:pPr>
              <w:spacing w:after="0" w:line="253" w:lineRule="exact"/>
              <w:rPr>
                <w:sz w:val="20"/>
                <w:szCs w:val="20"/>
                <w:color w:val="auto"/>
              </w:rPr>
            </w:pPr>
            <w:r>
              <w:rPr>
                <w:rFonts w:ascii="Times New Roman" w:cs="Times New Roman" w:eastAsia="Times New Roman" w:hAnsi="Times New Roman"/>
                <w:sz w:val="22"/>
                <w:szCs w:val="22"/>
                <w:color w:val="auto"/>
              </w:rPr>
              <w:t>S-5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13</w:t>
            </w:r>
          </w:p>
        </w:tc>
        <w:tc>
          <w:tcPr>
            <w:tcW w:w="12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73"/>
        </w:trPr>
        <w:tc>
          <w:tcPr>
            <w:tcW w:w="3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3024505</wp:posOffset>
            </wp:positionH>
            <wp:positionV relativeFrom="page">
              <wp:posOffset>641985</wp:posOffset>
            </wp:positionV>
            <wp:extent cx="33655" cy="3511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655" cy="3511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53"/>
        </w:trPr>
        <w:tc>
          <w:tcPr>
            <w:tcW w:w="3200" w:type="dxa"/>
            <w:vAlign w:val="bottom"/>
            <w:shd w:val="clear" w:color="auto" w:fill="BFBFBF"/>
          </w:tcPr>
          <w:p>
            <w:pPr>
              <w:spacing w:after="0"/>
              <w:rPr>
                <w:sz w:val="22"/>
                <w:szCs w:val="22"/>
                <w:color w:val="auto"/>
              </w:rPr>
            </w:pPr>
          </w:p>
        </w:tc>
        <w:tc>
          <w:tcPr>
            <w:tcW w:w="1280" w:type="dxa"/>
            <w:vAlign w:val="bottom"/>
            <w:shd w:val="clear" w:color="auto" w:fill="BFBFBF"/>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Country</w:t>
            </w:r>
          </w:p>
        </w:tc>
        <w:tc>
          <w:tcPr>
            <w:tcW w:w="4200" w:type="dxa"/>
            <w:vAlign w:val="bottom"/>
            <w:shd w:val="clear" w:color="auto" w:fill="BFBFBF"/>
          </w:tcPr>
          <w:p>
            <w:pPr>
              <w:spacing w:after="0"/>
              <w:rPr>
                <w:sz w:val="22"/>
                <w:szCs w:val="22"/>
                <w:color w:val="auto"/>
              </w:rPr>
            </w:pPr>
          </w:p>
        </w:tc>
        <w:tc>
          <w:tcPr>
            <w:tcW w:w="1760" w:type="dxa"/>
            <w:vAlign w:val="bottom"/>
            <w:shd w:val="clear" w:color="auto" w:fill="BFBFBF"/>
          </w:tcPr>
          <w:p>
            <w:pPr>
              <w:ind w:left="660"/>
              <w:spacing w:after="0"/>
              <w:rPr>
                <w:sz w:val="20"/>
                <w:szCs w:val="20"/>
                <w:color w:val="auto"/>
              </w:rPr>
            </w:pPr>
            <w:r>
              <w:rPr>
                <w:rFonts w:ascii="Times New Roman" w:cs="Times New Roman" w:eastAsia="Times New Roman" w:hAnsi="Times New Roman"/>
                <w:sz w:val="22"/>
                <w:szCs w:val="22"/>
                <w:b w:val="1"/>
                <w:bCs w:val="1"/>
                <w:color w:val="auto"/>
              </w:rPr>
              <w:t>Recovery</w:t>
            </w:r>
          </w:p>
        </w:tc>
        <w:tc>
          <w:tcPr>
            <w:tcW w:w="800" w:type="dxa"/>
            <w:vAlign w:val="bottom"/>
          </w:tcPr>
          <w:p>
            <w:pPr>
              <w:spacing w:after="0"/>
              <w:rPr>
                <w:sz w:val="22"/>
                <w:szCs w:val="22"/>
                <w:color w:val="auto"/>
              </w:rPr>
            </w:pPr>
          </w:p>
        </w:tc>
      </w:tr>
      <w:tr>
        <w:trPr>
          <w:trHeight w:val="274"/>
        </w:trPr>
        <w:tc>
          <w:tcPr>
            <w:tcW w:w="3200" w:type="dxa"/>
            <w:vAlign w:val="bottom"/>
            <w:tcBorders>
              <w:bottom w:val="single" w:sz="8" w:color="auto"/>
            </w:tcBorders>
            <w:shd w:val="clear" w:color="auto" w:fill="BFBFBF"/>
          </w:tcPr>
          <w:p>
            <w:pPr>
              <w:ind w:left="920"/>
              <w:spacing w:after="0"/>
              <w:rPr>
                <w:sz w:val="20"/>
                <w:szCs w:val="20"/>
                <w:color w:val="auto"/>
              </w:rPr>
            </w:pPr>
            <w:r>
              <w:rPr>
                <w:rFonts w:ascii="Times New Roman" w:cs="Times New Roman" w:eastAsia="Times New Roman" w:hAnsi="Times New Roman"/>
                <w:sz w:val="22"/>
                <w:szCs w:val="22"/>
                <w:b w:val="1"/>
                <w:bCs w:val="1"/>
                <w:color w:val="auto"/>
              </w:rPr>
              <w:t>Country Name</w:t>
            </w:r>
          </w:p>
        </w:tc>
        <w:tc>
          <w:tcPr>
            <w:tcW w:w="1280" w:type="dxa"/>
            <w:vAlign w:val="bottom"/>
            <w:tcBorders>
              <w:bottom w:val="single" w:sz="8" w:color="auto"/>
            </w:tcBorders>
            <w:shd w:val="clear" w:color="auto" w:fill="BFBFBF"/>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Code</w:t>
            </w:r>
          </w:p>
        </w:tc>
        <w:tc>
          <w:tcPr>
            <w:tcW w:w="4200" w:type="dxa"/>
            <w:vAlign w:val="bottom"/>
            <w:tcBorders>
              <w:bottom w:val="single" w:sz="8" w:color="auto"/>
            </w:tcBorders>
            <w:shd w:val="clear" w:color="auto" w:fill="BFBFBF"/>
          </w:tcPr>
          <w:p>
            <w:pPr>
              <w:ind w:left="2000"/>
              <w:spacing w:after="0"/>
              <w:rPr>
                <w:sz w:val="20"/>
                <w:szCs w:val="20"/>
                <w:color w:val="auto"/>
              </w:rPr>
            </w:pPr>
            <w:r>
              <w:rPr>
                <w:rFonts w:ascii="Times New Roman" w:cs="Times New Roman" w:eastAsia="Times New Roman" w:hAnsi="Times New Roman"/>
                <w:sz w:val="22"/>
                <w:szCs w:val="22"/>
                <w:b w:val="1"/>
                <w:bCs w:val="1"/>
                <w:color w:val="auto"/>
              </w:rPr>
              <w:t>Region</w:t>
            </w:r>
          </w:p>
        </w:tc>
        <w:tc>
          <w:tcPr>
            <w:tcW w:w="1760" w:type="dxa"/>
            <w:vAlign w:val="bottom"/>
            <w:tcBorders>
              <w:bottom w:val="single" w:sz="8" w:color="auto"/>
            </w:tcBorders>
            <w:shd w:val="clear" w:color="auto" w:fill="BFBFBF"/>
          </w:tcPr>
          <w:p>
            <w:pPr>
              <w:ind w:left="800"/>
              <w:spacing w:after="0"/>
              <w:rPr>
                <w:sz w:val="20"/>
                <w:szCs w:val="20"/>
                <w:color w:val="auto"/>
              </w:rPr>
            </w:pPr>
            <w:r>
              <w:rPr>
                <w:rFonts w:ascii="Times New Roman" w:cs="Times New Roman" w:eastAsia="Times New Roman" w:hAnsi="Times New Roman"/>
                <w:sz w:val="22"/>
                <w:szCs w:val="22"/>
                <w:b w:val="1"/>
                <w:bCs w:val="1"/>
                <w:color w:val="auto"/>
              </w:rPr>
              <w:t>Group</w:t>
            </w:r>
          </w:p>
        </w:tc>
        <w:tc>
          <w:tcPr>
            <w:tcW w:w="800" w:type="dxa"/>
            <w:vAlign w:val="bottom"/>
          </w:tcPr>
          <w:p>
            <w:pPr>
              <w:spacing w:after="0"/>
              <w:rPr>
                <w:sz w:val="23"/>
                <w:szCs w:val="23"/>
                <w:color w:val="auto"/>
              </w:rPr>
            </w:pPr>
          </w:p>
        </w:tc>
      </w:tr>
      <w:tr>
        <w:trPr>
          <w:trHeight w:val="209"/>
        </w:trPr>
        <w:tc>
          <w:tcPr>
            <w:tcW w:w="320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New Caledonia</w:t>
            </w:r>
          </w:p>
        </w:tc>
        <w:tc>
          <w:tcPr>
            <w:tcW w:w="1280" w:type="dxa"/>
            <w:vAlign w:val="bottom"/>
          </w:tcPr>
          <w:p>
            <w:pPr>
              <w:jc w:val="right"/>
              <w:spacing w:after="0" w:line="209" w:lineRule="exact"/>
              <w:rPr>
                <w:sz w:val="20"/>
                <w:szCs w:val="20"/>
                <w:color w:val="auto"/>
              </w:rPr>
            </w:pPr>
            <w:r>
              <w:rPr>
                <w:rFonts w:ascii="Times New Roman" w:cs="Times New Roman" w:eastAsia="Times New Roman" w:hAnsi="Times New Roman"/>
                <w:sz w:val="22"/>
                <w:szCs w:val="22"/>
                <w:color w:val="auto"/>
              </w:rPr>
              <w:t>687</w:t>
            </w:r>
          </w:p>
        </w:tc>
        <w:tc>
          <w:tcPr>
            <w:tcW w:w="420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Asia-Pacific: Islands</w:t>
            </w:r>
          </w:p>
        </w:tc>
        <w:tc>
          <w:tcPr>
            <w:tcW w:w="1760" w:type="dxa"/>
            <w:vAlign w:val="bottom"/>
          </w:tcPr>
          <w:p>
            <w:pPr>
              <w:ind w:left="560"/>
              <w:spacing w:after="0" w:line="209"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18"/>
                <w:szCs w:val="18"/>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New Zealand</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Asia-Pacific: Australia and New Zealand</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Nicaragua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505</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Niger</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227</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Nigeria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234</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North Korea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850</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Southeast, Korea and Japan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Norway</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c>
          <w:tcPr>
            <w:tcW w:w="4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Oman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968</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Middle East: Gulf States</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Pakistan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India, Pakistan and Afghanistan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Palau</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680</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Asia-Pacific: Islands</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Palestinian Settlements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970</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Middle East: MENA</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Panama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507</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Papua New Guinea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675</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Asia-Pacific: Islands</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Paraguay</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595</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Mercosur and Southern Cone</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Peru</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Andean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Philippines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Southeast, Korea and Japan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Poland</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Central</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B</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Portugal</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351</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Qatar</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974</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Middle East: Gulf States</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Romania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Eastern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Russia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Russia &amp; CIS</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Rwanda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250</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Samoa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685</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Asia-Pacific: Islands</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Sao Tome &amp; Principe</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239</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Saudi Arabia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966</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Middle East: Gulf States</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Senegal</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221</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Serbia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381</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Eastern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Seychelles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248</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Southern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Sierra Leone</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232</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Singapore</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Southeast, Korea and Japan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Slovak Republic</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421</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Central</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Slovenia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386</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Solomon Islands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677</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Asia-Pacific: Islands</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Somalia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252</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Eastern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South Africa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Southern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B</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South Korea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Southeast, Korea and Japan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Spain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Sri Lanka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94</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Other South</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St. Helena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290</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Southern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St. Kitts/Nevis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869</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St. Lucia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758</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St. Vincent &amp; Grenadines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784</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Sudan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249</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Eastern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Suriname</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597</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Swaziland</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268</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Southern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Sweden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4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76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16"/>
        </w:trPr>
        <w:tc>
          <w:tcPr>
            <w:tcW w:w="320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rPr>
              <w:t>Switzerland</w:t>
            </w:r>
          </w:p>
        </w:tc>
        <w:tc>
          <w:tcPr>
            <w:tcW w:w="12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41</w:t>
            </w:r>
          </w:p>
        </w:tc>
        <w:tc>
          <w:tcPr>
            <w:tcW w:w="420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rPr>
              <w:t>Europe: Western</w:t>
            </w:r>
          </w:p>
        </w:tc>
        <w:tc>
          <w:tcPr>
            <w:tcW w:w="1760" w:type="dxa"/>
            <w:vAlign w:val="bottom"/>
          </w:tcPr>
          <w:p>
            <w:pPr>
              <w:ind w:left="560"/>
              <w:spacing w:after="0" w:line="217"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18"/>
                <w:szCs w:val="18"/>
                <w:color w:val="auto"/>
              </w:rPr>
            </w:pPr>
          </w:p>
        </w:tc>
      </w:tr>
      <w:tr>
        <w:trPr>
          <w:trHeight w:val="362"/>
        </w:trPr>
        <w:tc>
          <w:tcPr>
            <w:tcW w:w="3200" w:type="dxa"/>
            <w:vAlign w:val="bottom"/>
          </w:tcPr>
          <w:p>
            <w:pPr>
              <w:spacing w:after="0" w:line="253" w:lineRule="exact"/>
              <w:rPr>
                <w:sz w:val="20"/>
                <w:szCs w:val="20"/>
                <w:color w:val="auto"/>
              </w:rPr>
            </w:pPr>
            <w:r>
              <w:rPr>
                <w:rFonts w:ascii="Times New Roman" w:cs="Times New Roman" w:eastAsia="Times New Roman" w:hAnsi="Times New Roman"/>
                <w:sz w:val="22"/>
                <w:szCs w:val="22"/>
                <w:color w:val="auto"/>
              </w:rPr>
              <w:t>S-5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14</w:t>
            </w:r>
          </w:p>
        </w:tc>
        <w:tc>
          <w:tcPr>
            <w:tcW w:w="1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73"/>
        </w:trPr>
        <w:tc>
          <w:tcPr>
            <w:tcW w:w="3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3024505</wp:posOffset>
            </wp:positionH>
            <wp:positionV relativeFrom="page">
              <wp:posOffset>641985</wp:posOffset>
            </wp:positionV>
            <wp:extent cx="33655" cy="3511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3511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253"/>
        </w:trPr>
        <w:tc>
          <w:tcPr>
            <w:tcW w:w="3200" w:type="dxa"/>
            <w:vAlign w:val="bottom"/>
            <w:shd w:val="clear" w:color="auto" w:fill="BFBFBF"/>
          </w:tcPr>
          <w:p>
            <w:pPr>
              <w:spacing w:after="0"/>
              <w:rPr>
                <w:sz w:val="22"/>
                <w:szCs w:val="22"/>
                <w:color w:val="auto"/>
              </w:rPr>
            </w:pPr>
          </w:p>
        </w:tc>
        <w:tc>
          <w:tcPr>
            <w:tcW w:w="1280" w:type="dxa"/>
            <w:vAlign w:val="bottom"/>
            <w:shd w:val="clear" w:color="auto" w:fill="BFBFBF"/>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Country</w:t>
            </w:r>
          </w:p>
        </w:tc>
        <w:tc>
          <w:tcPr>
            <w:tcW w:w="4160" w:type="dxa"/>
            <w:vAlign w:val="bottom"/>
            <w:shd w:val="clear" w:color="auto" w:fill="BFBFBF"/>
          </w:tcPr>
          <w:p>
            <w:pPr>
              <w:spacing w:after="0"/>
              <w:rPr>
                <w:sz w:val="22"/>
                <w:szCs w:val="22"/>
                <w:color w:val="auto"/>
              </w:rPr>
            </w:pPr>
          </w:p>
        </w:tc>
        <w:tc>
          <w:tcPr>
            <w:tcW w:w="1800" w:type="dxa"/>
            <w:vAlign w:val="bottom"/>
            <w:shd w:val="clear" w:color="auto" w:fill="BFBFBF"/>
          </w:tcPr>
          <w:p>
            <w:pPr>
              <w:ind w:left="700"/>
              <w:spacing w:after="0"/>
              <w:rPr>
                <w:sz w:val="20"/>
                <w:szCs w:val="20"/>
                <w:color w:val="auto"/>
              </w:rPr>
            </w:pPr>
            <w:r>
              <w:rPr>
                <w:rFonts w:ascii="Times New Roman" w:cs="Times New Roman" w:eastAsia="Times New Roman" w:hAnsi="Times New Roman"/>
                <w:sz w:val="22"/>
                <w:szCs w:val="22"/>
                <w:b w:val="1"/>
                <w:bCs w:val="1"/>
                <w:color w:val="auto"/>
              </w:rPr>
              <w:t>Recovery</w:t>
            </w:r>
          </w:p>
        </w:tc>
        <w:tc>
          <w:tcPr>
            <w:tcW w:w="800" w:type="dxa"/>
            <w:vAlign w:val="bottom"/>
          </w:tcPr>
          <w:p>
            <w:pPr>
              <w:spacing w:after="0"/>
              <w:rPr>
                <w:sz w:val="22"/>
                <w:szCs w:val="22"/>
                <w:color w:val="auto"/>
              </w:rPr>
            </w:pPr>
          </w:p>
        </w:tc>
      </w:tr>
      <w:tr>
        <w:trPr>
          <w:trHeight w:val="274"/>
        </w:trPr>
        <w:tc>
          <w:tcPr>
            <w:tcW w:w="3200" w:type="dxa"/>
            <w:vAlign w:val="bottom"/>
            <w:tcBorders>
              <w:bottom w:val="single" w:sz="8" w:color="auto"/>
            </w:tcBorders>
            <w:shd w:val="clear" w:color="auto" w:fill="BFBFBF"/>
          </w:tcPr>
          <w:p>
            <w:pPr>
              <w:ind w:left="920"/>
              <w:spacing w:after="0"/>
              <w:rPr>
                <w:sz w:val="20"/>
                <w:szCs w:val="20"/>
                <w:color w:val="auto"/>
              </w:rPr>
            </w:pPr>
            <w:r>
              <w:rPr>
                <w:rFonts w:ascii="Times New Roman" w:cs="Times New Roman" w:eastAsia="Times New Roman" w:hAnsi="Times New Roman"/>
                <w:sz w:val="22"/>
                <w:szCs w:val="22"/>
                <w:b w:val="1"/>
                <w:bCs w:val="1"/>
                <w:color w:val="auto"/>
              </w:rPr>
              <w:t>Country Name</w:t>
            </w:r>
          </w:p>
        </w:tc>
        <w:tc>
          <w:tcPr>
            <w:tcW w:w="1280" w:type="dxa"/>
            <w:vAlign w:val="bottom"/>
            <w:tcBorders>
              <w:bottom w:val="single" w:sz="8" w:color="auto"/>
            </w:tcBorders>
            <w:shd w:val="clear" w:color="auto" w:fill="BFBFBF"/>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Code</w:t>
            </w:r>
          </w:p>
        </w:tc>
        <w:tc>
          <w:tcPr>
            <w:tcW w:w="4160" w:type="dxa"/>
            <w:vAlign w:val="bottom"/>
            <w:tcBorders>
              <w:bottom w:val="single" w:sz="8" w:color="auto"/>
            </w:tcBorders>
            <w:shd w:val="clear" w:color="auto" w:fill="BFBFBF"/>
          </w:tcPr>
          <w:p>
            <w:pPr>
              <w:ind w:left="2000"/>
              <w:spacing w:after="0"/>
              <w:rPr>
                <w:sz w:val="20"/>
                <w:szCs w:val="20"/>
                <w:color w:val="auto"/>
              </w:rPr>
            </w:pPr>
            <w:r>
              <w:rPr>
                <w:rFonts w:ascii="Times New Roman" w:cs="Times New Roman" w:eastAsia="Times New Roman" w:hAnsi="Times New Roman"/>
                <w:sz w:val="22"/>
                <w:szCs w:val="22"/>
                <w:b w:val="1"/>
                <w:bCs w:val="1"/>
                <w:color w:val="auto"/>
              </w:rPr>
              <w:t>Region</w:t>
            </w:r>
          </w:p>
        </w:tc>
        <w:tc>
          <w:tcPr>
            <w:tcW w:w="1800" w:type="dxa"/>
            <w:vAlign w:val="bottom"/>
            <w:tcBorders>
              <w:bottom w:val="single" w:sz="8" w:color="auto"/>
            </w:tcBorders>
            <w:shd w:val="clear" w:color="auto" w:fill="BFBFBF"/>
          </w:tcPr>
          <w:p>
            <w:pPr>
              <w:ind w:left="840"/>
              <w:spacing w:after="0"/>
              <w:rPr>
                <w:sz w:val="20"/>
                <w:szCs w:val="20"/>
                <w:color w:val="auto"/>
              </w:rPr>
            </w:pPr>
            <w:r>
              <w:rPr>
                <w:rFonts w:ascii="Times New Roman" w:cs="Times New Roman" w:eastAsia="Times New Roman" w:hAnsi="Times New Roman"/>
                <w:sz w:val="22"/>
                <w:szCs w:val="22"/>
                <w:b w:val="1"/>
                <w:bCs w:val="1"/>
                <w:color w:val="auto"/>
              </w:rPr>
              <w:t>Group</w:t>
            </w:r>
          </w:p>
        </w:tc>
        <w:tc>
          <w:tcPr>
            <w:tcW w:w="800" w:type="dxa"/>
            <w:vAlign w:val="bottom"/>
          </w:tcPr>
          <w:p>
            <w:pPr>
              <w:spacing w:after="0"/>
              <w:rPr>
                <w:sz w:val="23"/>
                <w:szCs w:val="23"/>
                <w:color w:val="auto"/>
              </w:rPr>
            </w:pPr>
          </w:p>
        </w:tc>
      </w:tr>
      <w:tr>
        <w:trPr>
          <w:trHeight w:val="209"/>
        </w:trPr>
        <w:tc>
          <w:tcPr>
            <w:tcW w:w="320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Syrian Arab Republic</w:t>
            </w:r>
          </w:p>
        </w:tc>
        <w:tc>
          <w:tcPr>
            <w:tcW w:w="1280" w:type="dxa"/>
            <w:vAlign w:val="bottom"/>
          </w:tcPr>
          <w:p>
            <w:pPr>
              <w:jc w:val="right"/>
              <w:spacing w:after="0" w:line="209" w:lineRule="exact"/>
              <w:rPr>
                <w:sz w:val="20"/>
                <w:szCs w:val="20"/>
                <w:color w:val="auto"/>
              </w:rPr>
            </w:pPr>
            <w:r>
              <w:rPr>
                <w:rFonts w:ascii="Times New Roman" w:cs="Times New Roman" w:eastAsia="Times New Roman" w:hAnsi="Times New Roman"/>
                <w:sz w:val="22"/>
                <w:szCs w:val="22"/>
                <w:color w:val="auto"/>
              </w:rPr>
              <w:t>963</w:t>
            </w:r>
          </w:p>
        </w:tc>
        <w:tc>
          <w:tcPr>
            <w:tcW w:w="41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Middle East: MENA</w:t>
            </w:r>
          </w:p>
        </w:tc>
        <w:tc>
          <w:tcPr>
            <w:tcW w:w="1800" w:type="dxa"/>
            <w:vAlign w:val="bottom"/>
          </w:tcPr>
          <w:p>
            <w:pPr>
              <w:ind w:left="600"/>
              <w:spacing w:after="0" w:line="209"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18"/>
                <w:szCs w:val="18"/>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Taiwan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886</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China, Hong Kong, Taiwan</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Tajikistan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992</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Russia &amp; CIS</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Tanzania/Zanzibar</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255</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Thailand</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Southeast, Korea and Japan</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Togo</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228</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Tonga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676</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Asia-Pacific: Islands</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Trinidad &amp; Tobago</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868</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Tunisia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216</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Middle East: MENA</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Turkey</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Eastern</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Turkmenistan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993</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Russia &amp; CIS</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Turks &amp; Caicos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649</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Other Central and Caribbean</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Tuvalu</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688</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Asia-Pacific: Islands</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Uganda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256</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Ukraine</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380</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Russia &amp; CIS</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United Arab Emirates</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971</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Middle East: Gulf States</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United Kingdom</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Western</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Uruguay</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598</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Mercosur and Southern Cone</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USA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U.S. and Canada</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A</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Uzbekistan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998</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Europe: Russia &amp; CIS</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Vanuatu</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678</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Asia-Pacific: Islands</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Venezuela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Americas: Andean</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Vietnam</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Asia: Southeast, Korea, and Japan</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Western Sahara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1212</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Middle East: MENA</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Yemen</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967</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Middle East: Gulf States</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43"/>
        </w:trPr>
        <w:tc>
          <w:tcPr>
            <w:tcW w:w="3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Zambia</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260</w:t>
            </w:r>
          </w:p>
        </w:tc>
        <w:tc>
          <w:tcPr>
            <w:tcW w:w="4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Africa: Sub-Saharan</w:t>
            </w:r>
          </w:p>
        </w:tc>
        <w:tc>
          <w:tcPr>
            <w:tcW w:w="18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1"/>
                <w:szCs w:val="21"/>
                <w:color w:val="auto"/>
              </w:rPr>
            </w:pPr>
          </w:p>
        </w:tc>
      </w:tr>
      <w:tr>
        <w:trPr>
          <w:trHeight w:val="282"/>
        </w:trPr>
        <w:tc>
          <w:tcPr>
            <w:tcW w:w="32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Zimbabwe</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263</w:t>
            </w:r>
          </w:p>
        </w:tc>
        <w:tc>
          <w:tcPr>
            <w:tcW w:w="4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Africa: Sub-Saharan</w:t>
            </w:r>
          </w:p>
        </w:tc>
        <w:tc>
          <w:tcPr>
            <w:tcW w:w="1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C</w:t>
            </w:r>
          </w:p>
        </w:tc>
        <w:tc>
          <w:tcPr>
            <w:tcW w:w="800" w:type="dxa"/>
            <w:vAlign w:val="bottom"/>
          </w:tcPr>
          <w:p>
            <w:pPr>
              <w:spacing w:after="0"/>
              <w:rPr>
                <w:sz w:val="24"/>
                <w:szCs w:val="24"/>
                <w:color w:val="auto"/>
              </w:rPr>
            </w:pPr>
          </w:p>
        </w:tc>
      </w:tr>
      <w:tr>
        <w:trPr>
          <w:trHeight w:val="720"/>
        </w:trPr>
        <w:tc>
          <w:tcPr>
            <w:tcW w:w="3200" w:type="dxa"/>
            <w:vAlign w:val="bottom"/>
          </w:tcPr>
          <w:p>
            <w:pPr>
              <w:spacing w:after="0" w:line="253" w:lineRule="exact"/>
              <w:rPr>
                <w:sz w:val="20"/>
                <w:szCs w:val="20"/>
                <w:color w:val="auto"/>
              </w:rPr>
            </w:pPr>
            <w:r>
              <w:rPr>
                <w:rFonts w:ascii="Times New Roman" w:cs="Times New Roman" w:eastAsia="Times New Roman" w:hAnsi="Times New Roman"/>
                <w:sz w:val="22"/>
                <w:szCs w:val="22"/>
                <w:color w:val="auto"/>
              </w:rPr>
              <w:t>S-5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15</w:t>
            </w:r>
          </w:p>
        </w:tc>
        <w:tc>
          <w:tcPr>
            <w:tcW w:w="12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81"/>
        </w:trPr>
        <w:tc>
          <w:tcPr>
            <w:tcW w:w="3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3024505</wp:posOffset>
            </wp:positionH>
            <wp:positionV relativeFrom="page">
              <wp:posOffset>641985</wp:posOffset>
            </wp:positionV>
            <wp:extent cx="33655" cy="3511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3511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0" w:name="page281"/>
    <w:bookmarkEnd w:id="28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6</w:t>
      </w:r>
    </w:p>
    <w:p>
      <w:pPr>
        <w:spacing w:after="0" w:line="233" w:lineRule="exact"/>
        <w:rPr>
          <w:sz w:val="20"/>
          <w:szCs w:val="20"/>
          <w:color w:val="auto"/>
        </w:rPr>
      </w:pPr>
    </w:p>
    <w:p>
      <w:pPr>
        <w:jc w:val="right"/>
        <w:ind w:right="3859"/>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176"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5" w:right="1440" w:bottom="1440" w:gutter="0" w:footer="0" w:header="0"/>
        </w:sectPr>
      </w:pPr>
    </w:p>
    <w:bookmarkStart w:id="281" w:name="page282"/>
    <w:bookmarkEnd w:id="281"/>
    <w:p>
      <w:pPr>
        <w:jc w:val="center"/>
        <w:spacing w:after="0"/>
        <w:rPr>
          <w:sz w:val="20"/>
          <w:szCs w:val="20"/>
          <w:color w:val="auto"/>
        </w:rPr>
      </w:pPr>
      <w:r>
        <w:rPr>
          <w:rFonts w:ascii="Times New Roman" w:cs="Times New Roman" w:eastAsia="Times New Roman" w:hAnsi="Times New Roman"/>
          <w:sz w:val="22"/>
          <w:szCs w:val="22"/>
          <w:b w:val="1"/>
          <w:bCs w:val="1"/>
          <w:color w:val="auto"/>
        </w:rPr>
        <w:t>Schedule 7</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S&amp;P CDO MONITOR FORMULA DEFINITIONS</w:t>
      </w:r>
    </w:p>
    <w:p>
      <w:pPr>
        <w:spacing w:after="0" w:line="200" w:lineRule="exact"/>
        <w:rPr>
          <w:sz w:val="20"/>
          <w:szCs w:val="20"/>
          <w:color w:val="auto"/>
        </w:rPr>
      </w:pP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As used for purposes of the S&amp;P CDO Monitor Test, the following terms have the meanings set forth below:</w:t>
      </w:r>
    </w:p>
    <w:p>
      <w:pPr>
        <w:spacing w:after="0" w:line="20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S&amp;P CDO Monitor Adjusted BDR</w:t>
      </w:r>
      <w:r>
        <w:rPr>
          <w:rFonts w:ascii="Times New Roman" w:cs="Times New Roman" w:eastAsia="Times New Roman" w:hAnsi="Times New Roman"/>
          <w:sz w:val="22"/>
          <w:szCs w:val="22"/>
          <w:color w:val="auto"/>
        </w:rPr>
        <w:t>": The rate equal to:</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BDR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(OP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NP)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(NP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OP)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(NP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(1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WARR)),</w:t>
      </w:r>
    </w:p>
    <w:p>
      <w:pPr>
        <w:spacing w:after="0" w:line="237" w:lineRule="exact"/>
        <w:rPr>
          <w:sz w:val="20"/>
          <w:szCs w:val="20"/>
          <w:color w:val="auto"/>
        </w:rPr>
      </w:pPr>
    </w:p>
    <w:tbl>
      <w:tblPr>
        <w:tblLayout w:type="fixed"/>
        <w:tblInd w:w="1870" w:type="dxa"/>
        <w:tblCellMar>
          <w:top w:w="0" w:type="dxa"/>
          <w:left w:w="0" w:type="dxa"/>
          <w:bottom w:w="0" w:type="dxa"/>
          <w:right w:w="0" w:type="dxa"/>
        </w:tblCellMar>
      </w:tblPr>
      <w:tr>
        <w:trPr>
          <w:trHeight w:val="282"/>
        </w:trPr>
        <w:tc>
          <w:tcPr>
            <w:tcW w:w="2060" w:type="dxa"/>
            <w:vAlign w:val="bottom"/>
          </w:tcPr>
          <w:p>
            <w:pPr>
              <w:spacing w:after="0"/>
              <w:rPr>
                <w:sz w:val="24"/>
                <w:szCs w:val="24"/>
                <w:color w:val="auto"/>
              </w:rPr>
            </w:pPr>
          </w:p>
        </w:tc>
        <w:tc>
          <w:tcPr>
            <w:tcW w:w="548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where</w:t>
            </w:r>
          </w:p>
        </w:tc>
      </w:tr>
      <w:tr>
        <w:trPr>
          <w:trHeight w:val="64"/>
        </w:trPr>
        <w:tc>
          <w:tcPr>
            <w:tcW w:w="2060" w:type="dxa"/>
            <w:vAlign w:val="bottom"/>
            <w:tcBorders>
              <w:bottom w:val="single" w:sz="8" w:color="auto"/>
            </w:tcBorders>
          </w:tcPr>
          <w:p>
            <w:pPr>
              <w:spacing w:after="0"/>
              <w:rPr>
                <w:sz w:val="5"/>
                <w:szCs w:val="5"/>
                <w:color w:val="auto"/>
              </w:rPr>
            </w:pPr>
          </w:p>
        </w:tc>
        <w:tc>
          <w:tcPr>
            <w:tcW w:w="5480" w:type="dxa"/>
            <w:vAlign w:val="bottom"/>
            <w:tcBorders>
              <w:bottom w:val="single" w:sz="8" w:color="auto"/>
            </w:tcBorders>
          </w:tcPr>
          <w:p>
            <w:pPr>
              <w:spacing w:after="0"/>
              <w:rPr>
                <w:sz w:val="5"/>
                <w:szCs w:val="5"/>
                <w:color w:val="auto"/>
              </w:rPr>
            </w:pPr>
          </w:p>
        </w:tc>
      </w:tr>
      <w:tr>
        <w:trPr>
          <w:trHeight w:val="223"/>
        </w:trPr>
        <w:tc>
          <w:tcPr>
            <w:tcW w:w="2060" w:type="dxa"/>
            <w:vAlign w:val="bottom"/>
            <w:tcBorders>
              <w:top w:val="single" w:sz="8" w:color="auto"/>
              <w:left w:val="single" w:sz="8" w:color="auto"/>
              <w:bottom w:val="single" w:sz="8" w:color="auto"/>
              <w:right w:val="single" w:sz="8" w:color="auto"/>
            </w:tcBorders>
            <w:shd w:val="clear" w:color="auto" w:fill="BFBFBF"/>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rPr>
              <w:t>Term</w:t>
            </w:r>
          </w:p>
        </w:tc>
        <w:tc>
          <w:tcPr>
            <w:tcW w:w="5480" w:type="dxa"/>
            <w:vAlign w:val="bottom"/>
            <w:tcBorders>
              <w:top w:val="single" w:sz="8" w:color="BFBFBF"/>
              <w:bottom w:val="single" w:sz="8" w:color="auto"/>
              <w:right w:val="single" w:sz="8" w:color="auto"/>
            </w:tcBorders>
            <w:shd w:val="clear" w:color="auto" w:fill="BFBFBF"/>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7"/>
              </w:rPr>
              <w:t>Meaning</w:t>
            </w:r>
          </w:p>
        </w:tc>
      </w:tr>
      <w:tr>
        <w:trPr>
          <w:trHeight w:val="206"/>
        </w:trPr>
        <w:tc>
          <w:tcPr>
            <w:tcW w:w="2060" w:type="dxa"/>
            <w:vAlign w:val="bottom"/>
            <w:tcBorders>
              <w:bottom w:val="single" w:sz="8" w:color="BFBFBF"/>
              <w:right w:val="single" w:sz="8" w:color="BFBFBF"/>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7"/>
              </w:rPr>
              <w:t>BDR</w:t>
            </w:r>
          </w:p>
        </w:tc>
        <w:tc>
          <w:tcPr>
            <w:tcW w:w="5480" w:type="dxa"/>
            <w:vAlign w:val="bottom"/>
            <w:tcBorders>
              <w:bottom w:val="single" w:sz="8" w:color="BFBFBF"/>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S&amp;P CDO Monitor BDR</w:t>
            </w:r>
          </w:p>
        </w:tc>
      </w:tr>
      <w:tr>
        <w:trPr>
          <w:trHeight w:val="223"/>
        </w:trPr>
        <w:tc>
          <w:tcPr>
            <w:tcW w:w="20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3"/>
              </w:rPr>
              <w:t>OP</w:t>
            </w:r>
          </w:p>
        </w:tc>
        <w:tc>
          <w:tcPr>
            <w:tcW w:w="54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Target Initial Par Amount</w:t>
            </w:r>
          </w:p>
        </w:tc>
      </w:tr>
      <w:tr>
        <w:trPr>
          <w:trHeight w:val="200"/>
        </w:trPr>
        <w:tc>
          <w:tcPr>
            <w:tcW w:w="2060" w:type="dxa"/>
            <w:vAlign w:val="bottom"/>
            <w:tcBorders>
              <w:right w:val="single" w:sz="8" w:color="BFBFBF"/>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3"/>
              </w:rPr>
              <w:t>NP</w:t>
            </w:r>
          </w:p>
        </w:tc>
        <w:tc>
          <w:tcPr>
            <w:tcW w:w="54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the sum of the Collateral Principal Amount and the S&amp;P</w:t>
            </w:r>
          </w:p>
        </w:tc>
      </w:tr>
      <w:tr>
        <w:trPr>
          <w:trHeight w:val="252"/>
        </w:trPr>
        <w:tc>
          <w:tcPr>
            <w:tcW w:w="2060" w:type="dxa"/>
            <w:vAlign w:val="bottom"/>
            <w:tcBorders>
              <w:bottom w:val="single" w:sz="8" w:color="BFBFBF"/>
              <w:right w:val="single" w:sz="8" w:color="BFBFBF"/>
            </w:tcBorders>
          </w:tcPr>
          <w:p>
            <w:pPr>
              <w:spacing w:after="0"/>
              <w:rPr>
                <w:sz w:val="21"/>
                <w:szCs w:val="21"/>
                <w:color w:val="auto"/>
              </w:rPr>
            </w:pPr>
          </w:p>
        </w:tc>
        <w:tc>
          <w:tcPr>
            <w:tcW w:w="5480" w:type="dxa"/>
            <w:vAlign w:val="bottom"/>
            <w:tcBorders>
              <w:bottom w:val="single" w:sz="8" w:color="BFBFBF"/>
            </w:tcBorders>
          </w:tcPr>
          <w:p>
            <w:pPr>
              <w:jc w:val="center"/>
              <w:spacing w:after="0"/>
              <w:rPr>
                <w:sz w:val="20"/>
                <w:szCs w:val="20"/>
                <w:color w:val="auto"/>
              </w:rPr>
            </w:pPr>
            <w:r>
              <w:rPr>
                <w:rFonts w:ascii="Times New Roman" w:cs="Times New Roman" w:eastAsia="Times New Roman" w:hAnsi="Times New Roman"/>
                <w:sz w:val="20"/>
                <w:szCs w:val="20"/>
                <w:color w:val="auto"/>
                <w:w w:val="99"/>
              </w:rPr>
              <w:t>Collateral Value of all Defaulted Obligations</w:t>
            </w:r>
          </w:p>
        </w:tc>
      </w:tr>
      <w:tr>
        <w:trPr>
          <w:trHeight w:val="223"/>
        </w:trPr>
        <w:tc>
          <w:tcPr>
            <w:tcW w:w="2060" w:type="dxa"/>
            <w:vAlign w:val="bottom"/>
            <w:tcBorders>
              <w:left w:val="single" w:sz="8" w:color="auto"/>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WARR</w:t>
            </w:r>
          </w:p>
        </w:tc>
        <w:tc>
          <w:tcPr>
            <w:tcW w:w="54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Weighted Average S&amp;P Recovery Rate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-775335</wp:posOffset>
            </wp:positionV>
            <wp:extent cx="34290" cy="6337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633730"/>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-775335</wp:posOffset>
            </wp:positionV>
            <wp:extent cx="33655" cy="6337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633730"/>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-166370</wp:posOffset>
            </wp:positionV>
            <wp:extent cx="34290" cy="1797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179705"/>
                    </a:xfrm>
                    <a:prstGeom prst="rect">
                      <a:avLst/>
                    </a:prstGeom>
                    <a:noFill/>
                  </pic:spPr>
                </pic:pic>
              </a:graphicData>
            </a:graphic>
          </wp:anchor>
        </w:drawing>
      </w:r>
    </w:p>
    <w:p>
      <w:pPr>
        <w:spacing w:after="0" w:line="16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CDO Monitor BDR</w:t>
      </w:r>
      <w:r>
        <w:rPr>
          <w:rFonts w:ascii="Times New Roman" w:cs="Times New Roman" w:eastAsia="Times New Roman" w:hAnsi="Times New Roman"/>
          <w:sz w:val="22"/>
          <w:szCs w:val="22"/>
          <w:color w:val="auto"/>
        </w:rPr>
        <w:t>": As of any date of determination, the rate equal to the sum of (A) 0.113707, (B) the product of (x) 3.090598 and (y) the Weighted Average Floating Spread and (C) the product of (x) 1.214285 and (y) the Weighted Average S&amp;P Recovery Rate.</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S&amp;P CDO Monitor SDR</w:t>
      </w:r>
      <w:r>
        <w:rPr>
          <w:rFonts w:ascii="Times New Roman" w:cs="Times New Roman" w:eastAsia="Times New Roman" w:hAnsi="Times New Roman"/>
          <w:sz w:val="22"/>
          <w:szCs w:val="22"/>
          <w:color w:val="auto"/>
        </w:rPr>
        <w:t>": The rate equal to:</w:t>
      </w:r>
    </w:p>
    <w:p>
      <w:pPr>
        <w:spacing w:after="0" w:line="208" w:lineRule="exact"/>
        <w:rPr>
          <w:sz w:val="20"/>
          <w:szCs w:val="20"/>
          <w:color w:val="auto"/>
        </w:rPr>
      </w:pPr>
    </w:p>
    <w:p>
      <w:pPr>
        <w:jc w:val="center"/>
        <w:ind w:right="60"/>
        <w:spacing w:after="0" w:line="262" w:lineRule="auto"/>
        <w:rPr>
          <w:sz w:val="20"/>
          <w:szCs w:val="20"/>
          <w:color w:val="auto"/>
        </w:rPr>
      </w:pPr>
      <w:r>
        <w:rPr>
          <w:rFonts w:ascii="Times New Roman" w:cs="Times New Roman" w:eastAsia="Times New Roman" w:hAnsi="Times New Roman"/>
          <w:sz w:val="22"/>
          <w:szCs w:val="22"/>
          <w:color w:val="auto"/>
        </w:rPr>
        <w:t xml:space="preserve">0.247621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(SPWARF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9162.65)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(DRD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16757.2)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(ODM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7677.8)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(IDM </w:t>
      </w:r>
      <w:r>
        <w:rPr>
          <w:rFonts w:ascii="Times New Roman" w:cs="Times New Roman" w:eastAsia="Times New Roman" w:hAnsi="Times New Roman"/>
          <w:sz w:val="22"/>
          <w:szCs w:val="22"/>
          <w:i w:val="1"/>
          <w:iCs w:val="1"/>
          <w:color w:val="auto"/>
        </w:rPr>
        <w:t xml:space="preserve">divided by </w:t>
      </w:r>
      <w:r>
        <w:rPr>
          <w:rFonts w:ascii="Times New Roman" w:cs="Times New Roman" w:eastAsia="Times New Roman" w:hAnsi="Times New Roman"/>
          <w:sz w:val="22"/>
          <w:szCs w:val="22"/>
          <w:color w:val="auto"/>
        </w:rPr>
        <w:t>2177.56)</w:t>
      </w:r>
      <w:r>
        <w:rPr>
          <w:rFonts w:ascii="Times New Roman" w:cs="Times New Roman" w:eastAsia="Times New Roman" w:hAnsi="Times New Roman"/>
          <w:sz w:val="22"/>
          <w:szCs w:val="22"/>
          <w:i w:val="1"/>
          <w:iCs w:val="1"/>
          <w:color w:val="auto"/>
        </w:rPr>
        <w:t xml:space="preserve"> minus </w:t>
      </w:r>
      <w:r>
        <w:rPr>
          <w:rFonts w:ascii="Times New Roman" w:cs="Times New Roman" w:eastAsia="Times New Roman" w:hAnsi="Times New Roman"/>
          <w:sz w:val="22"/>
          <w:szCs w:val="22"/>
          <w:color w:val="auto"/>
        </w:rPr>
        <w:t>(RDM</w:t>
      </w:r>
      <w:r>
        <w:rPr>
          <w:rFonts w:ascii="Times New Roman" w:cs="Times New Roman" w:eastAsia="Times New Roman" w:hAnsi="Times New Roman"/>
          <w:sz w:val="22"/>
          <w:szCs w:val="22"/>
          <w:i w:val="1"/>
          <w:iCs w:val="1"/>
          <w:color w:val="auto"/>
        </w:rPr>
        <w:t xml:space="preserve"> divided by </w:t>
      </w:r>
      <w:r>
        <w:rPr>
          <w:rFonts w:ascii="Times New Roman" w:cs="Times New Roman" w:eastAsia="Times New Roman" w:hAnsi="Times New Roman"/>
          <w:sz w:val="22"/>
          <w:szCs w:val="22"/>
          <w:color w:val="auto"/>
        </w:rPr>
        <w:t>34.0948)</w:t>
      </w:r>
      <w:r>
        <w:rPr>
          <w:rFonts w:ascii="Times New Roman" w:cs="Times New Roman" w:eastAsia="Times New Roman" w:hAnsi="Times New Roman"/>
          <w:sz w:val="22"/>
          <w:szCs w:val="22"/>
          <w:i w:val="1"/>
          <w:iCs w:val="1"/>
          <w:color w:val="auto"/>
        </w:rPr>
        <w:t xml:space="preserve"> plus </w:t>
      </w:r>
      <w:r>
        <w:rPr>
          <w:rFonts w:ascii="Times New Roman" w:cs="Times New Roman" w:eastAsia="Times New Roman" w:hAnsi="Times New Roman"/>
          <w:sz w:val="22"/>
          <w:szCs w:val="22"/>
          <w:color w:val="auto"/>
        </w:rPr>
        <w:t>(WAL</w:t>
      </w:r>
      <w:r>
        <w:rPr>
          <w:rFonts w:ascii="Times New Roman" w:cs="Times New Roman" w:eastAsia="Times New Roman" w:hAnsi="Times New Roman"/>
          <w:sz w:val="22"/>
          <w:szCs w:val="22"/>
          <w:i w:val="1"/>
          <w:iCs w:val="1"/>
          <w:color w:val="auto"/>
        </w:rPr>
        <w:t xml:space="preserve"> divided by </w:t>
      </w:r>
      <w:r>
        <w:rPr>
          <w:rFonts w:ascii="Times New Roman" w:cs="Times New Roman" w:eastAsia="Times New Roman" w:hAnsi="Times New Roman"/>
          <w:sz w:val="22"/>
          <w:szCs w:val="22"/>
          <w:color w:val="auto"/>
        </w:rPr>
        <w:t>27.3896),</w:t>
      </w:r>
    </w:p>
    <w:p>
      <w:pPr>
        <w:spacing w:after="0" w:line="181" w:lineRule="exact"/>
        <w:rPr>
          <w:sz w:val="20"/>
          <w:szCs w:val="20"/>
          <w:color w:val="auto"/>
        </w:rPr>
      </w:pPr>
    </w:p>
    <w:tbl>
      <w:tblPr>
        <w:tblLayout w:type="fixed"/>
        <w:tblInd w:w="1870" w:type="dxa"/>
        <w:tblCellMar>
          <w:top w:w="0" w:type="dxa"/>
          <w:left w:w="0" w:type="dxa"/>
          <w:bottom w:w="0" w:type="dxa"/>
          <w:right w:w="0" w:type="dxa"/>
        </w:tblCellMar>
      </w:tblPr>
      <w:tr>
        <w:trPr>
          <w:trHeight w:val="282"/>
        </w:trPr>
        <w:tc>
          <w:tcPr>
            <w:tcW w:w="2060" w:type="dxa"/>
            <w:vAlign w:val="bottom"/>
          </w:tcPr>
          <w:p>
            <w:pPr>
              <w:spacing w:after="0"/>
              <w:rPr>
                <w:sz w:val="24"/>
                <w:szCs w:val="24"/>
                <w:color w:val="auto"/>
              </w:rPr>
            </w:pPr>
          </w:p>
        </w:tc>
        <w:tc>
          <w:tcPr>
            <w:tcW w:w="548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where</w:t>
            </w:r>
          </w:p>
        </w:tc>
      </w:tr>
      <w:tr>
        <w:trPr>
          <w:trHeight w:val="64"/>
        </w:trPr>
        <w:tc>
          <w:tcPr>
            <w:tcW w:w="2060" w:type="dxa"/>
            <w:vAlign w:val="bottom"/>
            <w:tcBorders>
              <w:bottom w:val="single" w:sz="8" w:color="auto"/>
            </w:tcBorders>
          </w:tcPr>
          <w:p>
            <w:pPr>
              <w:spacing w:after="0"/>
              <w:rPr>
                <w:sz w:val="5"/>
                <w:szCs w:val="5"/>
                <w:color w:val="auto"/>
              </w:rPr>
            </w:pPr>
          </w:p>
        </w:tc>
        <w:tc>
          <w:tcPr>
            <w:tcW w:w="5480" w:type="dxa"/>
            <w:vAlign w:val="bottom"/>
            <w:tcBorders>
              <w:bottom w:val="single" w:sz="8" w:color="auto"/>
            </w:tcBorders>
          </w:tcPr>
          <w:p>
            <w:pPr>
              <w:spacing w:after="0"/>
              <w:rPr>
                <w:sz w:val="5"/>
                <w:szCs w:val="5"/>
                <w:color w:val="auto"/>
              </w:rPr>
            </w:pPr>
          </w:p>
        </w:tc>
      </w:tr>
      <w:tr>
        <w:trPr>
          <w:trHeight w:val="223"/>
        </w:trPr>
        <w:tc>
          <w:tcPr>
            <w:tcW w:w="2060" w:type="dxa"/>
            <w:vAlign w:val="bottom"/>
            <w:tcBorders>
              <w:top w:val="single" w:sz="8" w:color="auto"/>
              <w:left w:val="single" w:sz="8" w:color="auto"/>
              <w:bottom w:val="single" w:sz="8" w:color="auto"/>
              <w:right w:val="single" w:sz="8" w:color="auto"/>
            </w:tcBorders>
            <w:shd w:val="clear" w:color="auto" w:fill="BFBFBF"/>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rPr>
              <w:t>Term</w:t>
            </w:r>
          </w:p>
        </w:tc>
        <w:tc>
          <w:tcPr>
            <w:tcW w:w="5480" w:type="dxa"/>
            <w:vAlign w:val="bottom"/>
            <w:tcBorders>
              <w:top w:val="single" w:sz="8" w:color="BFBFBF"/>
              <w:bottom w:val="single" w:sz="8" w:color="auto"/>
              <w:right w:val="single" w:sz="8" w:color="auto"/>
            </w:tcBorders>
            <w:shd w:val="clear" w:color="auto" w:fill="BFBFBF"/>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7"/>
              </w:rPr>
              <w:t>Meaning</w:t>
            </w:r>
          </w:p>
        </w:tc>
      </w:tr>
      <w:tr>
        <w:trPr>
          <w:trHeight w:val="206"/>
        </w:trPr>
        <w:tc>
          <w:tcPr>
            <w:tcW w:w="2060" w:type="dxa"/>
            <w:vAlign w:val="bottom"/>
            <w:tcBorders>
              <w:bottom w:val="single" w:sz="8" w:color="BFBFBF"/>
              <w:right w:val="single" w:sz="8" w:color="BFBFBF"/>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9"/>
              </w:rPr>
              <w:t>SPWARF</w:t>
            </w:r>
          </w:p>
        </w:tc>
        <w:tc>
          <w:tcPr>
            <w:tcW w:w="5480" w:type="dxa"/>
            <w:vAlign w:val="bottom"/>
            <w:tcBorders>
              <w:bottom w:val="single" w:sz="8" w:color="BFBFBF"/>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9"/>
              </w:rPr>
              <w:t>S&amp;P Weighted Average Rating Factor</w:t>
            </w:r>
          </w:p>
        </w:tc>
      </w:tr>
      <w:tr>
        <w:trPr>
          <w:trHeight w:val="223"/>
        </w:trPr>
        <w:tc>
          <w:tcPr>
            <w:tcW w:w="20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DRD</w:t>
            </w:r>
          </w:p>
        </w:tc>
        <w:tc>
          <w:tcPr>
            <w:tcW w:w="54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Default Rate Dispersion</w:t>
            </w:r>
          </w:p>
        </w:tc>
      </w:tr>
      <w:tr>
        <w:trPr>
          <w:trHeight w:val="223"/>
        </w:trPr>
        <w:tc>
          <w:tcPr>
            <w:tcW w:w="20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ODM</w:t>
            </w:r>
          </w:p>
        </w:tc>
        <w:tc>
          <w:tcPr>
            <w:tcW w:w="54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Obligor Diversity Measure</w:t>
            </w:r>
          </w:p>
        </w:tc>
      </w:tr>
      <w:tr>
        <w:trPr>
          <w:trHeight w:val="223"/>
        </w:trPr>
        <w:tc>
          <w:tcPr>
            <w:tcW w:w="20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IDM</w:t>
            </w:r>
          </w:p>
        </w:tc>
        <w:tc>
          <w:tcPr>
            <w:tcW w:w="54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Industry Diversity Measure</w:t>
            </w:r>
          </w:p>
        </w:tc>
      </w:tr>
      <w:tr>
        <w:trPr>
          <w:trHeight w:val="223"/>
        </w:trPr>
        <w:tc>
          <w:tcPr>
            <w:tcW w:w="20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RDM</w:t>
            </w:r>
          </w:p>
        </w:tc>
        <w:tc>
          <w:tcPr>
            <w:tcW w:w="54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Regional Diversity Measure</w:t>
            </w:r>
          </w:p>
        </w:tc>
      </w:tr>
      <w:tr>
        <w:trPr>
          <w:trHeight w:val="223"/>
        </w:trPr>
        <w:tc>
          <w:tcPr>
            <w:tcW w:w="2060" w:type="dxa"/>
            <w:vAlign w:val="bottom"/>
            <w:tcBorders>
              <w:left w:val="single" w:sz="8" w:color="auto"/>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WAL</w:t>
            </w:r>
          </w:p>
        </w:tc>
        <w:tc>
          <w:tcPr>
            <w:tcW w:w="54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S&amp;P Weighted Average Life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-937895</wp:posOffset>
            </wp:positionV>
            <wp:extent cx="34290" cy="7969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796925"/>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-937895</wp:posOffset>
            </wp:positionV>
            <wp:extent cx="33655" cy="7969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655" cy="796925"/>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-166370</wp:posOffset>
            </wp:positionV>
            <wp:extent cx="34290" cy="1797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179705"/>
                    </a:xfrm>
                    <a:prstGeom prst="rect">
                      <a:avLst/>
                    </a:prstGeom>
                    <a:noFill/>
                  </pic:spPr>
                </pic:pic>
              </a:graphicData>
            </a:graphic>
          </wp:anchor>
        </w:drawing>
      </w:r>
    </w:p>
    <w:p>
      <w:pPr>
        <w:spacing w:after="0" w:line="169"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 Dispersion</w:t>
      </w:r>
      <w:r>
        <w:rPr>
          <w:rFonts w:ascii="Times New Roman" w:cs="Times New Roman" w:eastAsia="Times New Roman" w:hAnsi="Times New Roman"/>
          <w:sz w:val="22"/>
          <w:szCs w:val="22"/>
          <w:color w:val="auto"/>
        </w:rPr>
        <w:t xml:space="preserve"> ": As of any date of determination, the number equal to (a) the sum of the products calculated with respect to each Collateral Obligation with an S&amp;P Rating of "CCC-" or higher by </w:t>
      </w:r>
      <w:r>
        <w:rPr>
          <w:rFonts w:ascii="Times New Roman" w:cs="Times New Roman" w:eastAsia="Times New Roman" w:hAnsi="Times New Roman"/>
          <w:sz w:val="22"/>
          <w:szCs w:val="22"/>
          <w:i w:val="1"/>
          <w:iCs w:val="1"/>
          <w:color w:val="auto"/>
        </w:rPr>
        <w:t>multiplying</w:t>
      </w:r>
      <w:r>
        <w:rPr>
          <w:rFonts w:ascii="Times New Roman" w:cs="Times New Roman" w:eastAsia="Times New Roman" w:hAnsi="Times New Roman"/>
          <w:sz w:val="22"/>
          <w:szCs w:val="22"/>
          <w:color w:val="auto"/>
        </w:rPr>
        <w:t xml:space="preserve"> (i) the absolute value of (x) the S&amp;P Rating Factor of such Collateral Obligation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(y) the S&amp;P Weighted Average Rating Factor and (ii) the outstanding Principal Balance at such time of such Collateral Obligation and (b) </w:t>
      </w:r>
      <w:r>
        <w:rPr>
          <w:rFonts w:ascii="Times New Roman" w:cs="Times New Roman" w:eastAsia="Times New Roman" w:hAnsi="Times New Roman"/>
          <w:sz w:val="22"/>
          <w:szCs w:val="22"/>
          <w:i w:val="1"/>
          <w:iCs w:val="1"/>
          <w:color w:val="auto"/>
        </w:rPr>
        <w:t>dividing</w:t>
      </w:r>
      <w:r>
        <w:rPr>
          <w:rFonts w:ascii="Times New Roman" w:cs="Times New Roman" w:eastAsia="Times New Roman" w:hAnsi="Times New Roman"/>
          <w:sz w:val="22"/>
          <w:szCs w:val="22"/>
          <w:color w:val="auto"/>
        </w:rPr>
        <w:t xml:space="preserve"> such sum by the aggregate outstanding Principal Balance on such date of all Collateral Obligations with an S&amp;P Rating of "CCC-" or higher.</w:t>
      </w:r>
    </w:p>
    <w:p>
      <w:pPr>
        <w:spacing w:after="0" w:line="17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Industry Diversity Measure</w:t>
      </w:r>
      <w:r>
        <w:rPr>
          <w:rFonts w:ascii="Times New Roman" w:cs="Times New Roman" w:eastAsia="Times New Roman" w:hAnsi="Times New Roman"/>
          <w:sz w:val="22"/>
          <w:szCs w:val="22"/>
          <w:color w:val="auto"/>
        </w:rPr>
        <w:t xml:space="preserve">": As of any date of determination, the number equal to (A) the reciprocal of (B) the sum of the squares, determined with respect to each S&amp;P Industry Classification, of (i) the outstanding Principal Balance of each Collateral Obligation with an S&amp;P Rating of "CCC-" or higher, the Obligor of which is categorized in such S&amp;P Industry Classification,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 the aggregate outstanding Principal Balance on such date of all Collateral Obligations with an S&amp;P Rating of "CCC-" or higher.</w:t>
      </w:r>
    </w:p>
    <w:p>
      <w:pPr>
        <w:spacing w:after="0" w:line="1"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82" w:name="page283"/>
    <w:bookmarkEnd w:id="282"/>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 Diversity Measure</w:t>
      </w:r>
      <w:r>
        <w:rPr>
          <w:rFonts w:ascii="Times New Roman" w:cs="Times New Roman" w:eastAsia="Times New Roman" w:hAnsi="Times New Roman"/>
          <w:sz w:val="22"/>
          <w:szCs w:val="22"/>
          <w:color w:val="auto"/>
        </w:rPr>
        <w:t xml:space="preserve">": As of any date of determination, the number equal to (A) the reciprocal of (B) the sum of the squares, determined with respect to each Obligor, of (i) the outstanding Principal Balance of each Collateral Obligation of such Obligor with an S&amp;P Rating of "CCC-" or higher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 the aggregate outstanding Principal Balance on such date of all Collateral Obligations with an S&amp;P Rating of "CCC-" or higher.</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Regional Diversity Measure</w:t>
      </w:r>
      <w:r>
        <w:rPr>
          <w:rFonts w:ascii="Times New Roman" w:cs="Times New Roman" w:eastAsia="Times New Roman" w:hAnsi="Times New Roman"/>
          <w:sz w:val="22"/>
          <w:szCs w:val="22"/>
          <w:color w:val="auto"/>
        </w:rPr>
        <w:t xml:space="preserve">": As of any date of determination, the number equal to (A) the reciprocal of (B) the sum of the squares, determined with respect to each S&amp;P Region Classification, of (i) the outstanding Principal Balance of each Collateral Obligation with an S&amp;P Rating of "CCC-" or higher, the Obligor of which is categorized in such S&amp;P Region Classification,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 the aggregate outstanding Principal Balance on such date of all Collateral Obligations with an S&amp;P Rating of "CCC-" or higher.</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Rating Factor</w:t>
      </w:r>
      <w:r>
        <w:rPr>
          <w:rFonts w:ascii="Times New Roman" w:cs="Times New Roman" w:eastAsia="Times New Roman" w:hAnsi="Times New Roman"/>
          <w:sz w:val="22"/>
          <w:szCs w:val="22"/>
          <w:color w:val="auto"/>
        </w:rPr>
        <w:t>": With respect to any Collateral Obligation, the S&amp;P rating factor corresponding to the</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S&amp;P Rating of such Collateral Obligation in the following table:</w:t>
      </w:r>
    </w:p>
    <w:p>
      <w:pPr>
        <w:spacing w:after="0" w:line="209" w:lineRule="exact"/>
        <w:rPr>
          <w:sz w:val="20"/>
          <w:szCs w:val="20"/>
          <w:color w:val="auto"/>
        </w:rPr>
      </w:pPr>
    </w:p>
    <w:tbl>
      <w:tblPr>
        <w:tblLayout w:type="fixed"/>
        <w:tblInd w:w="2670" w:type="dxa"/>
        <w:tblCellMar>
          <w:top w:w="0" w:type="dxa"/>
          <w:left w:w="0" w:type="dxa"/>
          <w:bottom w:w="0" w:type="dxa"/>
          <w:right w:w="0" w:type="dxa"/>
        </w:tblCellMar>
      </w:tblPr>
      <w:tr>
        <w:trPr>
          <w:trHeight w:val="230"/>
        </w:trPr>
        <w:tc>
          <w:tcPr>
            <w:tcW w:w="2960" w:type="dxa"/>
            <w:vAlign w:val="bottom"/>
            <w:tcBorders>
              <w:left w:val="single" w:sz="8" w:color="BFBFBF"/>
              <w:bottom w:val="single" w:sz="8" w:color="auto"/>
              <w:right w:val="single" w:sz="8" w:color="BFBFBF"/>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S&amp;P Rating</w:t>
            </w:r>
          </w:p>
        </w:tc>
        <w:tc>
          <w:tcPr>
            <w:tcW w:w="2980" w:type="dxa"/>
            <w:vAlign w:val="bottom"/>
            <w:tcBorders>
              <w:bottom w:val="single" w:sz="8" w:color="auto"/>
              <w:right w:val="single" w:sz="8" w:color="BFBFBF"/>
            </w:tcBorders>
            <w:shd w:val="clear" w:color="auto" w:fill="BFBFBF"/>
          </w:tcPr>
          <w:p>
            <w:pPr>
              <w:ind w:left="720"/>
              <w:spacing w:after="0"/>
              <w:rPr>
                <w:sz w:val="20"/>
                <w:szCs w:val="20"/>
                <w:color w:val="auto"/>
              </w:rPr>
            </w:pPr>
            <w:r>
              <w:rPr>
                <w:rFonts w:ascii="Times New Roman" w:cs="Times New Roman" w:eastAsia="Times New Roman" w:hAnsi="Times New Roman"/>
                <w:sz w:val="20"/>
                <w:szCs w:val="20"/>
                <w:b w:val="1"/>
                <w:bCs w:val="1"/>
                <w:color w:val="auto"/>
              </w:rPr>
              <w:t>S&amp;P rating factor</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AAA</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13.51</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AA+</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26.75</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AA</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46.36</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5"/>
              </w:rPr>
              <w:t>AA-</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63.90</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A+</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99.50</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A</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146.35</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A-</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199.83</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BBB+</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271.01</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BBB</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361.17</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BBB-</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540.42</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BB+</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784.92</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BB</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1,233.63</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BB-</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1,565.44</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B+</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1,982.00</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B</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2,859.50</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B-</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3,610.11</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CCC+</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4,641.00</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CCC</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5,293.00</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CCC-</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5,751.10</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CC</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10,000.00</w:t>
            </w:r>
          </w:p>
        </w:tc>
      </w:tr>
      <w:tr>
        <w:trPr>
          <w:trHeight w:val="223"/>
        </w:trPr>
        <w:tc>
          <w:tcPr>
            <w:tcW w:w="2960" w:type="dxa"/>
            <w:vAlign w:val="bottom"/>
            <w:tcBorders>
              <w:bottom w:val="single" w:sz="8" w:color="BFBFBF"/>
              <w:right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SD</w:t>
            </w:r>
          </w:p>
        </w:tc>
        <w:tc>
          <w:tcPr>
            <w:tcW w:w="2980" w:type="dxa"/>
            <w:vAlign w:val="bottom"/>
            <w:tcBorders>
              <w:bottom w:val="single" w:sz="8" w:color="BFBFBF"/>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10,000.00</w:t>
            </w:r>
          </w:p>
        </w:tc>
      </w:tr>
      <w:tr>
        <w:trPr>
          <w:trHeight w:val="223"/>
        </w:trPr>
        <w:tc>
          <w:tcPr>
            <w:tcW w:w="2960" w:type="dxa"/>
            <w:vAlign w:val="bottom"/>
            <w:tcBorders>
              <w:left w:val="single" w:sz="8" w:color="auto"/>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D</w:t>
            </w:r>
          </w:p>
        </w:tc>
        <w:tc>
          <w:tcPr>
            <w:tcW w:w="29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1672590</wp:posOffset>
            </wp:positionH>
            <wp:positionV relativeFrom="paragraph">
              <wp:posOffset>-3406775</wp:posOffset>
            </wp:positionV>
            <wp:extent cx="34290" cy="32658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3265805"/>
                    </a:xfrm>
                    <a:prstGeom prst="rect">
                      <a:avLst/>
                    </a:prstGeom>
                    <a:noFill/>
                  </pic:spPr>
                </pic:pic>
              </a:graphicData>
            </a:graphic>
          </wp:anchor>
        </w:drawing>
        <w:drawing>
          <wp:anchor simplePos="0" relativeHeight="251657728" behindDoc="1" locked="0" layoutInCell="0" allowOverlap="1">
            <wp:simplePos x="0" y="0"/>
            <wp:positionH relativeFrom="column">
              <wp:posOffset>5435600</wp:posOffset>
            </wp:positionH>
            <wp:positionV relativeFrom="paragraph">
              <wp:posOffset>-3406775</wp:posOffset>
            </wp:positionV>
            <wp:extent cx="33655" cy="32658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326580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-166370</wp:posOffset>
            </wp:positionV>
            <wp:extent cx="33655" cy="1797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655" cy="179705"/>
                    </a:xfrm>
                    <a:prstGeom prst="rect">
                      <a:avLst/>
                    </a:prstGeom>
                    <a:noFill/>
                  </pic:spPr>
                </pic:pic>
              </a:graphicData>
            </a:graphic>
          </wp:anchor>
        </w:drawing>
      </w:r>
    </w:p>
    <w:p>
      <w:pPr>
        <w:spacing w:after="0" w:line="169" w:lineRule="exact"/>
        <w:rPr>
          <w:sz w:val="20"/>
          <w:szCs w:val="20"/>
          <w:color w:val="auto"/>
        </w:rPr>
      </w:pPr>
    </w:p>
    <w:p>
      <w:pPr>
        <w:jc w:val="both"/>
        <w:ind w:firstLine="1497"/>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Weighted Average Life</w:t>
      </w:r>
      <w:r>
        <w:rPr>
          <w:rFonts w:ascii="Times New Roman" w:cs="Times New Roman" w:eastAsia="Times New Roman" w:hAnsi="Times New Roman"/>
          <w:sz w:val="22"/>
          <w:szCs w:val="22"/>
          <w:color w:val="auto"/>
        </w:rPr>
        <w:t>": As of any date of determination, the number equal to (A) the sum of the products, determined with respect to each Collateral Obligation with an S&amp;P Rating of "CCC-" or higher, of (i) the number of years (</w:t>
      </w:r>
      <w:r>
        <w:rPr>
          <w:rFonts w:ascii="Times New Roman" w:cs="Times New Roman" w:eastAsia="Times New Roman" w:hAnsi="Times New Roman"/>
          <w:sz w:val="22"/>
          <w:szCs w:val="22"/>
          <w:i w:val="1"/>
          <w:iCs w:val="1"/>
          <w:color w:val="auto"/>
        </w:rPr>
        <w:t>rounded</w:t>
      </w:r>
      <w:r>
        <w:rPr>
          <w:rFonts w:ascii="Times New Roman" w:cs="Times New Roman" w:eastAsia="Times New Roman" w:hAnsi="Times New Roman"/>
          <w:sz w:val="22"/>
          <w:szCs w:val="22"/>
          <w:color w:val="auto"/>
        </w:rPr>
        <w:t xml:space="preserve"> to the nearest one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hundredth thereof) from such date of determination to the stated maturity of such Collateral Obligation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outstanding Principal Balance of such Collateral Obligation,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(B) the aggregate outstanding Principal Balance on such date of all Collateral Obligations with an S&amp;P Rating of "CCC-" or higher.</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Weighted Average Rating Factor</w:t>
      </w:r>
      <w:r>
        <w:rPr>
          <w:rFonts w:ascii="Times New Roman" w:cs="Times New Roman" w:eastAsia="Times New Roman" w:hAnsi="Times New Roman"/>
          <w:sz w:val="22"/>
          <w:szCs w:val="22"/>
          <w:color w:val="auto"/>
        </w:rPr>
        <w:t xml:space="preserve">": As of any date of determination, the number equal to (A) the sum of the products, determined with respect to each Collateral Obligation with an S&amp;P Rating of "CCC-" or higher, of (i) the S&amp;P Rating Factor of such Collateral Obligation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outstanding Principal</w:t>
      </w:r>
    </w:p>
    <w:p>
      <w:pPr>
        <w:spacing w:after="0" w:line="3"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83" w:name="page284"/>
    <w:bookmarkEnd w:id="283"/>
    <w:p>
      <w:pPr>
        <w:spacing w:after="0" w:line="246" w:lineRule="auto"/>
        <w:rPr>
          <w:sz w:val="20"/>
          <w:szCs w:val="20"/>
          <w:color w:val="auto"/>
        </w:rPr>
      </w:pPr>
      <w:r>
        <w:rPr>
          <w:rFonts w:ascii="Times New Roman" w:cs="Times New Roman" w:eastAsia="Times New Roman" w:hAnsi="Times New Roman"/>
          <w:sz w:val="22"/>
          <w:szCs w:val="22"/>
          <w:color w:val="auto"/>
        </w:rPr>
        <w:t xml:space="preserve">Balance of such Collateral Obligation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(B) the aggregate outstanding Principal Balance on such date of all Collateral Obligations with an S&amp;P Rating of "CCC-" or higher.</w:t>
      </w:r>
    </w:p>
    <w:p>
      <w:pPr>
        <w:spacing w:after="0" w:line="1" w:lineRule="exact"/>
        <w:rPr>
          <w:sz w:val="20"/>
          <w:szCs w:val="20"/>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S-7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February 20, 2025</w:t>
      </w:r>
    </w:p>
    <w:p>
      <w:pPr>
        <w:spacing w:after="0" w:line="3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PENNANTPARK CLO 11, LLC</w:t>
      </w:r>
      <w:r>
        <w:rPr>
          <w:rFonts w:ascii="Times New Roman" w:cs="Times New Roman" w:eastAsia="Times New Roman" w:hAnsi="Times New Roman"/>
          <w:sz w:val="22"/>
          <w:szCs w:val="22"/>
          <w:b w:val="1"/>
          <w:bCs w:val="1"/>
          <w:color w:val="auto"/>
        </w:rPr>
        <w:t>,</w:t>
      </w:r>
    </w:p>
    <w:p>
      <w:pPr>
        <w:spacing w:after="0" w:line="3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 Borrower</w:t>
      </w:r>
    </w:p>
    <w:p>
      <w:pPr>
        <w:spacing w:after="0" w:line="3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WESTERN ALLIANCE TRUST COMPANY, N.A.</w:t>
      </w:r>
      <w:r>
        <w:rPr>
          <w:rFonts w:ascii="Times New Roman" w:cs="Times New Roman" w:eastAsia="Times New Roman" w:hAnsi="Times New Roman"/>
          <w:sz w:val="22"/>
          <w:szCs w:val="22"/>
          <w:b w:val="1"/>
          <w:bCs w:val="1"/>
          <w:color w:val="auto"/>
        </w:rPr>
        <w:t>,</w:t>
      </w:r>
    </w:p>
    <w:p>
      <w:pPr>
        <w:spacing w:after="0" w:line="3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 Collateral Trustee</w:t>
      </w:r>
    </w:p>
    <w:p>
      <w:pPr>
        <w:spacing w:after="0" w:line="3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WESTERN ALLIANCE TRUST COMPANY, N.A.</w:t>
      </w:r>
      <w:r>
        <w:rPr>
          <w:rFonts w:ascii="Times New Roman" w:cs="Times New Roman" w:eastAsia="Times New Roman" w:hAnsi="Times New Roman"/>
          <w:sz w:val="22"/>
          <w:szCs w:val="22"/>
          <w:b w:val="1"/>
          <w:bCs w:val="1"/>
          <w:color w:val="auto"/>
        </w:rPr>
        <w:t>,</w:t>
      </w:r>
    </w:p>
    <w:p>
      <w:pPr>
        <w:spacing w:after="0" w:line="3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 Loan Agent</w:t>
      </w:r>
    </w:p>
    <w:p>
      <w:pPr>
        <w:spacing w:after="0" w:line="3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3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EACH OF THE CLASS A-1L-A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379730</wp:posOffset>
            </wp:positionV>
            <wp:extent cx="332613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CLASS A-1L-A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167640</wp:posOffset>
            </wp:positionV>
            <wp:extent cx="332613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2613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781050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285" w:name="page286"/>
    <w:bookmarkEnd w:id="285"/>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700" w:type="dxa"/>
            <w:vAlign w:val="bottom"/>
          </w:tcPr>
          <w:p>
            <w:pPr>
              <w:spacing w:after="0"/>
              <w:rPr>
                <w:sz w:val="24"/>
                <w:szCs w:val="24"/>
                <w:color w:val="auto"/>
              </w:rPr>
            </w:pPr>
          </w:p>
        </w:tc>
        <w:tc>
          <w:tcPr>
            <w:tcW w:w="7120" w:type="dxa"/>
            <w:vAlign w:val="bottom"/>
          </w:tcPr>
          <w:p>
            <w:pPr>
              <w:ind w:left="17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380" w:type="dxa"/>
            <w:vAlign w:val="bottom"/>
          </w:tcPr>
          <w:p>
            <w:pPr>
              <w:spacing w:after="0"/>
              <w:rPr>
                <w:sz w:val="24"/>
                <w:szCs w:val="24"/>
                <w:color w:val="auto"/>
              </w:rPr>
            </w:pPr>
          </w:p>
        </w:tc>
      </w:tr>
      <w:tr>
        <w:trPr>
          <w:trHeight w:val="486"/>
        </w:trPr>
        <w:tc>
          <w:tcPr>
            <w:tcW w:w="27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51"/>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7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1.01.</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Defined Terms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1.02.</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Terms Generally</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1.03.</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Conflict between Transaction Documents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51"/>
        </w:trPr>
        <w:tc>
          <w:tcPr>
            <w:tcW w:w="9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THE CLASS A-1L-A LOANS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2.01.</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Commitments of the Class A-1L-A Lenders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2.02.</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Confirmation of Registration.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2.03.</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Principal; Interest Rate</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2.04.</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Establishment of Class A-1L-A Loan Account; Distributions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2.05.</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Loan Register</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2.06.</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Additional Class A-1L-A Loans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2.07.</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Conversion to Class A-1 Notes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2.08.</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Withholding Tax</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51"/>
        </w:trPr>
        <w:tc>
          <w:tcPr>
            <w:tcW w:w="9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REPRESENTATIONS AND WARRANTIES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3.01.</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3.02.</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Several Representations and Covenants of Each Class A-1L-A Lender</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51"/>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ARTICLE IV CONDITIONS</w:t>
            </w:r>
          </w:p>
        </w:tc>
        <w:tc>
          <w:tcPr>
            <w:tcW w:w="7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4.01.</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Closing Date</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51"/>
        </w:trPr>
        <w:tc>
          <w:tcPr>
            <w:tcW w:w="9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THE LOAN AGENT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5.01.</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Appointment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5.02.</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Certain Duties and Responsibilities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5.03.</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Compensation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5.04.</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Resignation and Removal; Appointment of a Successor</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5.05.</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Acceptance of Appointment by Successor</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5.06.</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Loan Agent Criteria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9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CLASS A-1L-A LOAN EVENT OF DEFAULT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6.01.</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Class A-1L-A Loan Event of Default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27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6.02.</w:t>
            </w:r>
          </w:p>
        </w:tc>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Rights Under Indenture; Remedies Cumulative</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86" w:name="page287"/>
    <w:bookmarkEnd w:id="286"/>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51"/>
        </w:trPr>
        <w:tc>
          <w:tcPr>
            <w:tcW w:w="10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VII MISCELLANEOUS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51"/>
        </w:trPr>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7.01.</w:t>
            </w:r>
          </w:p>
        </w:tc>
        <w:tc>
          <w:tcPr>
            <w:tcW w:w="520" w:type="dxa"/>
            <w:vAlign w:val="bottom"/>
          </w:tcPr>
          <w:p>
            <w:pPr>
              <w:spacing w:after="0"/>
              <w:rPr>
                <w:sz w:val="24"/>
                <w:szCs w:val="24"/>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Notices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51"/>
        </w:trPr>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7.02.</w:t>
            </w:r>
          </w:p>
        </w:tc>
        <w:tc>
          <w:tcPr>
            <w:tcW w:w="520" w:type="dxa"/>
            <w:vAlign w:val="bottom"/>
          </w:tcPr>
          <w:p>
            <w:pPr>
              <w:spacing w:after="0"/>
              <w:rPr>
                <w:sz w:val="24"/>
                <w:szCs w:val="24"/>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Waivers; Amendments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51"/>
        </w:trPr>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7.03.</w:t>
            </w:r>
          </w:p>
        </w:tc>
        <w:tc>
          <w:tcPr>
            <w:tcW w:w="520" w:type="dxa"/>
            <w:vAlign w:val="bottom"/>
          </w:tcPr>
          <w:p>
            <w:pPr>
              <w:spacing w:after="0"/>
              <w:rPr>
                <w:sz w:val="24"/>
                <w:szCs w:val="24"/>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Successors and Assigns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51"/>
        </w:trPr>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7.04.</w:t>
            </w:r>
          </w:p>
        </w:tc>
        <w:tc>
          <w:tcPr>
            <w:tcW w:w="520" w:type="dxa"/>
            <w:vAlign w:val="bottom"/>
          </w:tcPr>
          <w:p>
            <w:pPr>
              <w:spacing w:after="0"/>
              <w:rPr>
                <w:sz w:val="24"/>
                <w:szCs w:val="24"/>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Survival</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51"/>
        </w:trPr>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7.05.</w:t>
            </w:r>
          </w:p>
        </w:tc>
        <w:tc>
          <w:tcPr>
            <w:tcW w:w="520" w:type="dxa"/>
            <w:vAlign w:val="bottom"/>
          </w:tcPr>
          <w:p>
            <w:pPr>
              <w:spacing w:after="0"/>
              <w:rPr>
                <w:sz w:val="24"/>
                <w:szCs w:val="24"/>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Counterparts; Integration; Effectiveness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51"/>
        </w:trPr>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7.06.</w:t>
            </w:r>
          </w:p>
        </w:tc>
        <w:tc>
          <w:tcPr>
            <w:tcW w:w="520" w:type="dxa"/>
            <w:vAlign w:val="bottom"/>
          </w:tcPr>
          <w:p>
            <w:pPr>
              <w:spacing w:after="0"/>
              <w:rPr>
                <w:sz w:val="24"/>
                <w:szCs w:val="24"/>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Severability</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51"/>
        </w:trPr>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7.07.</w:t>
            </w:r>
          </w:p>
        </w:tc>
        <w:tc>
          <w:tcPr>
            <w:tcW w:w="520" w:type="dxa"/>
            <w:vAlign w:val="bottom"/>
          </w:tcPr>
          <w:p>
            <w:pPr>
              <w:spacing w:after="0"/>
              <w:rPr>
                <w:sz w:val="24"/>
                <w:szCs w:val="24"/>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Governing Law; Jurisdiction; Consent to Service of Process; Waiver of Jury Trial Right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51"/>
        </w:trPr>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7.08.</w:t>
            </w:r>
          </w:p>
        </w:tc>
        <w:tc>
          <w:tcPr>
            <w:tcW w:w="520" w:type="dxa"/>
            <w:vAlign w:val="bottom"/>
          </w:tcPr>
          <w:p>
            <w:pPr>
              <w:spacing w:after="0"/>
              <w:rPr>
                <w:sz w:val="24"/>
                <w:szCs w:val="24"/>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Benefits of Indenture</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51"/>
        </w:trPr>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7.09.</w:t>
            </w:r>
          </w:p>
        </w:tc>
        <w:tc>
          <w:tcPr>
            <w:tcW w:w="520" w:type="dxa"/>
            <w:vAlign w:val="bottom"/>
          </w:tcPr>
          <w:p>
            <w:pPr>
              <w:spacing w:after="0"/>
              <w:rPr>
                <w:sz w:val="24"/>
                <w:szCs w:val="24"/>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Headings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51"/>
        </w:trPr>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7.10.</w:t>
            </w:r>
          </w:p>
        </w:tc>
        <w:tc>
          <w:tcPr>
            <w:tcW w:w="520" w:type="dxa"/>
            <w:vAlign w:val="bottom"/>
          </w:tcPr>
          <w:p>
            <w:pPr>
              <w:spacing w:after="0"/>
              <w:rPr>
                <w:sz w:val="24"/>
                <w:szCs w:val="24"/>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Recourse against Certain Parties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7.11.</w:t>
            </w:r>
          </w:p>
        </w:tc>
        <w:tc>
          <w:tcPr>
            <w:tcW w:w="520" w:type="dxa"/>
            <w:vAlign w:val="bottom"/>
          </w:tcPr>
          <w:p>
            <w:pPr>
              <w:spacing w:after="0"/>
              <w:rPr>
                <w:sz w:val="24"/>
                <w:szCs w:val="24"/>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Limited-Recourse Obligations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7.12.</w:t>
            </w:r>
          </w:p>
        </w:tc>
        <w:tc>
          <w:tcPr>
            <w:tcW w:w="520" w:type="dxa"/>
            <w:vAlign w:val="bottom"/>
          </w:tcPr>
          <w:p>
            <w:pPr>
              <w:spacing w:after="0"/>
              <w:rPr>
                <w:sz w:val="24"/>
                <w:szCs w:val="24"/>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Non-Petition</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7.13.</w:t>
            </w:r>
          </w:p>
        </w:tc>
        <w:tc>
          <w:tcPr>
            <w:tcW w:w="520" w:type="dxa"/>
            <w:vAlign w:val="bottom"/>
          </w:tcPr>
          <w:p>
            <w:pPr>
              <w:spacing w:after="0"/>
              <w:rPr>
                <w:sz w:val="24"/>
                <w:szCs w:val="24"/>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Appointment of Collateral Trustee</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51"/>
        </w:trPr>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7.14.</w:t>
            </w:r>
          </w:p>
        </w:tc>
        <w:tc>
          <w:tcPr>
            <w:tcW w:w="520" w:type="dxa"/>
            <w:vAlign w:val="bottom"/>
          </w:tcPr>
          <w:p>
            <w:pPr>
              <w:spacing w:after="0"/>
              <w:rPr>
                <w:sz w:val="24"/>
                <w:szCs w:val="24"/>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[Reserved]</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51"/>
        </w:trPr>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7.15.</w:t>
            </w:r>
          </w:p>
        </w:tc>
        <w:tc>
          <w:tcPr>
            <w:tcW w:w="520" w:type="dxa"/>
            <w:vAlign w:val="bottom"/>
          </w:tcPr>
          <w:p>
            <w:pPr>
              <w:spacing w:after="0"/>
              <w:rPr>
                <w:sz w:val="24"/>
                <w:szCs w:val="24"/>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Acknowledgment of Indenture Provisions</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51"/>
        </w:trPr>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7.16.</w:t>
            </w:r>
          </w:p>
        </w:tc>
        <w:tc>
          <w:tcPr>
            <w:tcW w:w="520" w:type="dxa"/>
            <w:vAlign w:val="bottom"/>
          </w:tcPr>
          <w:p>
            <w:pPr>
              <w:spacing w:after="0"/>
              <w:rPr>
                <w:sz w:val="24"/>
                <w:szCs w:val="24"/>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USA Patriot Act Notice</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51"/>
        </w:trPr>
        <w:tc>
          <w:tcPr>
            <w:tcW w:w="1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Section 7.17.</w:t>
            </w:r>
          </w:p>
        </w:tc>
        <w:tc>
          <w:tcPr>
            <w:tcW w:w="520" w:type="dxa"/>
            <w:vAlign w:val="bottom"/>
          </w:tcPr>
          <w:p>
            <w:pPr>
              <w:spacing w:after="0"/>
              <w:rPr>
                <w:sz w:val="24"/>
                <w:szCs w:val="24"/>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Termination</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447"/>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SCHEDULE 1</w:t>
            </w:r>
          </w:p>
        </w:tc>
        <w:tc>
          <w:tcPr>
            <w:tcW w:w="89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  CLASS A-1L-A LENDER INFORMATION</w:t>
            </w:r>
          </w:p>
        </w:tc>
        <w:tc>
          <w:tcPr>
            <w:tcW w:w="600" w:type="dxa"/>
            <w:vAlign w:val="bottom"/>
          </w:tcPr>
          <w:p>
            <w:pPr>
              <w:spacing w:after="0"/>
              <w:rPr>
                <w:sz w:val="24"/>
                <w:szCs w:val="24"/>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SCHEDULE 2</w:t>
            </w:r>
          </w:p>
        </w:tc>
        <w:tc>
          <w:tcPr>
            <w:tcW w:w="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w:t>
            </w:r>
          </w:p>
        </w:tc>
        <w:tc>
          <w:tcPr>
            <w:tcW w:w="84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LOAN AGENT INFORMATION</w:t>
            </w:r>
          </w:p>
        </w:tc>
        <w:tc>
          <w:tcPr>
            <w:tcW w:w="600" w:type="dxa"/>
            <w:vAlign w:val="bottom"/>
          </w:tcPr>
          <w:p>
            <w:pPr>
              <w:spacing w:after="0"/>
              <w:rPr>
                <w:sz w:val="24"/>
                <w:szCs w:val="24"/>
                <w:color w:val="auto"/>
              </w:rPr>
            </w:pPr>
          </w:p>
        </w:tc>
      </w:tr>
      <w:tr>
        <w:trPr>
          <w:trHeight w:val="447"/>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89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  FORM OF ASSIGNMENT AND ACCEPTANCE</w:t>
            </w:r>
          </w:p>
        </w:tc>
        <w:tc>
          <w:tcPr>
            <w:tcW w:w="600" w:type="dxa"/>
            <w:vAlign w:val="bottom"/>
          </w:tcPr>
          <w:p>
            <w:pPr>
              <w:spacing w:after="0"/>
              <w:rPr>
                <w:sz w:val="24"/>
                <w:szCs w:val="24"/>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EXHIBIT B</w:t>
            </w:r>
          </w:p>
        </w:tc>
        <w:tc>
          <w:tcPr>
            <w:tcW w:w="5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w:t>
            </w:r>
          </w:p>
        </w:tc>
        <w:tc>
          <w:tcPr>
            <w:tcW w:w="84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CONFIRMATION OF REGISTRATION</w:t>
            </w:r>
          </w:p>
        </w:tc>
        <w:tc>
          <w:tcPr>
            <w:tcW w:w="600" w:type="dxa"/>
            <w:vAlign w:val="bottom"/>
          </w:tcPr>
          <w:p>
            <w:pPr>
              <w:spacing w:after="0"/>
              <w:rPr>
                <w:sz w:val="24"/>
                <w:szCs w:val="24"/>
                <w:color w:val="auto"/>
              </w:rPr>
            </w:pP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87" w:name="page288"/>
    <w:bookmarkEnd w:id="287"/>
    <w:p>
      <w:pPr>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CLASS A-1L-A CREDIT AGREEMENT</w:t>
      </w:r>
      <w:r>
        <w:rPr>
          <w:rFonts w:ascii="Times New Roman" w:cs="Times New Roman" w:eastAsia="Times New Roman" w:hAnsi="Times New Roman"/>
          <w:sz w:val="22"/>
          <w:szCs w:val="22"/>
          <w:color w:val="auto"/>
        </w:rPr>
        <w:t>, dated as of February 20, 2025 (as amended, restated,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supplemented or modified from time to time,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w:t>
      </w:r>
    </w:p>
    <w:p>
      <w:pPr>
        <w:spacing w:after="0" w:line="154" w:lineRule="exact"/>
        <w:rPr>
          <w:sz w:val="20"/>
          <w:szCs w:val="20"/>
          <w:color w:val="auto"/>
        </w:rPr>
      </w:pPr>
    </w:p>
    <w:p>
      <w:pPr>
        <w:ind w:left="1180" w:hanging="423"/>
        <w:spacing w:after="0"/>
        <w:tabs>
          <w:tab w:leader="none" w:pos="1180"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PENNANTPARK CLO 11, LLC, a Delaware limited liability company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CLASS A-1L-A LENDERS party hereto;</w:t>
      </w:r>
    </w:p>
    <w:p>
      <w:pPr>
        <w:spacing w:after="0" w:line="206" w:lineRule="exact"/>
        <w:rPr>
          <w:rFonts w:ascii="Times New Roman" w:cs="Times New Roman" w:eastAsia="Times New Roman" w:hAnsi="Times New Roman"/>
          <w:sz w:val="22"/>
          <w:szCs w:val="22"/>
          <w:color w:val="auto"/>
        </w:rPr>
      </w:pPr>
    </w:p>
    <w:p>
      <w:pPr>
        <w:ind w:left="760" w:right="20" w:hanging="3"/>
        <w:spacing w:after="0" w:line="258" w:lineRule="auto"/>
        <w:tabs>
          <w:tab w:leader="none" w:pos="1192"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WESTERN ALLIANCE TRUST COMPANY, N.A., a national banking association, as collateral trustee (in such capacity, together with its successors in such capacity, the “</w:t>
      </w:r>
      <w:r>
        <w:rPr>
          <w:rFonts w:ascii="Times New Roman" w:cs="Times New Roman" w:eastAsia="Times New Roman" w:hAnsi="Times New Roman"/>
          <w:sz w:val="22"/>
          <w:szCs w:val="22"/>
          <w:u w:val="single" w:color="auto"/>
          <w:color w:val="auto"/>
        </w:rPr>
        <w:t>Collateral Trustee</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ind w:left="760" w:right="20" w:hanging="3"/>
        <w:spacing w:after="0" w:line="258" w:lineRule="auto"/>
        <w:tabs>
          <w:tab w:leader="none" w:pos="1192"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WESTERN ALLIANCE TRUST COMPANY, N.A., a national banking association, as agent for the Class A-1L-A Lenders (in such capacity, together with its successors in such capacity, the “</w:t>
      </w:r>
      <w:r>
        <w:rPr>
          <w:rFonts w:ascii="Times New Roman" w:cs="Times New Roman" w:eastAsia="Times New Roman" w:hAnsi="Times New Roman"/>
          <w:sz w:val="22"/>
          <w:szCs w:val="22"/>
          <w:u w:val="single" w:color="auto"/>
          <w:color w:val="auto"/>
        </w:rPr>
        <w:t>Loan Agent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WHEREAS, the Borrower, as issuer and the Collateral Trustee are party to an Indenture and Security Agreement, dated as of February 20, 2025 (as modified and supplemented and in effect from time to time,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pursuant to which the Borrower has authorized and issued the Notes (as defined in the Indenture);</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WHEREAS, the Borrower wishes to borrow from the Class A-1L-A Lenders, and the Class A-1L-A Lenders wish to lend to the Borrower, term loans under and in accordance with the terms set forth in this Agreement (the “</w:t>
      </w:r>
      <w:r>
        <w:rPr>
          <w:rFonts w:ascii="Times New Roman" w:cs="Times New Roman" w:eastAsia="Times New Roman" w:hAnsi="Times New Roman"/>
          <w:sz w:val="22"/>
          <w:szCs w:val="22"/>
          <w:u w:val="single" w:color="auto"/>
          <w:color w:val="auto"/>
        </w:rPr>
        <w:t>Class A-1L-A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xml:space="preserve">”), which loans will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the Class A-1 Notes issued under the Indenture; and</w:t>
      </w:r>
    </w:p>
    <w:p>
      <w:pPr>
        <w:spacing w:after="0" w:line="173"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WHEREAS, the Borrower has, under and in accordance with the terms of the Indenture, granted to the Collateral Trustee, for the benefit and security of the Class A-1L-A Lenders and the other Secured Parties specified therein, as their respective interests may appear, all of its right, title and interest in, to all of the Collateral Obligations and other Assets.</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foregoing premises and the mutual agreements contained herein, and for other good and valuable consideration, the receipt and sufficiency of which are hereby acknowledged, the parties hereto, intending to be legally bound, hereby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but not defined herein shall have the respective meanings ascribed thereto in the Indenture. As used in this Agreement, the following terms shall have the meanings specified below:</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Class A-1L-A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Class A-1L-A Loan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2.06(a)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8" w:name="page289"/>
    <w:bookmarkEnd w:id="288"/>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Incurrence Date</w:t>
      </w:r>
      <w:r>
        <w:rPr>
          <w:rFonts w:ascii="Times New Roman" w:cs="Times New Roman" w:eastAsia="Times New Roman" w:hAnsi="Times New Roman"/>
          <w:sz w:val="22"/>
          <w:szCs w:val="22"/>
          <w:color w:val="auto"/>
        </w:rPr>
        <w:t>” means the date of issuance of any Additional Class A-1L-A Loans pursuant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Acceptance</w:t>
      </w:r>
      <w:r>
        <w:rPr>
          <w:rFonts w:ascii="Times New Roman" w:cs="Times New Roman" w:eastAsia="Times New Roman" w:hAnsi="Times New Roman"/>
          <w:sz w:val="22"/>
          <w:szCs w:val="22"/>
          <w:color w:val="auto"/>
        </w:rPr>
        <w:t xml:space="preserve">” means an assignment and acceptance entered into by a Class A-1L-A Lender and an assignee of such Class A-1L-A Lender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(i) a Saturday or a Sunday or (ii) a day on which commercial banks are authorized or required by applicable law, regulation or executive order to close in New York, New York or in the city in which the office of the Loan Agent is located or, for any final payment of principal, in the relevant place of presentation.</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A-1L-A Lenders</w:t>
      </w:r>
      <w:r>
        <w:rPr>
          <w:rFonts w:ascii="Times New Roman" w:cs="Times New Roman" w:eastAsia="Times New Roman" w:hAnsi="Times New Roman"/>
          <w:sz w:val="22"/>
          <w:szCs w:val="22"/>
          <w:color w:val="auto"/>
        </w:rPr>
        <w:t>” means each Person who is a lender hereunder (including any Additional Class A-1L-A Lender) or who becomes a lender hereunder by virtue of assignment via an Assignment and Acceptance.</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A-1L-A Loan</w:t>
      </w:r>
      <w:r>
        <w:rPr>
          <w:rFonts w:ascii="Times New Roman" w:cs="Times New Roman" w:eastAsia="Times New Roman" w:hAnsi="Times New Roman"/>
          <w:sz w:val="22"/>
          <w:szCs w:val="22"/>
          <w:color w:val="auto"/>
        </w:rPr>
        <w:t>” has the meaning specified in the Recitals. For the avoidance of doubt, references to “Class A-1L-A Loans” include any Additional Class A-1L-A Loans.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A-1L-A Loan Event of Default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Confirmation of Registration</w:t>
      </w:r>
      <w:r>
        <w:rPr>
          <w:rFonts w:ascii="Times New Roman" w:cs="Times New Roman" w:eastAsia="Times New Roman" w:hAnsi="Times New Roman"/>
          <w:sz w:val="22"/>
          <w:szCs w:val="22"/>
          <w:color w:val="auto"/>
        </w:rPr>
        <w:t xml:space="preserve">”: With respect to an uncertificated interest in the Class A-1L-A Loan, a confirmation of registration,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provided to the owner thereof promptly after the registration thereof in the Loan Register by the Loan Agent.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w:t>
      </w:r>
      <w:r>
        <w:rPr>
          <w:rFonts w:ascii="Times New Roman" w:cs="Times New Roman" w:eastAsia="Times New Roman" w:hAnsi="Times New Roman"/>
          <w:sz w:val="22"/>
          <w:szCs w:val="22"/>
          <w:color w:val="auto"/>
        </w:rPr>
        <w:t>” means, collectively, the Notes, the Class A-1L-A Loans and the Class A-1L-B Loans.</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condition or event that constitutes a Class A-1L-A Loan Event of Default or that, with the giving of notice or lapse of time or both, would, unless cured or waived, become a Class A-1L-A Loan Event of Default.</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Agent</w:t>
      </w:r>
      <w:r>
        <w:rPr>
          <w:rFonts w:ascii="Times New Roman" w:cs="Times New Roman" w:eastAsia="Times New Roman" w:hAnsi="Times New Roman"/>
          <w:sz w:val="22"/>
          <w:szCs w:val="22"/>
          <w:color w:val="auto"/>
        </w:rPr>
        <w:t>” has the meaning specified in the Recitals.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Register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Loan Registrar</w:t>
      </w:r>
      <w:r>
        <w:rPr>
          <w:rFonts w:ascii="Times New Roman" w:cs="Times New Roman" w:eastAsia="Times New Roman" w:hAnsi="Times New Roman"/>
          <w:sz w:val="22"/>
          <w:szCs w:val="22"/>
          <w:color w:val="auto"/>
        </w:rPr>
        <w:t xml:space="preserve">” have the respective meanings specified in </w:t>
      </w:r>
      <w:r>
        <w:rPr>
          <w:rFonts w:ascii="Times New Roman" w:cs="Times New Roman" w:eastAsia="Times New Roman" w:hAnsi="Times New Roman"/>
          <w:sz w:val="22"/>
          <w:szCs w:val="22"/>
          <w:u w:val="single" w:color="auto"/>
          <w:color w:val="auto"/>
        </w:rPr>
        <w:t>Section 2.05(a)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9" w:name="page290"/>
    <w:bookmarkEnd w:id="289"/>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Denomination</w:t>
      </w:r>
      <w:r>
        <w:rPr>
          <w:rFonts w:ascii="Times New Roman" w:cs="Times New Roman" w:eastAsia="Times New Roman" w:hAnsi="Times New Roman"/>
          <w:sz w:val="22"/>
          <w:szCs w:val="22"/>
          <w:color w:val="auto"/>
        </w:rPr>
        <w:t>” has the meaning specified in the Indenture.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u w:val="single" w:color="auto"/>
          <w:color w:val="auto"/>
        </w:rPr>
        <w:t>Terms Generally</w:t>
      </w:r>
      <w:r>
        <w:rPr>
          <w:rFonts w:ascii="Times New Roman" w:cs="Times New Roman" w:eastAsia="Times New Roman" w:hAnsi="Times New Roman"/>
          <w:sz w:val="21"/>
          <w:szCs w:val="21"/>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and</w:t>
      </w:r>
    </w:p>
    <w:p>
      <w:pPr>
        <w:spacing w:after="0" w:line="1" w:lineRule="exact"/>
        <w:rPr>
          <w:sz w:val="20"/>
          <w:szCs w:val="20"/>
          <w:color w:val="auto"/>
        </w:rPr>
      </w:pPr>
    </w:p>
    <w:p>
      <w:pPr>
        <w:ind w:firstLine="8"/>
        <w:spacing w:after="0" w:line="237" w:lineRule="auto"/>
        <w:tabs>
          <w:tab w:leader="none" w:pos="315"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herein to Articles, Sections, Exhibits and Schedules shall be construed to refer to Articles and Sections of, and Exhibits and Schedules to, this Agreement.</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Conflict between Transaction Documents</w:t>
      </w:r>
      <w:r>
        <w:rPr>
          <w:rFonts w:ascii="Times New Roman" w:cs="Times New Roman" w:eastAsia="Times New Roman" w:hAnsi="Times New Roman"/>
          <w:sz w:val="22"/>
          <w:szCs w:val="22"/>
          <w:color w:val="auto"/>
        </w:rPr>
        <w:t>. If there is any conflict between this Agreement and the Indenture or any other Transaction Document, this Agreement, the Indenture and such other Transaction Document shall be interpreted and construed, if possible, so as to avoid or minimize such conflict but, to the extent (and only to the extent) of such conflict between this Agreement and the Indenture, the Indenture shall prevail and control, and in the case and to the extent of any other conflict between this Agreement and any Transaction Document, this Agreement shall prevail and control.</w:t>
      </w:r>
    </w:p>
    <w:p>
      <w:pPr>
        <w:spacing w:after="0" w:line="17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0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THE CLASS A-1L-A LOANS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Commitments of the Class A-1L-A Lenders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5" w:lineRule="auto"/>
        <w:tabs>
          <w:tab w:leader="none" w:pos="1929"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set forth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herein, each Class A-1L-A Lender as of the Closing Date agrees to make a Class A-1L-A Loan to the Borrower on the Closing Date in an amount equal to the amount set forth opposite such Class A-1L-A Lender’s name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attached hereto. The initial aggregate principal amount of all Class A-1L-A Loans made hereunder shall be U.S.$10,000,000. In addition, subject to the terms and conditions set forth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herein, on any Additional Incurrence Date, each Class A-1L-A Lender with respect to Additional Class A-1L-A Loans shall fund its Class A-1L-A Loan in the applicable amount. No amount borrowed and consequently repaid or prepaid hereunder can be re-borrowed. The commitment of each Class A-1L-A Lender to make the applicable Class A-1L-A Loans under this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is herein referred to as its “</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set forth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herein, each Class A-1L-A Lender shall fund its Class A-1L-A Loans by wire transfer of immediately available funds by 10:00 a.m., New York time, on the Closing Date or applicable Additional Incurrence Date, to an account set forth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attached hereto, as directed by the Loan Agent.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0" w:name="page291"/>
    <w:bookmarkEnd w:id="290"/>
    <w:p>
      <w:pPr>
        <w:ind w:left="760"/>
        <w:spacing w:after="0"/>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Confirmation of Registration.</w:t>
      </w:r>
      <w:r>
        <w:rPr>
          <w:rFonts w:ascii="Times New Roman" w:cs="Times New Roman" w:eastAsia="Times New Roman" w:hAnsi="Times New Roman"/>
          <w:sz w:val="22"/>
          <w:szCs w:val="22"/>
          <w:color w:val="auto"/>
        </w:rPr>
        <w:t>(a)</w:t>
      </w:r>
    </w:p>
    <w:p>
      <w:pPr>
        <w:spacing w:after="0" w:line="206" w:lineRule="exact"/>
        <w:rPr>
          <w:sz w:val="20"/>
          <w:szCs w:val="20"/>
          <w:color w:val="auto"/>
        </w:rPr>
      </w:pPr>
    </w:p>
    <w:p>
      <w:pPr>
        <w:ind w:right="20" w:firstLine="1505"/>
        <w:spacing w:after="0" w:line="282" w:lineRule="auto"/>
        <w:tabs>
          <w:tab w:leader="none" w:pos="1929"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funding of the Class A-1L-A Loans, the Loan Agent shall deliver to each Lender a Confirmation of Registration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No Class A-1L-A will be represented by a promissory note or other instrument.</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Principal; Interest Rate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1929"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of the Class A-1L-A Loans, including mandatory and optional principal prepayments, shall be paid by the Borrower in part or in whole at the times and in the manner set forth in the Indenture, including (x) in connection with the Borrower’ repayment of such Debt pursuant to Section 2.7 of the Indenture, (y) in connection with a repayment or Refinancing of the Class A-1L-A Loans pursuant to Article IX of the Indenture, or (z) otherwise, in accordance with the Priority of Payments. Unless earlier repaid, the Class A-1L-A Loans shall mature, and the remaining principal amount thereof shall be due and payable in full, on the Payment Date in April 2037.</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shall accrue on each Class A-1L-A Loan or portion thereof which remains unpaid at a rate of the Benchmark, as calculated under the Indenture, plus 1.49% and shall be due and payable at the times and in the manner set forth in the Indenture.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Establishment of Class A-1L-A Loan Account; Distributions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3" w:lineRule="auto"/>
        <w:tabs>
          <w:tab w:leader="none" w:pos="1929"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shall, prior to the Closing Date, establish at the Custodian a single, segregated non-interest bearing account in the name of the Borrower subject to the lien of the Collateral Trustee for the benefit of the Secured Parties, which shall be designated as the “</w:t>
      </w:r>
      <w:r>
        <w:rPr>
          <w:rFonts w:ascii="Times New Roman" w:cs="Times New Roman" w:eastAsia="Times New Roman" w:hAnsi="Times New Roman"/>
          <w:sz w:val="22"/>
          <w:szCs w:val="22"/>
          <w:u w:val="single" w:color="auto"/>
          <w:color w:val="auto"/>
        </w:rPr>
        <w:t>Class A-1L-A Loan Account</w:t>
      </w:r>
      <w:r>
        <w:rPr>
          <w:rFonts w:ascii="Times New Roman" w:cs="Times New Roman" w:eastAsia="Times New Roman" w:hAnsi="Times New Roman"/>
          <w:sz w:val="22"/>
          <w:szCs w:val="22"/>
          <w:color w:val="auto"/>
        </w:rPr>
        <w:t>” and which shall be governed solely by the terms of this Agreement and the Securities Account Control Agreement. Such account shall be held in the name of the Borrower subject to the lien of the Collateral Trustee for the benefit of the Secured Parties and the Collateral Trustee shall have exclusive control over such account, subject to the Loan Agent’s right to give instructions specified herein. Any and all funds at any time on deposit in, or otherwise to the credit of, the Class A-1L-A Loan Account shall be held in trust by the Collateral Trustee for the benefit of the Secured Parties. The only permitted withdrawal from or application of funds on deposit in, or otherwise to the credit of, the Class A-1L-A Loan Account shall be to pay the interest on and the principal of the Class A-1L-A Loans in accordance with the provisions of this Agreement and the Indenture. The Loan Agent agrees to give the Borrower, the Collateral Trustee and the Class A-1L-A Lenders prompt notice if a Trust Officer of it receives notice that the Class A-1L-A Loan Account or any funds on deposit therein, or otherwise to the credit of the Class A-1L-A Loan Account, shall become subject to any writ, order, judgment, warrant of attachment, execution or similar process.</w:t>
      </w:r>
    </w:p>
    <w:p>
      <w:pPr>
        <w:spacing w:after="0" w:line="182" w:lineRule="exact"/>
        <w:rPr>
          <w:rFonts w:ascii="Times New Roman" w:cs="Times New Roman" w:eastAsia="Times New Roman" w:hAnsi="Times New Roman"/>
          <w:sz w:val="22"/>
          <w:szCs w:val="22"/>
          <w:color w:val="auto"/>
        </w:rPr>
      </w:pPr>
    </w:p>
    <w:p>
      <w:pPr>
        <w:jc w:val="both"/>
        <w:ind w:firstLine="1505"/>
        <w:spacing w:after="0" w:line="268" w:lineRule="exact"/>
        <w:tabs>
          <w:tab w:leader="none" w:pos="1929"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A-1L-A Loan Account shall remain at all times with a financial institution having a combined capital and surplus of at least U.S.$200,000,000 and (a) with a federal or state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chartered depository institution with a long-term issuer credit rating of at least "A-" and a short-term issuer credit rating of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 by S&amp;P (or at least "A+" by S&amp;P if such institution has no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rating) or (b) in segregated trust accounts with the corporate trust department of a federal or state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chartered deposit institution rated at least "BBB-" by S&amp;P;</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1" w:name="page292"/>
    <w:bookmarkEnd w:id="291"/>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institution’s rating falls below the ratings set forth above, the assets held in such Account shall be moved within 30 calendar days to another institution that has such ratings;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such institution shall not be required to satisfy such rating requirements so long as any amounts credited in the accounts by 3:00 pm (New York time) are invested in a Deposit Placement Program. If the Loan Agent’s or such institution’s rating fall below the ratings set forth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2.04(b)</w:t>
      </w:r>
      <w:r>
        <w:rPr>
          <w:rFonts w:ascii="Times New Roman" w:cs="Times New Roman" w:eastAsia="Times New Roman" w:hAnsi="Times New Roman"/>
          <w:sz w:val="22"/>
          <w:szCs w:val="22"/>
          <w:color w:val="auto"/>
        </w:rPr>
        <w:t>, the Borrower shall take commercially reasonable efforts to move the assets held in such account to another institution that satisfies such ratings within 30 calendar days of notice or knowledge thereof.</w:t>
      </w:r>
    </w:p>
    <w:p>
      <w:pPr>
        <w:spacing w:after="0" w:line="181" w:lineRule="exact"/>
        <w:rPr>
          <w:sz w:val="20"/>
          <w:szCs w:val="20"/>
          <w:color w:val="auto"/>
        </w:rPr>
      </w:pPr>
    </w:p>
    <w:p>
      <w:pPr>
        <w:jc w:val="both"/>
        <w:ind w:firstLine="1505"/>
        <w:spacing w:after="0" w:line="244" w:lineRule="auto"/>
        <w:tabs>
          <w:tab w:leader="none" w:pos="1929"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Payment Date on which amounts are deposited into the Class A-1L-A Loan Account for distribution to the Class A-1L-A Lenders pursuant to Section 11.1 of the Indenture, the Loan Agent shall distribute such amounts to the Class A-1L-A Lenders,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allocated based on amounts due thereto.</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to the extent that the Collateral Trustee and the Loan Agent are the same Person, payments to be made to the Class A-1L-A Lenders hereunder may be made directly from the Collateral Trustee to the Class A-1L-A Lenders and in such case (i) no Class A-1L-A Loan Account shall be required to be established and (ii) any such payments by the Collateral Trustee to the Class A-1L-A Lenders shall be deemed to have been made by the Loan Agent for disbursement to the Class A-1L-A Lenders for all purposes hereunder.</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Loan Register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4" w:lineRule="auto"/>
        <w:tabs>
          <w:tab w:leader="none" w:pos="1929"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cause to be kept a register (the “ </w:t>
      </w:r>
      <w:r>
        <w:rPr>
          <w:rFonts w:ascii="Times New Roman" w:cs="Times New Roman" w:eastAsia="Times New Roman" w:hAnsi="Times New Roman"/>
          <w:sz w:val="22"/>
          <w:szCs w:val="22"/>
          <w:u w:val="single" w:color="auto"/>
          <w:color w:val="auto"/>
        </w:rPr>
        <w:t>Loan Register</w:t>
      </w:r>
      <w:r>
        <w:rPr>
          <w:rFonts w:ascii="Times New Roman" w:cs="Times New Roman" w:eastAsia="Times New Roman" w:hAnsi="Times New Roman"/>
          <w:sz w:val="22"/>
          <w:szCs w:val="22"/>
          <w:color w:val="auto"/>
        </w:rPr>
        <w:t>”) at the corporate trust office of the Loan Agent in which, subject to such reasonable procedures as it may prescribe, the Borrower shall provide for the recording and registering of the following information with respect to each Class A-1L-A Lender:</w:t>
      </w:r>
    </w:p>
    <w:p>
      <w:pPr>
        <w:spacing w:after="0" w:line="173" w:lineRule="exact"/>
        <w:rPr>
          <w:rFonts w:ascii="Times New Roman" w:cs="Times New Roman" w:eastAsia="Times New Roman" w:hAnsi="Times New Roman"/>
          <w:sz w:val="22"/>
          <w:szCs w:val="22"/>
          <w:color w:val="auto"/>
        </w:rPr>
      </w:pPr>
    </w:p>
    <w:p>
      <w:pPr>
        <w:jc w:val="both"/>
        <w:ind w:left="860" w:firstLine="740"/>
        <w:spacing w:after="0" w:line="244" w:lineRule="auto"/>
        <w:tabs>
          <w:tab w:leader="none" w:pos="2041" w:val="left"/>
        </w:tabs>
        <w:numPr>
          <w:ilvl w:val="1"/>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notice details, wiring instructions and taxpayer identification number of such Class A-1L-A Lender, together with the names of the authorized representatives of such Class A-1L-A Lender and their mailing address, electronic mail address, telephone and facsimile numbers;</w:t>
      </w:r>
    </w:p>
    <w:p>
      <w:pPr>
        <w:spacing w:after="0" w:line="173" w:lineRule="exact"/>
        <w:rPr>
          <w:rFonts w:ascii="Times New Roman" w:cs="Times New Roman" w:eastAsia="Times New Roman" w:hAnsi="Times New Roman"/>
          <w:sz w:val="22"/>
          <w:szCs w:val="22"/>
          <w:color w:val="auto"/>
        </w:rPr>
      </w:pPr>
    </w:p>
    <w:p>
      <w:pPr>
        <w:ind w:left="860" w:right="20" w:firstLine="740"/>
        <w:spacing w:after="0" w:line="258" w:lineRule="auto"/>
        <w:tabs>
          <w:tab w:leader="none" w:pos="2041" w:val="left"/>
        </w:tabs>
        <w:numPr>
          <w:ilvl w:val="1"/>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Outstanding Amount of Class A-1L-A Loans (and stated interest thereon) funded by such Class A-1L-A Lender; and</w:t>
      </w:r>
    </w:p>
    <w:p>
      <w:pPr>
        <w:spacing w:after="0" w:line="158" w:lineRule="exact"/>
        <w:rPr>
          <w:rFonts w:ascii="Times New Roman" w:cs="Times New Roman" w:eastAsia="Times New Roman" w:hAnsi="Times New Roman"/>
          <w:sz w:val="22"/>
          <w:szCs w:val="22"/>
          <w:color w:val="auto"/>
        </w:rPr>
      </w:pPr>
    </w:p>
    <w:p>
      <w:pPr>
        <w:ind w:left="860" w:right="20" w:firstLine="740"/>
        <w:spacing w:after="0" w:line="258" w:lineRule="auto"/>
        <w:tabs>
          <w:tab w:leader="none" w:pos="2041" w:val="left"/>
        </w:tabs>
        <w:numPr>
          <w:ilvl w:val="1"/>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Date or applicable Additional Incurrence Date with respect to the Class A-1L-A Loans of such Class A-1L-A Lender.</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The Loan Agent is hereby appointed “</w:t>
      </w:r>
      <w:r>
        <w:rPr>
          <w:rFonts w:ascii="Times New Roman" w:cs="Times New Roman" w:eastAsia="Times New Roman" w:hAnsi="Times New Roman"/>
          <w:sz w:val="22"/>
          <w:szCs w:val="22"/>
          <w:u w:val="single" w:color="auto"/>
          <w:color w:val="auto"/>
        </w:rPr>
        <w:t>Loan Registrar</w:t>
      </w:r>
      <w:r>
        <w:rPr>
          <w:rFonts w:ascii="Times New Roman" w:cs="Times New Roman" w:eastAsia="Times New Roman" w:hAnsi="Times New Roman"/>
          <w:sz w:val="22"/>
          <w:szCs w:val="22"/>
          <w:color w:val="auto"/>
        </w:rPr>
        <w:t>” for the purpose of registering and recording the information described in clauses (i), (ii) and (iii) above.</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The Loan Agent shall update the information contained in the Loan Register upon (i) the transfer of any Class A-1L-A Loan, (ii) the funding of any Additional Class A-1L-A Loan and (iii) the receipt of written notice from the Borrower or the applicable Class A-1L-A Lender confirming a change in the notice details or the authorized representatives of any Class A-1L-A Lender.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2" w:name="page293"/>
    <w:bookmarkEnd w:id="292"/>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Absent manifest error, the information contained in the Loan Register will be conclusive evidence of the rights and obligations of each Class A-1L-A Lender with respect to the Class A-1L-A Loans held by such Class A-1L-A Lender, and each party hereto shall treat each person whose name is recorded in the Loan Register pursuant to the terms hereof as a Class A-1L-A Lender hereunder for all purposes of this Agreement.</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On the Closing Date, on the date of each amendment thereto and from time to time upon request from the Registrar under the Indenture, the Loan Registrar shall provide to the Collateral Trustee, the Registrar, the Borrower or the Collateral Manager a copy of the information contained in the Loan Register and, upon request at any time by a Class A-1L-A Lender, the Loan Registrar shall provide such Class A-1L-A Lender a copy of the information contained in the Loan Register relating to the Class A-1L-A Loans held by such Class A-1L-A Lender.</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Additional Class A-1L-A Loans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9" w:lineRule="auto"/>
        <w:tabs>
          <w:tab w:leader="none" w:pos="1929" w:val="left"/>
        </w:tabs>
        <w:numPr>
          <w:ilvl w:val="0"/>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during the Reinvestment Period and upon satisfaction of the conditions to such incurrence set forth in Section 2.13 of the Indenture, the Borrower may incur additional Class A-1L-A Loans hereunder (each an “</w:t>
      </w:r>
      <w:r>
        <w:rPr>
          <w:rFonts w:ascii="Times New Roman" w:cs="Times New Roman" w:eastAsia="Times New Roman" w:hAnsi="Times New Roman"/>
          <w:sz w:val="21"/>
          <w:szCs w:val="21"/>
          <w:u w:val="single" w:color="auto"/>
          <w:color w:val="auto"/>
        </w:rPr>
        <w:t>Additional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Class A-1L-A Loan</w:t>
      </w:r>
      <w:r>
        <w:rPr>
          <w:rFonts w:ascii="Times New Roman" w:cs="Times New Roman" w:eastAsia="Times New Roman" w:hAnsi="Times New Roman"/>
          <w:sz w:val="21"/>
          <w:szCs w:val="21"/>
          <w:color w:val="auto"/>
        </w:rPr>
        <w:t xml:space="preserve">”). The existing Class A-1L-A Lenders shall have the first opportunity to make each Additional Class A-1L-A Loan in such amounts as are necessary to preserve (as closely as reasonably practicable taking into consideration Minimum Denomination requirements) their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holdings of Class A-1L-A Loans or, if they decline, additional Persons (each an “</w:t>
      </w:r>
      <w:r>
        <w:rPr>
          <w:rFonts w:ascii="Times New Roman" w:cs="Times New Roman" w:eastAsia="Times New Roman" w:hAnsi="Times New Roman"/>
          <w:sz w:val="21"/>
          <w:szCs w:val="21"/>
          <w:u w:val="single" w:color="auto"/>
          <w:color w:val="auto"/>
        </w:rPr>
        <w:t>Additional Class A-1L-A Lender</w:t>
      </w:r>
      <w:r>
        <w:rPr>
          <w:rFonts w:ascii="Times New Roman" w:cs="Times New Roman" w:eastAsia="Times New Roman" w:hAnsi="Times New Roman"/>
          <w:sz w:val="21"/>
          <w:szCs w:val="21"/>
          <w:color w:val="auto"/>
        </w:rPr>
        <w:t>”) may deliver a signature page and become Class A-1L-A Lenders for all purposes hereunder.</w:t>
      </w:r>
    </w:p>
    <w:p>
      <w:pPr>
        <w:spacing w:after="0" w:line="170" w:lineRule="exact"/>
        <w:rPr>
          <w:rFonts w:ascii="Times New Roman" w:cs="Times New Roman" w:eastAsia="Times New Roman" w:hAnsi="Times New Roman"/>
          <w:sz w:val="21"/>
          <w:szCs w:val="21"/>
          <w:color w:val="auto"/>
        </w:rPr>
      </w:pPr>
    </w:p>
    <w:p>
      <w:pPr>
        <w:jc w:val="both"/>
        <w:ind w:firstLine="1505"/>
        <w:spacing w:after="0" w:line="235" w:lineRule="auto"/>
        <w:tabs>
          <w:tab w:leader="none" w:pos="1929"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Additional Class A-1L-A Loans issued pursuant to this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shall constitute Class A-1L-A Loans for all purposes hereunder and under the Indenture and shall be subject to the terms of this Agreement and the Indenture as if such Additional Class A-1L-A Loans had been incurred on the Closing Date, except that (for the avoidance of doubt) interest shall accrue with respect to any Additional Class A-1L-A Loans from the applicable Additional Incurrence Date and the spread over the Benchmark and the price of such Additional Class A-1L-A Loans do not have to be identical to those of the initial Class A-1L-A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Interest Rate on such Additional Class A-1L-A Loans must not exceed the Interest Rate applicable to the initial Class A-1L-A Loans.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Conversion to Class A-1 Notes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5" w:lineRule="auto"/>
        <w:tabs>
          <w:tab w:leader="none" w:pos="1929"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written notice from a Class A-1L-A Lender to the Loan Agent, the Collateral Trustee and the Borrower, a Class A-1L-A Lender may elect a Business Day (such Business Day, the “</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xml:space="preserve">”) upon which all or a portion of the Aggregate Outstanding Amount of the Class A-1L-A Loans held by such Class A-1L-A Lender shall be converted into Class A-1 Notes subject to and in accordance with the provisions of Section 2.5(o) of the Indenture and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the Conversion Date shall be no earlier than the fifth Business Day following the date such notice is delivered (or such earlier date as may be reasonably agreed to by such Class A-1L-A Lender, the Loan Agent and the Collateral Trustee) and may not be between a Record Date or a Determination Date (whichever is earlier) and a Payment Date and (y) such conversion shall be in a Minimum Denomination.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3" w:name="page294"/>
    <w:bookmarkEnd w:id="293"/>
    <w:p>
      <w:pPr>
        <w:jc w:val="both"/>
        <w:ind w:firstLine="1505"/>
        <w:spacing w:after="0" w:line="238" w:lineRule="auto"/>
        <w:tabs>
          <w:tab w:leader="none" w:pos="1929"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satisfaction of the conditions specified in Section 2.5(o) of the Indenture and this Agreement, the Loan Agent shall cause all or such portion of the Class A-1L-A Loans to be cancelled, record the conversion in the Loan Register and shall notify the Collateral Trustee, who shall approve the instructions at DTC, concurrently with such cancellation, to credit or cause to be credited to the securities account of each applicable Person specified in such instructions a beneficial interest in the applicable Class A-1 Note equal to the principal amount of the Class A-1L-A Loans converted.</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accrued on the portion of the Class A-1L-A Loans so converted since the prior Payment Date (or the Closing Date, if no Payment Date has occurred) shall, as of the Conversion Date, be deemed to have been accrued and unpaid on the Class A-1 Notes since such prior Payment Date (or the Closing Date, if no Payment Date has occurred) and interest on the converted Class A-1L-A Loans shall thereafter accrue at the Interest Rate applicable to the Class A-1 Notes. If the Conversion Option is exercised during an Interest Accrual Period during which the applicable portion of the Class A-1L-A Loans has been assigned, the Record Date for the related Payment Date shall determine which Holder or Holders receive any payment made on the Class A-1 Notes on such Payment Date (regardless of whether the Record Date occurred prior to or after the effectiveness of the conversion).</w:t>
      </w:r>
    </w:p>
    <w:p>
      <w:pPr>
        <w:spacing w:after="0" w:line="17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Class A-1 Notes may be converted into Class A-1L-A Loans. The Issuer will notify the Rating Agency promptly after the occurrence of the conversion of any Class A-1L-A Loans into Class A-1 Notes.</w:t>
      </w:r>
    </w:p>
    <w:p>
      <w:pPr>
        <w:spacing w:after="0" w:line="158"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Withholding Tax</w:t>
      </w:r>
      <w:r>
        <w:rPr>
          <w:rFonts w:ascii="Times New Roman" w:cs="Times New Roman" w:eastAsia="Times New Roman" w:hAnsi="Times New Roman"/>
          <w:sz w:val="22"/>
          <w:szCs w:val="22"/>
          <w:color w:val="auto"/>
        </w:rPr>
        <w:t xml:space="preserve">. If any withholding tax is imposed on the Borrower’ payments (or allocations of income) under the Class A-1L-A Loans to any Class A-1L-A Lender, such tax shall reduce the amount otherwise distributable to such Class A-1L-A Lender. The Loan Agent is hereby authorized and directed to retain from amounts otherwise distributable to any Class A-1L-A Lender sufficient funds for the payment of any tax (but such authorization shall not prevent the Loan Agent from contesting any such tax in appropriate proceedings and withholding payment of such tax, if permitted by law, pending the outcome of such proceedings). The Borrower shall, upon the Loan Agent’s request, provide information necessary to determine the nature of any income received and whether any tax or withholding obligations apply. The amount of any withholding tax imposed with respect to any Class A-1L-A Lender shall be treated as cash distributed to such Class A-1L-A Lender at the time it is withheld by the Loan Agent and remitted to the appropriate taxing authority. If there is a possibility that withholding tax is payable with respect to a distribution and the Loan Agent has not received documentation from such Class A-1L-A Lender showing an exemption from withholding, the Loan Agent shall withhold such amounts in accordance with this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If any Class A-1L-A Lender wishes to apply for a refund of any such withholding tax, the Loan Agent shall reasonably cooperate with such Class A-1L-A Lender in making such claim so long as such Class A-1L-A Lender agrees to reimburse the Loan Agent for any reasonable and documented out-of-pocket expenses incurred. Nothing herein shall impose an obligation on the part of the Loan Agent to determine the amount of any tax or withholding obligation on the part of the Borrower or in respect of the Class A-1L-A Loans.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4" w:name="page295"/>
    <w:bookmarkEnd w:id="294"/>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0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0" w:firstLine="1505"/>
        <w:spacing w:after="0" w:line="258" w:lineRule="auto"/>
        <w:tabs>
          <w:tab w:leader="none" w:pos="1929"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represents and warrants to the Class A-1L-A Lenders, the Loan Agent, the Collateral Manager and the Collateral Trustee that:</w:t>
      </w:r>
    </w:p>
    <w:p>
      <w:pPr>
        <w:spacing w:after="0" w:line="158" w:lineRule="exact"/>
        <w:rPr>
          <w:sz w:val="20"/>
          <w:szCs w:val="20"/>
          <w:color w:val="auto"/>
        </w:rPr>
      </w:pPr>
    </w:p>
    <w:p>
      <w:pPr>
        <w:ind w:left="760" w:right="20" w:firstLine="745"/>
        <w:spacing w:after="0" w:line="258" w:lineRule="auto"/>
        <w:tabs>
          <w:tab w:leader="none" w:pos="1941"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a limited liability company, duly formed and validly existing and in good standing under the laws of the State of Delaware.</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the power to execute and deliver this Agreement and the Indenture and to perform its obligations under this Agreement and the Indenture and has taken all necessary action to authorize such execution, delivery and performance.</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2" w:lineRule="auto"/>
        <w:tabs>
          <w:tab w:leader="none" w:pos="1941"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(A) that all representations and warranties of the Class A-1L-A Lenders in this Agreement are true and correct and assuming compliance by each such Class A-1L-A Lender with applicable transfer restriction provisions and other provisions herein and in the Indenture and (B) that all representations and warranties of all of the holders of the Debt in the Indenture (whether deemed or delivered in any representation letter required under the Indenture) are true and correct and assuming compliance by each holder of Debt with applicable transfer restriction provisions and other provisions in the Indenture, (x) 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 in each case other than any violation or conflict that would not reasonably be expected to have a material adverse effect on its business or financial condition or its ability to perform its obligations under the Transaction Documents, (y) all governmental and other consents that are required to have been obtained by it with respect to the execution, delivery and performance of this Agreement and the Indenture have been obtained and are in full force and effect and all conditions of any such consents have been complied with, in each case other than any failure to do so that would not reasonably be expected to have a material adverse effect on its business or financial condition or its ability to perform its obligations under the Transaction Documents and (z) it is not required to register as an investment company under the Investment Company Act of 1940, as amended.</w:t>
      </w:r>
    </w:p>
    <w:p>
      <w:pPr>
        <w:spacing w:after="0" w:line="191"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obligations under this Agreement and the Indenture constitute its legal, valid and binding obligations, enforceable against it in accordance with their respective terms (subject to applicable bankruptcy, reorganization, winding up, insolvency, moratorium or other similar laws affecting creditors’ rights generally and subject, as to enforceability, to equitable principles of general application (regardless of whether enforcement is sought in a proceeding in equity or at law)).</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5" w:name="page296"/>
    <w:bookmarkEnd w:id="295"/>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The Loan Agent hereby represents and warrants that:</w:t>
      </w:r>
    </w:p>
    <w:p>
      <w:pPr>
        <w:spacing w:after="0" w:line="206" w:lineRule="exact"/>
        <w:rPr>
          <w:sz w:val="20"/>
          <w:szCs w:val="20"/>
          <w:color w:val="auto"/>
        </w:rPr>
      </w:pPr>
    </w:p>
    <w:p>
      <w:pPr>
        <w:jc w:val="both"/>
        <w:ind w:left="760" w:firstLine="745"/>
        <w:spacing w:after="0" w:line="244" w:lineRule="auto"/>
        <w:tabs>
          <w:tab w:leader="none" w:pos="1941"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is duly organized and validly existing under the laws of its jurisdiction of formation, with power and authority to execute, deliver and perform its obligations hereunder and under the Indenture, and is duly eligible and qualified to act as Loan Agent hereunder and under the Indenture;</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authorized, executed and delivered by the Loan Agent, and constitutes the valid and binding obligation of the Loan Agent, enforceable against it in accordance with its terms except (A) as limited by bankruptcy, fraudulent conveyance, fraudulent transfer, insolvency, reorganization, liquidation, receivership, moratorium or other similar laws now or hereafter in effect relating to creditors’ rights generally and by general equitable principles, regardless of whether considered in a proceeding in equity or at law, and (B) that the remedy of specific performance and injunctive and other forms of equitable relief may be subject to equitable defenses and to the discretion of the court before which any proceeding therefore may be brought; and</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or delivery by the Loan Agent of this Agreement, nor performance by the Loan Agent of its obligations hereunder and under the Indenture requires the consent or approval of, the giving notice to or the registration or filing with, any governmental authority or agency under any existing law governing the Loan Agent which has not been obtained.</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Several Representations and Covenants of Each Class A-1L-A Lender</w:t>
      </w:r>
      <w:r>
        <w:rPr>
          <w:rFonts w:ascii="Times New Roman" w:cs="Times New Roman" w:eastAsia="Times New Roman" w:hAnsi="Times New Roman"/>
          <w:sz w:val="22"/>
          <w:szCs w:val="22"/>
          <w:color w:val="auto"/>
        </w:rPr>
        <w:t xml:space="preserve">. Each Class A-1L-A Lender severally represents and warrants (as to itself only) to the Borrower, the Loan Agent, the Collateral Manager and the Collateral Trustee, as of the date hereof, as of the date each transferee becomes a Class A-1L-A Lender in accordance with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hereof and as of the date of each Class A-1L-A Loan, and covenants as follows:</w:t>
      </w:r>
    </w:p>
    <w:p>
      <w:pPr>
        <w:spacing w:after="0" w:line="180" w:lineRule="exact"/>
        <w:rPr>
          <w:sz w:val="20"/>
          <w:szCs w:val="20"/>
          <w:color w:val="auto"/>
        </w:rPr>
      </w:pPr>
    </w:p>
    <w:p>
      <w:pPr>
        <w:ind w:firstLine="1505"/>
        <w:spacing w:after="0" w:line="258" w:lineRule="auto"/>
        <w:tabs>
          <w:tab w:leader="none" w:pos="1929"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the power to execute and deliver this Agreement and to perform its obligations under this Agreement and has taken all necessary action to authorize such execution, delivery and performance.</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obligations under this Agreement constitute its legal, valid and binding obligations, enforceable against it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execution and delivery of this agreement and its performance of its obligations hereunder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 except in each case for any violation or conflict as would not have a material and adverse effect on its performance of its obligations hereunder.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6" w:name="page297"/>
    <w:bookmarkEnd w:id="296"/>
    <w:p>
      <w:pPr>
        <w:jc w:val="both"/>
        <w:ind w:firstLine="1505"/>
        <w:spacing w:after="0" w:line="247" w:lineRule="auto"/>
        <w:tabs>
          <w:tab w:leader="none" w:pos="1929" w:val="left"/>
        </w:tabs>
        <w:numPr>
          <w:ilvl w:val="0"/>
          <w:numId w:val="3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Class A-1L-A Lender is capable of evaluating the merits and risks of a lending of the Debt. Such Class A-1L-A Lender is able to bear the economic risks of lending the Debt, including the loss of all or a substantial part of its investment under certain circumstances. Such Class A-1L-A Lender has had access to such information concerning the Borrower, the Collateral Manager, the Placement Agent, the Bank and the Debt as it deems necessary or appropriate to make an informed credit decision, including an opportunity to ask questions and receive information from the Borrower, the Collateral Manager, the Placement Agent, the Bank or any of their respective Affiliates, and it has received all information that it has requested concerning its lending of the Debt. Such Class A-1L-A Lender has, to the extent it deems necessary, consulted with its own legal, regulatory, tax, business, investment, financial and accounting advisors with respect to its lending of the Debt.</w:t>
      </w:r>
    </w:p>
    <w:p>
      <w:pPr>
        <w:spacing w:after="0" w:line="171" w:lineRule="exact"/>
        <w:rPr>
          <w:rFonts w:ascii="Times New Roman" w:cs="Times New Roman" w:eastAsia="Times New Roman" w:hAnsi="Times New Roman"/>
          <w:sz w:val="21"/>
          <w:szCs w:val="21"/>
          <w:color w:val="auto"/>
        </w:rPr>
      </w:pPr>
    </w:p>
    <w:p>
      <w:pPr>
        <w:jc w:val="both"/>
        <w:ind w:firstLine="1505"/>
        <w:spacing w:after="0" w:line="233" w:lineRule="auto"/>
        <w:tabs>
          <w:tab w:leader="none" w:pos="1929"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Class A-1L-A Lender agrees that in connection with its lending of the Class A-1L-A Loans that (A) none of the Transaction Parties or any of their respective Affiliates is acting as a fiduciary or financial or investment adviser for such Class A-1L-A Lender; (B) such Class A-1L-A Lender is not relying, and will not rely (for purposes of making any investment decision or otherwise) upon any written or oral advice, counsel or representations of the Transaction Parties or any of their respective Affiliates other than any statements in the final Offering Circular (if any) and the Transaction Documents, and such beneficial owner has read and understands the final Offering Circular (if any) (including, without limitation, the descriptions therein of the structure of the transaction in which the Debt is being issued and the risks to purchasers of the Debt) and the Transaction Documents; (C) such Class A-1L-A Lender has consulted with its own legal, regulatory, tax, business, investment, financial and accounting advisors to the extent it has deemed necessary and has made its own investment decisions (including decisions regarding the suitability of any transaction pursuant to this Agreement or the Indenture) based upon its own judgment and upon any advice from such advisors as it has deemed necessary and not upon any view expressed by the Transaction Parties or any of their respective affiliates.</w:t>
      </w:r>
    </w:p>
    <w:p>
      <w:pPr>
        <w:spacing w:after="0" w:line="184"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Class A-1L-A Lender is a commercial bank, insurance company, fund or other financial institution that is a Qualified Institutional Buyer and a Qualified Purchaser;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it understands that by entering into the transactions contemplated hereby it is making a loan under a commercial credit facility and that by making the foregoing representation no Class A-1L-A Lender is characterizing the transactions contemplated herein as the making of an investment in “securities” as defined in the Securities Act (and each Class A-1L-A Lender agrees not to assert a claim in contravention of the foregoing, such as a claim under the federal or state securities law).</w:t>
      </w:r>
    </w:p>
    <w:p>
      <w:pPr>
        <w:spacing w:after="0" w:line="181"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Such Class A-1L-A Lender is acquiring its interest in such Class A-1L-A Loans as principal solely for its own account for investment and not with a view to the resale, distribution or other disposition thereof in violation of the Securities Act; (ii) such Class A-1L-A Lender was not formed for the purpose of investing in the Debt; (iii) such Class A-1L-A Lender understands that the Borrower may receive a list of participants holding interests in the Debt from one or more book entry depositories; (iv) such Class A-1L-A Lender will hold and transfer at least the Minimum Denomination of such Class A-1L-A Loans; (v) such Class A-1L-A Lender is a sophisticated investor and is purchasing the Debt with a full understanding of all of the terms, conditions and risks thereof, and is capable of and willing to assume those risks; (vi) such Class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7" w:name="page298"/>
    <w:bookmarkEnd w:id="297"/>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A-1L-A Lender will provide notice of the relevant transfer restrictions to subsequent transferees; (vii) if it is not a U.S. person, it is not acquiring any Debt as part of a plan to reduce, avoid or evade U.S. federal income tax; (viii) none of the Transaction Parties or any of their respective Affiliates has given it (directly or indirectly through any other Person) any assurance, guarantee or representation whatsoever as to the expected or projected success, profitability, return, performance, result, effect, consequence or benefit (including legal, regulatory, tax, financial, accounting or otherwise) of the Debt or of the Indenture or of this Agreement; (ix) the Class A-1L-A Lender has determined that the rates, prices or amounts and other terms of the purchase and sale of the Debt reflect those in the relevant market for similar transactions; (x) the Class A-1L-A Lender is not a (A) partnership, (B) common trust fund or (C) special trust, pension, profit sharing or other retirement trust fund or plan in which the partners, beneficiaries or participants may designate the particular investments to be made; and (xi) subject to </w:t>
      </w:r>
      <w:r>
        <w:rPr>
          <w:rFonts w:ascii="Times New Roman" w:cs="Times New Roman" w:eastAsia="Times New Roman" w:hAnsi="Times New Roman"/>
          <w:sz w:val="21"/>
          <w:szCs w:val="21"/>
          <w:u w:val="single" w:color="auto"/>
          <w:color w:val="auto"/>
        </w:rPr>
        <w:t>Section 7.03(e)</w:t>
      </w:r>
      <w:r>
        <w:rPr>
          <w:rFonts w:ascii="Times New Roman" w:cs="Times New Roman" w:eastAsia="Times New Roman" w:hAnsi="Times New Roman"/>
          <w:sz w:val="21"/>
          <w:szCs w:val="21"/>
          <w:color w:val="auto"/>
        </w:rPr>
        <w:t xml:space="preserve"> and</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the Class A-1L-A Lender agrees that it will not hold any Debt for the benefit of any other Person, that it will at all times be the sole beneficial owner of the Debt for purposes of the Investment Company Act and all other purposes and that the beneficial owner will not sell participation interests in the Debt or enter into any other arrangement pursuant to which any other Person will be entitled to a beneficial interest in the distributions on the Debt.</w:t>
      </w:r>
    </w:p>
    <w:p>
      <w:pPr>
        <w:spacing w:after="0" w:line="177" w:lineRule="exact"/>
        <w:rPr>
          <w:sz w:val="20"/>
          <w:szCs w:val="20"/>
          <w:color w:val="auto"/>
        </w:rPr>
      </w:pPr>
    </w:p>
    <w:p>
      <w:pPr>
        <w:jc w:val="both"/>
        <w:ind w:firstLine="1505"/>
        <w:spacing w:after="0" w:line="244" w:lineRule="auto"/>
        <w:tabs>
          <w:tab w:leader="none" w:pos="1929"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Class A-1L-A Lender understands that any transfer of any interest in the Debt may be made only pursuant to an exemption from registration or qualification under the Securities Act and any applicable state or foreign securities laws and in compliance with the transfer restrictions set forth in Section 2.5 of the Indenture.</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Class A-1L-A Lender represents, acknowledges and agrees to the tax-related transfer restrictions set forth in Section 2.12 of the Indenture.</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If such Class A-1L-A Lender is, or is acting on behalf of, a Benefit Plan Investor, its acquisition, holding and disposition of such Class A-1L-A Loans (or interests therein) will not constitute or result in a non-exempt prohibited transaction under Section 406 of ERISA or Section 4975 of the Code, and (ii) if such Class A-1L-A Lender is a governmental, church, non-U.S. or other plan which is subject to any Other Plan Law, its acquisition, holding and disposition of such Class A-1L-A Loans (or interests therein) will not constitute or result in a violation of any such Other Plan Law.</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Class A-1L-A Lender is, or is acting on behalf of, a Benefit Plan Investor, (i) none of the Transaction Parties or any of their respective affiliates, has provided and none will provide any investment recommendation or investment advice to the Benefit Plan Investor, or to any fiduciary or other person investing the assets of the Benefit Plan Investor (“Plan Fiduciary”), in connection with the decision to invest in the Class A-1L-A Loans, and they are not otherwise undertaking to act as a fiduciary, as defined in Section 3(21) of ERISA or Section 4975(e)(3) of the Code, to the Benefit Plan Investor or the Plan Fiduciary in connection with the Benefit Plan Investor’s investment in the Class A-1L-A Loans, and (ii) the Plan Fiduciary is exercising its own independent judgment in evaluating the investment in the Class A-1L-A Loans.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8" w:name="page299"/>
    <w:bookmarkEnd w:id="298"/>
    <w:p>
      <w:pPr>
        <w:jc w:val="both"/>
        <w:ind w:firstLine="1505"/>
        <w:spacing w:after="0" w:line="234" w:lineRule="auto"/>
        <w:tabs>
          <w:tab w:leader="none" w:pos="1929"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Class A-1L-A Lender understands that such Class A-1L-A Loans are being offered only in a transaction not involving any public offering in the United States within the meaning of the Securities Act, such Class A-1L-A Loans have not been and will not be registered or qualified under the Securities Act or any state securities laws, and, if in the future such beneficial owner decides to reoffer, resell, pledge or otherwise transfer such Class A-1L-A Loans, such Class A-1L-A Loans may be reoffered, resold, pledged or otherwise transferred only in accordance with the provisions of the Indenture and this Agreement. Such Class A-1L-A Lender acknowledges that no representation has been made as to the availability of any exemption under the Securities Act or any state securities laws for resale of such Class A-1L-A Loans. Such Class A-1L-A Lender understands that the Borrower has not been registered under the Investment Company Act, and that the Borrower is exempted from registration as such by virtue of Section 3(c)(7) of the Investment Company Act.</w:t>
      </w:r>
    </w:p>
    <w:p>
      <w:pPr>
        <w:spacing w:after="0" w:line="18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Class A-1L-A Lender shall not, at any time, offer to buy or offer to sell the Debt by any form of general solicitation or advertising, including, but not limited to, any advertisement, article, notice or other communication published in any newspaper, magazine or similar medium or broadcast over television or radio or seminar or meeting whose attendees have been invited by general solicitations or advertising.</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Class A-1L-A Lender will provide the Borrower or its agents with such information and documentation that may be required for the Issuer to achieve AML Compliance and shall update or replace such information or documentation, as necessary.</w:t>
      </w:r>
    </w:p>
    <w:p>
      <w:pPr>
        <w:spacing w:after="0" w:line="1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Class A-1L-A Lender is acquiring any Debt in a transaction that would comprise a sale of securities in Florida, such beneficial owner is either (A) a “Qualified Institutional Buyer” (within the meaning of Rule 144A under the Securities Act) or (B) both (1) an “Institutional Accredited Investor” (within the meaning of Rule 501(a)(1), (2), (3) or (7) of Regulation D under the Securities Act) and (2) a bank, trust company, savings institution, insurance company, dealer, investment company (as defined in the Investment Company Act), pension or profit-sharing trust within the meaning of Section 517.061(9) of the Florida Securities and Investor Protection Act.</w:t>
      </w:r>
    </w:p>
    <w:p>
      <w:pPr>
        <w:spacing w:after="0" w:line="181"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Class A-1L-A Lender understands that the representations made in this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will be deemed to be made on each day from the date that such Class A-1L-A Lender acquires an interest in the Class A-1L-A Loans until the date it has disposed of its interests in such Class A-1L-A Loans. In the event that any representation in this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becomes untrue, such Class A-1L-A Lender will immediately notify the Loan Agent.</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Class A-1L-A Lender agrees not to seek to commence against the Borrower, an involuntary bankruptcy proceeding before a year and a day has elapsed since the payment in full to the holders of the Debt issued (or incurred, as applicable) pursuant this Class A-1L-A Credit Agreement and the Indenture or, if longer, the applicable preference period (plus one day) then in effect.</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Class A-1L-A Lender agrees that (a)(i) the express terms of the Indenture govern the rights of the holders to direct the commencement of a Proceeding against any Person, (ii) the Indenture contains limitations on the rights of the holders to direct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9" w:name="page300"/>
    <w:bookmarkEnd w:id="299"/>
    <w:p>
      <w:pPr>
        <w:jc w:val="both"/>
        <w:spacing w:after="0" w:line="236" w:lineRule="auto"/>
        <w:rPr>
          <w:sz w:val="20"/>
          <w:szCs w:val="20"/>
          <w:color w:val="auto"/>
        </w:rPr>
      </w:pPr>
      <w:r>
        <w:rPr>
          <w:rFonts w:ascii="Times New Roman" w:cs="Times New Roman" w:eastAsia="Times New Roman" w:hAnsi="Times New Roman"/>
          <w:sz w:val="22"/>
          <w:szCs w:val="22"/>
          <w:color w:val="auto"/>
        </w:rPr>
        <w:t>commencement of any such Proceeding and (iii) each beneficial owner shall comply with such express terms if it seeks to direct the commencement of any such Proceeding, (b) there are no implied rights under this Agreement or the Indenture to direct the commencement of any such Proceeding and (c) notwithstanding any provision of this Agreement or the Indenture, or any provision of the Debt or of any other agreement, the Borrower shall be under no duty or obligation of any kind to the holders of the Debt (or of any interest therein), or any of them, to institute any legal or other Proceedings of any kind, against any person or entity, including, without limitation, the Borrower, the Bank, the Collateral Manager or the Calculation Agent.</w:t>
      </w:r>
    </w:p>
    <w:p>
      <w:pPr>
        <w:spacing w:after="0" w:line="181" w:lineRule="exact"/>
        <w:rPr>
          <w:sz w:val="20"/>
          <w:szCs w:val="20"/>
          <w:color w:val="auto"/>
        </w:rPr>
      </w:pPr>
    </w:p>
    <w:p>
      <w:pPr>
        <w:jc w:val="both"/>
        <w:ind w:firstLine="1505"/>
        <w:spacing w:after="0" w:line="249" w:lineRule="auto"/>
        <w:tabs>
          <w:tab w:leader="none" w:pos="1929"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Class A-1L-A Lender agrees that (i) any sale, pledge or other transfer of the Class A-1L-A Loans (or any interest therein) made in violation of the transfer restrictions set forth herein or the Indenture or made based upon any false or inaccurate representation made by such Class A-1L-A Lender or a transferee to the Borrower will be null and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 xml:space="preserve"> and of no force or effect and (ii) none of the Borrower, the Collateral Manager, the Placement Agent, the Bank or any of their respective affiliates has any obligation to recognize any sale, pledge or other transfer of the Class A-1L-A Loans (or any interest therein) made in violation of any such transfer restriction or made based upon any such false or inaccurate representation.</w:t>
      </w:r>
    </w:p>
    <w:p>
      <w:pPr>
        <w:spacing w:after="0" w:line="170"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comply with the provisions of the Indenture applicable to it as a Holder.</w:t>
      </w:r>
    </w:p>
    <w:p>
      <w:pPr>
        <w:spacing w:after="0" w:line="206"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by the Borrower, as determined by the Borrower or the Collateral Manager on behalf of the Borrower, the Borrower may, upon written notice to the Loan Agent, impose additional transfer restrictions on the Class A-1L-A Loans to comply with the Uniting and Strengthening America by Providing Appropriate Tools Required to Intercept and Obstruct Terrorism Act of 2001 or the Code and other similar laws or regulations, including, without limitation, requiring each transferee of Debt to make such representations to the Borrower as may be required in connection with such compliance.</w:t>
      </w:r>
    </w:p>
    <w:p>
      <w:pPr>
        <w:spacing w:after="0" w:line="17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CONDITIONS</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The obligations of the Class A-1L-A Lenders to make Class A-1L-A Loans on the Closing Date shall not become effective until the time on the Closing Date that (x) the Indenture and this Agreement are executed and delivered, (y) the conditions precedent to issuance or incurrence of the Debt, as applicable, set forth in Section 3.1 of the Indenture have been satisfied and (z) the Class A-1L-A Loans have been assigned a rating of “AAA (sf)” by S&amp;P. The obligations of the Class A-1L-A Lenders to fund Additional Class A-1L-A Loans on any Additional Incurrence Date shall be subject to (1) receipt of a request in writing for such Class A-1L-A Loans no less than two (2) Business Days prior to such Additional Incurrence Date from the Borrower, and the satisfaction of the conditions to the issuance or incurrence of Additional Debt, as applicable, set forth in Section 3.2 of the Indenture, (2) the Class A-1L-A Lenders has consented to the incurrence of Additional Class A-1L-A Loans in writing and (3) the Additional Class A-1L-A Loans have been assigned a rating of “AAA (sf)” by S&amp;P.</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LOAN AGENT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Appointment</w:t>
      </w:r>
      <w:r>
        <w:rPr>
          <w:rFonts w:ascii="Times New Roman" w:cs="Times New Roman" w:eastAsia="Times New Roman" w:hAnsi="Times New Roman"/>
          <w:sz w:val="22"/>
          <w:szCs w:val="22"/>
          <w:color w:val="auto"/>
        </w:rPr>
        <w:t>. Each of the Class A-1L-A Lenders hereby irrevocably appoints the Loan Agent as its agent and authorizes the Loan Agent to take such actions on its behalf and to exercise such powers as are delegated to the Loan Agent by the terms hereof, together with such actions and powers as are reasonably incidental thereto.</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Certain Duties and Responsibilities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9" w:lineRule="auto"/>
        <w:tabs>
          <w:tab w:leader="none" w:pos="1929"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undertakes to perform such duties and only such duties as are specifically set forth in this Agreement, and no implied covenants or obligations shall be read into this Agreement against the Loan Agent and the Loan Agent shall satisfy those duties expressly set forth herein so long as it acts in good faith and without gross negligence or willful misconduct.</w:t>
      </w:r>
    </w:p>
    <w:p>
      <w:pPr>
        <w:spacing w:after="0" w:line="180"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rights, protections, benefits, immunities and indemnities afforded to the Collateral Trustee under the Indenture, shall also apply to the Loan Agent under this Agreement,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help fight the funding of terrorism and money laundering activities, the Loan Agent will obtain, verify, and record information that identifies individuals or entities that establish a relationship or open an account with the Loan Agent. The Loan Agent will ask for the name, address, tax identification number and other information that will allow the Loan Agent to identify the individual or entity who is establishing the relationship or opening the account. The Loan Agent may also ask for formation documents such as organizational documents, an offering memorandum, or other identifying documents to be provided.</w:t>
      </w:r>
    </w:p>
    <w:p>
      <w:pPr>
        <w:spacing w:after="0" w:line="181"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Whether or not therein expressly so provided, every provision of this Agreement relating to the conduct or affecting the liability of or affording protection to the Loan Agent shall be subject to the provisions of this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 xml:space="preserve">The Borrower agrees, subject to </w:t>
      </w:r>
      <w:r>
        <w:rPr>
          <w:rFonts w:ascii="Times New Roman" w:cs="Times New Roman" w:eastAsia="Times New Roman" w:hAnsi="Times New Roman"/>
          <w:sz w:val="21"/>
          <w:szCs w:val="21"/>
          <w:u w:val="single" w:color="auto"/>
          <w:color w:val="auto"/>
        </w:rPr>
        <w:t>Section 5.03(b)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60" w:firstLine="745"/>
        <w:spacing w:after="0" w:line="244" w:lineRule="auto"/>
        <w:tabs>
          <w:tab w:leader="none" w:pos="1941"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the Loan Agent on each Payment Date reasonable compensation, as set forth in a separate fee schedule, for all services rendered by it hereunder (which compensation shall not be limited by any provision of law in regard to the compensation of a trustee of an express trust);</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to reimburse the Loan Agent in a timely manner upon its request for all reasonable expenses, disbursements and advances incurred or made by the Loan Agent in accordance with any provision of this Agreement or the Indenture (including, without limitation, securities transaction charges and the reasonable compensation and expenses and disbursements of its agents and legal counsel, except any such expense, disbursement or advance as may be attributable to its negligence, willful misconduct or bad faith) but with respect to securities transaction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1" w:name="page302"/>
    <w:bookmarkEnd w:id="301"/>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charges, only to the extent any such charges have not been waived during a Collection Period due to the Loan Agent’s receipt of a payment from a financial institution with respect to certain Eligible Investments, as specified by the Collateral Manager; and</w:t>
      </w:r>
    </w:p>
    <w:p>
      <w:pPr>
        <w:spacing w:after="0" w:line="173" w:lineRule="exact"/>
        <w:rPr>
          <w:sz w:val="20"/>
          <w:szCs w:val="20"/>
          <w:color w:val="auto"/>
        </w:rPr>
      </w:pPr>
    </w:p>
    <w:p>
      <w:pPr>
        <w:jc w:val="both"/>
        <w:ind w:left="760" w:firstLine="745"/>
        <w:spacing w:after="0" w:line="235" w:lineRule="auto"/>
        <w:tabs>
          <w:tab w:leader="none" w:pos="1941"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indemnify the Loan Agent and its officers, directors, employees and agents for, and to hold them harmless against, any loss, claim, liability or expense (including reasonable attorneys’ fees and expenses) incurred without negligence, willful misconduct or bad faith on their part, arising out of or in connection with the acceptance or administration of any of the Loan Agent’s obligations or duties under this Agreement or the performance of its duties hereunder or under the Indenture, including the costs and expenses of defending themselves (including reasonable attorneys’ fees and costs) against any claim or liability in connection with the administration, exercise or performance of any of its powers or duties hereunder and under any other agreement or instrument related hereto (including claims by or against the Borrower and costs incurred enforcing this indemnity).</w:t>
      </w:r>
    </w:p>
    <w:p>
      <w:pPr>
        <w:spacing w:after="0" w:line="178" w:lineRule="exact"/>
        <w:rPr>
          <w:sz w:val="20"/>
          <w:szCs w:val="20"/>
          <w:color w:val="auto"/>
        </w:rPr>
      </w:pPr>
    </w:p>
    <w:p>
      <w:pPr>
        <w:jc w:val="both"/>
        <w:ind w:firstLine="1505"/>
        <w:spacing w:after="0" w:line="246" w:lineRule="auto"/>
        <w:tabs>
          <w:tab w:leader="none" w:pos="1929" w:val="left"/>
        </w:tabs>
        <w:numPr>
          <w:ilvl w:val="0"/>
          <w:numId w:val="3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amounts payable to the Loan Agent pursuant to this Agreement shall constitute Administrative Expenses of the Borrower. The Loan Agent shall receive amounts pursuant to this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and any other amounts payable to it hereunder or under the Indenture or in any of the Transaction Documents to which the Loan Agent is a party only as provided in the Priority of Payments but only to the extent that funds are available for the payment thereof. Subject to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 xml:space="preserve">, the Loan Agent shall continue to serve as Loan Agent under this Agreement notwithstanding the fact that the Loan Agent shall not have received amounts due it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impair or affect the Loan Agent’s rights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5.03</w:t>
      </w:r>
      <w:r>
        <w:rPr>
          <w:rFonts w:ascii="Times New Roman" w:cs="Times New Roman" w:eastAsia="Times New Roman" w:hAnsi="Times New Roman"/>
          <w:sz w:val="21"/>
          <w:szCs w:val="21"/>
          <w:color w:val="auto"/>
        </w:rPr>
        <w:t>. No direction by the Class A-1L-A Lenders shall affect the right of the Loan Agent to collect amounts owed to it under this Agreement. If, on any date when a fee or an expense shall be payable to the Loan Agent pursuant to this Agreement, insufficient funds are available for the payment thereof, any portion of a fee, indemnity or an expense not so paid shall be deferred and payable on such later date on which a fee or an expense shall be payable and sufficient funds are available therefor.</w:t>
      </w:r>
    </w:p>
    <w:p>
      <w:pPr>
        <w:spacing w:after="0" w:line="170" w:lineRule="exact"/>
        <w:rPr>
          <w:rFonts w:ascii="Times New Roman" w:cs="Times New Roman" w:eastAsia="Times New Roman" w:hAnsi="Times New Roman"/>
          <w:sz w:val="21"/>
          <w:szCs w:val="21"/>
          <w:color w:val="auto"/>
        </w:rPr>
      </w:pPr>
    </w:p>
    <w:p>
      <w:pPr>
        <w:jc w:val="both"/>
        <w:ind w:firstLine="1505"/>
        <w:spacing w:after="0" w:line="238" w:lineRule="auto"/>
        <w:tabs>
          <w:tab w:leader="none" w:pos="1929"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 Agent hereby agrees not to cause the filing of an involuntary petition in bankruptcy for the non-payment to the Loan Agent of any amounts provided by this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until at least one year, or, if longer, the applicable preference period then in effect and one day, after the payment in full of all Debt issued under the Indenture or incurred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prohibit the filing of proofs of claim in any such action that is filed or commenced by a person other than the Loan Agent or any Affiliate thereof.</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Borrower’s payment obligations to the Loan Agreement under this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shall be secured by the lien of this Agreement and the Indenture payable in accordance with the Priority of Payments, and shall survive the termination of this Agreement and the Indenture and the resignation or removal of the Loan Agent (to the extent of any fees or indemnified liabilities, costs, expenses and other amounts arising or incurred prior to, or arising out of actions or omissions occurring prior to, such termination, resignation or removal).</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2" w:name="page303"/>
    <w:bookmarkEnd w:id="302"/>
    <w:p>
      <w:pPr>
        <w:ind w:left="760"/>
        <w:spacing w:after="0"/>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Resignation and Removal; Appointment of a Successor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4" w:lineRule="auto"/>
        <w:tabs>
          <w:tab w:leader="none" w:pos="1929"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resignation or removal of the Loan Agent and no appointment of a successor Loan Agent pursuant to this </w:t>
      </w: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 xml:space="preserve"> shall become effective until the acceptance of appointment by the successor Loan Agent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5.05</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 Agent may not resign except upon (i) the Loan Agent’s determination that (A) the performance of its duties under this Agreement is or becomes impermissible under applicable law and (B) there is no reasonable action that the Loan Agent could take to make the performance of its duties hereunder permissible under applicable law or (ii) obtaining the prior written consent of the Collateral Manager prior to an Event of Default or the prior written consent of a Majority of the Controlling Class after an Event of Default (in each case, such consent shall not be unreasonably withheld). Upon receiving notice of such resignation, the Borrower shall use commercially reasonable efforts to promptly appoint a successor loan agent or loan agents that are eligible in accordance with Section 6.9 of the Indenture by written instrument, in duplicate, executed by an Authorized Officer of the Borrower, one copy of which shall be delivered to the Loan Agent so resigning and one copy to the successor Loan Agent or Loan Agents, together with a copy to each Class A-1L-A Lender and the Collateral Manager;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successor Loan Agent shall be appointed only upon the Act of a Majority of the Class A-1L-A Loans. If no successor Loan Agent shall have been appointed and an instrument of acceptance by a successor Loan Agent shall not have been delivered to the Loan Agent within 30 days after the giving of such notice of resignation, the resigning Loan Agent or any Class A-1L-A Lender, on behalf of itself and all others similarly situated, may petition any court of competent jurisdiction for the appointment of a successor Loan Agent that is eligible in accordance with Section 6.9 of the Indenture.</w:t>
      </w:r>
    </w:p>
    <w:p>
      <w:pPr>
        <w:spacing w:after="0" w:line="17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w:t>
      </w:r>
    </w:p>
    <w:p>
      <w:pPr>
        <w:spacing w:after="0" w:line="206" w:lineRule="exact"/>
        <w:rPr>
          <w:sz w:val="20"/>
          <w:szCs w:val="20"/>
          <w:color w:val="auto"/>
        </w:rPr>
      </w:pPr>
    </w:p>
    <w:p>
      <w:pPr>
        <w:ind w:left="760" w:right="20" w:firstLine="745"/>
        <w:spacing w:after="0" w:line="258" w:lineRule="auto"/>
        <w:tabs>
          <w:tab w:leader="none" w:pos="1941"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shall cease to be eligible in accordance with Section 6.9 of the Indenture and shall fail to resign after written request therefor by the Borrower or by any Class A-1L-A Lender; or</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shall become incapable of acting or shall be adjudged as bankrupt or insolvent or a receiver or liquidator of the Loan Agent or of its property shall be appointed or any public officer shall take charge or control of the Loan Agent or of its property or affairs for the purpose of rehabilitation, conservation or liquidation;</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then, in any such case (subject to </w:t>
      </w:r>
      <w:r>
        <w:rPr>
          <w:rFonts w:ascii="Times New Roman" w:cs="Times New Roman" w:eastAsia="Times New Roman" w:hAnsi="Times New Roman"/>
          <w:sz w:val="22"/>
          <w:szCs w:val="22"/>
          <w:u w:val="single" w:color="auto"/>
          <w:color w:val="auto"/>
        </w:rPr>
        <w:t>Section 5.04(a)</w:t>
      </w:r>
      <w:r>
        <w:rPr>
          <w:rFonts w:ascii="Times New Roman" w:cs="Times New Roman" w:eastAsia="Times New Roman" w:hAnsi="Times New Roman"/>
          <w:sz w:val="22"/>
          <w:szCs w:val="22"/>
          <w:color w:val="auto"/>
        </w:rPr>
        <w:t>), (i) the Borrower, by Issuer Order, may remove the Loan Agent, or (ii) any Class A-1L-A Lender may, on behalf of itself and all others similarly situated, petition any court of competent jurisdiction for the removal of the Loan Agent and the appointment of a successor Loan Agent.</w:t>
      </w:r>
    </w:p>
    <w:p>
      <w:pPr>
        <w:spacing w:after="0" w:line="173" w:lineRule="exact"/>
        <w:rPr>
          <w:sz w:val="20"/>
          <w:szCs w:val="20"/>
          <w:color w:val="auto"/>
        </w:rPr>
      </w:pPr>
    </w:p>
    <w:p>
      <w:pPr>
        <w:jc w:val="both"/>
        <w:ind w:firstLine="1505"/>
        <w:spacing w:after="0" w:line="239" w:lineRule="auto"/>
        <w:tabs>
          <w:tab w:leader="none" w:pos="1929"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Loan Agent shall be removed or become incapable of acting, or if a vacancy shall occur in the office of the Loan Agent for any reason (other than resignation), the Borrower, by Issuer Order, shall use commercially reasonable efforts to appoint a successor Loan Agent within 30 days after such removal or incapability or the occurrence of the vacancy. If the Borrower shall fail to appoint a successor Loan Agent within 30 days after such removal or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3" w:name="page304"/>
    <w:bookmarkEnd w:id="303"/>
    <w:p>
      <w:pPr>
        <w:jc w:val="both"/>
        <w:spacing w:after="0" w:line="235" w:lineRule="auto"/>
        <w:rPr>
          <w:sz w:val="20"/>
          <w:szCs w:val="20"/>
          <w:color w:val="auto"/>
        </w:rPr>
      </w:pPr>
      <w:r>
        <w:rPr>
          <w:rFonts w:ascii="Times New Roman" w:cs="Times New Roman" w:eastAsia="Times New Roman" w:hAnsi="Times New Roman"/>
          <w:sz w:val="22"/>
          <w:szCs w:val="22"/>
          <w:color w:val="auto"/>
        </w:rPr>
        <w:t>incapability or the occurrence of such vacancy, a successor Loan Agent may be appointed by a Majority of the Class A-1L-A Lenders by written instrument delivered to the Borrower and the retiring Loan Agent. The successor Loan Agent so appointed shall, forthwith upon its acceptance of such appointment, become the successor Loan Agent and supersede any successor Loan Agent proposed by the Borrower. If no successor Loan Agent shall have been so appointed by the Borrower or such Class A-1L-A Lenders and shall have accepted appointment in the manner hereinafter provided, the retiring Loan Agent or any Class A-1L-A Lender may, on behalf of itself and all others similarly situated, petition any court of competent jurisdiction for the appointment of a successor Loan Agent.</w:t>
      </w:r>
    </w:p>
    <w:p>
      <w:pPr>
        <w:spacing w:after="0" w:line="183" w:lineRule="exact"/>
        <w:rPr>
          <w:sz w:val="20"/>
          <w:szCs w:val="20"/>
          <w:color w:val="auto"/>
        </w:rPr>
      </w:pPr>
    </w:p>
    <w:p>
      <w:pPr>
        <w:jc w:val="both"/>
        <w:ind w:firstLine="1505"/>
        <w:spacing w:after="0" w:line="236" w:lineRule="auto"/>
        <w:tabs>
          <w:tab w:leader="none" w:pos="1929"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give prompt notice of each resignation and each removal of the Loan Agent and each appointment of a successor Loan Agent by mailing written notice of such event to the Collateral Manager, to the Rating Agency and to the Class A-1L-A Lenders as their names and addresses appear in the Loan Register. Each notice shall include the name and address of the successor Loan Agent. If the Borrower fails to mail such notice within ten days after acceptance of appointment by the successor Loan Agent, the successor Loan Agent shall cause such notice to be given at the expense of the Borrower.</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Acceptance of Appointment by Successor</w:t>
      </w:r>
      <w:r>
        <w:rPr>
          <w:rFonts w:ascii="Times New Roman" w:cs="Times New Roman" w:eastAsia="Times New Roman" w:hAnsi="Times New Roman"/>
          <w:sz w:val="22"/>
          <w:szCs w:val="22"/>
          <w:color w:val="auto"/>
        </w:rPr>
        <w:t xml:space="preserve">. Every successor Loan Agent appointed hereunder shall execute, acknowledge and deliver to the Borrower and the retiring Loan Agent an instrument accepting such appointment. Upon delivery of the required instrument, the resignation or removal of the retiring Loan Agent shall become effective and such successor Loan Agent, without any other act, deed or conveyance, shall become vested with all the rights, powers, duties and obligations of the retiring Loan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request of the Borrower or a Majority of the Class A-1L-A Loans or the successor Loan Agent, such retiring Loan Agent shall, upon payment of its fees and expenses then unpaid, execute and deliver an instrument transferring to such successor Loan Agent all the rights, powers, duties and obligations of the retiring Loan Agent.</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Loan Agent Criteria</w:t>
      </w:r>
      <w:r>
        <w:rPr>
          <w:rFonts w:ascii="Times New Roman" w:cs="Times New Roman" w:eastAsia="Times New Roman" w:hAnsi="Times New Roman"/>
          <w:sz w:val="22"/>
          <w:szCs w:val="22"/>
          <w:color w:val="auto"/>
        </w:rPr>
        <w:t xml:space="preserve">. The Loan Agent, and any entity appointed as a successor Loan Agent, shall be eligible in accordance with Section 6.9 of the Indenture. If at any time the Loan Agent shall cease to be eligible in accordance with Section 6.9 of the Indenture, it shall resign immediately in the manner and with the effect hereinafter specified in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0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CLASS A-1L-A LOAN EVENT OF DEFAULT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Class A-1L-A Loan Event of Default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4" w:lineRule="auto"/>
        <w:tabs>
          <w:tab w:leader="none" w:pos="1929"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Event of Default under Section 5.1 of the Indenture shall have occurred and be continuing (such occurrence, a “</w:t>
      </w:r>
      <w:r>
        <w:rPr>
          <w:rFonts w:ascii="Times New Roman" w:cs="Times New Roman" w:eastAsia="Times New Roman" w:hAnsi="Times New Roman"/>
          <w:sz w:val="22"/>
          <w:szCs w:val="22"/>
          <w:u w:val="single" w:color="auto"/>
          <w:color w:val="auto"/>
        </w:rPr>
        <w:t>Class A-1L-A Loan Event of Default</w:t>
      </w:r>
      <w:r>
        <w:rPr>
          <w:rFonts w:ascii="Times New Roman" w:cs="Times New Roman" w:eastAsia="Times New Roman" w:hAnsi="Times New Roman"/>
          <w:sz w:val="22"/>
          <w:szCs w:val="22"/>
          <w:color w:val="auto"/>
        </w:rPr>
        <w:t>”), the Borrower shall immediately, upon notice or knowledge thereof, notify the Collateral Trustee, the Loan Agent and each Class A-1L-A Lender thereof in writing.</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 Class A-1L-A Loan Event of Default and the acceleration of the Borrower’s obligations under the Indenture pursuant to the terms of Section 5.2 of the Indenture, the unpaid principal amount of the Class A-1L-A Loans, together with the interest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4" w:name="page305"/>
    <w:bookmarkEnd w:id="304"/>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accrued thereon and all other amounts payable by the Borrower hereunder in respect of the Class A-1L-A Loans, shall automatically become immediately due and payable by the Borrower hereunder, subject to and in accordance with the applicable provisions of the Indenture, without presentment, demand, protest or other formalities of any kind, all of which are hereby expressly waived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the rescission or annulment of the related Event of Default and acceleration under the Indenture in accordance with the terms thereof, any such acceleration shall automatically be rescinded and annulled for all purposes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action shall affect any subsequent Default or Class A-1L-A Loan Event of Default or impair any right consequent thereon. For the avoidance of doubt, the obligations under this Agreement in respect of the Class A-1L-A Loans shall not be accelerated prior to maturity unless the Borrower’s obligations under the Indenture have been concurrently accelerated.</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Rights Under Indenture; Remedies Cumulative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9" w:lineRule="auto"/>
        <w:tabs>
          <w:tab w:leader="none" w:pos="1929" w:val="left"/>
        </w:tabs>
        <w:numPr>
          <w:ilvl w:val="0"/>
          <w:numId w:val="3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Class A-1L-A Lender shall have the right to exercise any and all rights of the Class A-1L-A Lenders set forth in the Indenture, including but not limited to enforcement of rights following an Event of Default under the Indenture and exercise of such rights shall not preclude any Class A-1L-A Lender from exercising any of its rights hereunder. Without limiting the generality of the foregoing, the Class A-1L-A Loans shall comprise and be a part of the Class A-1 Debt and, as such, shall be subject to the terms and conditions of the Indenture applicable to the Class A-1 Debt, and shall have the rights afforded in the Indenture to the Class A-1 Debt (to the extent of the component thereof consisting of the Class A-1L-A Loans).</w:t>
      </w:r>
    </w:p>
    <w:p>
      <w:pPr>
        <w:spacing w:after="0" w:line="170" w:lineRule="exact"/>
        <w:rPr>
          <w:rFonts w:ascii="Times New Roman" w:cs="Times New Roman" w:eastAsia="Times New Roman" w:hAnsi="Times New Roman"/>
          <w:sz w:val="21"/>
          <w:szCs w:val="21"/>
          <w:color w:val="auto"/>
        </w:rPr>
      </w:pPr>
    </w:p>
    <w:p>
      <w:pPr>
        <w:jc w:val="both"/>
        <w:ind w:firstLine="1505"/>
        <w:spacing w:after="0" w:line="244" w:lineRule="auto"/>
        <w:tabs>
          <w:tab w:leader="none" w:pos="1929"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remedy conferred in this Agreement or in the Indenture upon any Class A-1L-A Lender is intended to be exclusive of any other remedy and each and every such remedy shall be cumulative and shall be in addition to every other remedy given hereunder or now or hereafter existing at law or in equity or by statute or otherwise.</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course of dealing between the Borrower and any Class A-1L-A Lender and no delay or failure in exercising any rights hereunder or under the Indenture in respect thereof shall operate as a waiver of any of the rights of any Class A-1L-A Lender.</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Class A-1L-A Lender hereby acknowledges and agrees that any Money collected by the Collateral Trustee with respect to the Debt pursuant to Article V of the Indenture and any Money that may then be held or thereafter received by the Collateral Trustee with respect to the Debt hereunder and under the Indenture shall be applied, subject to Section 13.1 of the Indenture and in accordance with the Priority of Payments, at the date or dates fixed by the Collateral Trustee pursuant to the Indenture.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5" w:name="page306"/>
    <w:bookmarkEnd w:id="305"/>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provided for herein (including each consent, notice, direction or request) shall be sufficient for every purpose hereunder if given in accordance with the applicable provisions of Sections 14.3 and 14.4 of the Indenture to the applicable parties at the following addresses:</w:t>
      </w:r>
    </w:p>
    <w:p>
      <w:pPr>
        <w:spacing w:after="0" w:line="173"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(a)</w:t>
        <w:tab/>
        <w:t>if to the Borrower, the Collateral Trustee or the Collateral Manager, at its address or fax number set forth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the Indenture;</w:t>
      </w:r>
    </w:p>
    <w:p>
      <w:pPr>
        <w:spacing w:after="0" w:line="182" w:lineRule="exact"/>
        <w:rPr>
          <w:sz w:val="20"/>
          <w:szCs w:val="20"/>
          <w:color w:val="auto"/>
        </w:rPr>
      </w:pPr>
    </w:p>
    <w:p>
      <w:pPr>
        <w:ind w:firstLine="1505"/>
        <w:spacing w:after="0" w:line="258" w:lineRule="auto"/>
        <w:tabs>
          <w:tab w:leader="none" w:pos="1929"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the Loan Agent, at its address set forth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or at such other address as shall be designated by the Loan Agent in a notice to the Borrower, each Class A-1L-A Lender, the Collateral Manager and the Collateral Trustee;</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any Class A-1L-A Lender, at its address set forth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(in the case of any initial Class A-1L-A Lender) or in the Assignment and Acceptance delivered by it; or at such other address as shall be designated by a Class A-1L-A Lender in a notice to the Borrower, the Collateral Manager, the Loan Agent and the Collateral Trustee; and</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S&amp;P, in the manner specified in the Indenture.</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All notices and other communications given to any party hereto in accordance with the provisions of this Agreement shall be deemed to have been given on the date of receipt.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Waivers; Amendments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55" w:lineRule="auto"/>
        <w:tabs>
          <w:tab w:leader="none" w:pos="1929" w:val="left"/>
        </w:tabs>
        <w:numPr>
          <w:ilvl w:val="0"/>
          <w:numId w:val="3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waiver of any provision of this Agreement and consent to any departure by the Borrower therefrom shall be effective only in the specific instance and for the purpose for which given. The making of a Class A-1L-A Loan shall not be construed as a waiver of any Event of Default, regardless of whether the Collateral Trustee, the Loan Agent, the Collateral Manager, any Class A-1L-A Lender or any Debtholder may have had notice or knowledge of such Event of Default at the time.</w:t>
      </w:r>
    </w:p>
    <w:p>
      <w:pPr>
        <w:spacing w:after="0" w:line="161" w:lineRule="exact"/>
        <w:rPr>
          <w:rFonts w:ascii="Times New Roman" w:cs="Times New Roman" w:eastAsia="Times New Roman" w:hAnsi="Times New Roman"/>
          <w:sz w:val="21"/>
          <w:szCs w:val="21"/>
          <w:color w:val="auto"/>
        </w:rPr>
      </w:pPr>
    </w:p>
    <w:p>
      <w:pPr>
        <w:jc w:val="both"/>
        <w:ind w:firstLine="1505"/>
        <w:spacing w:after="0" w:line="244" w:lineRule="auto"/>
        <w:tabs>
          <w:tab w:leader="none" w:pos="1929"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only be waived, amended or modified in writing by the Borrower, the Collateral Trustee, a Majority of the Class A-1L-A Lenders and the Loan Agent, subject to and in accordance with Article VIII of the Indenture.</w:t>
      </w:r>
    </w:p>
    <w:p>
      <w:pPr>
        <w:spacing w:after="0" w:line="173" w:lineRule="exact"/>
        <w:rPr>
          <w:rFonts w:ascii="Times New Roman" w:cs="Times New Roman" w:eastAsia="Times New Roman" w:hAnsi="Times New Roman"/>
          <w:sz w:val="22"/>
          <w:szCs w:val="22"/>
          <w:color w:val="auto"/>
        </w:rPr>
      </w:pPr>
    </w:p>
    <w:p>
      <w:pPr>
        <w:jc w:val="both"/>
        <w:ind w:firstLine="1505"/>
        <w:spacing w:after="0" w:line="261" w:lineRule="auto"/>
        <w:tabs>
          <w:tab w:leader="none" w:pos="1929" w:val="left"/>
        </w:tabs>
        <w:numPr>
          <w:ilvl w:val="0"/>
          <w:numId w:val="3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failure or delay in exercising any right, power or privilege in respect of this Agreement will not be presumed to operate as a waiver, and a single or partial exercise of any right, power or privilege will not be presumed to preclude any subsequent or further exercise, of that right, power or privilege or the exercise of any other right, power or privilege.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6" w:name="page307"/>
    <w:bookmarkEnd w:id="306"/>
    <w:p>
      <w:pPr>
        <w:ind w:left="760"/>
        <w:spacing w:after="0"/>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1929" w:val="left"/>
        </w:tabs>
        <w:numPr>
          <w:ilvl w:val="1"/>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Agreement shall be binding upon and inure to the benefit of the parties hereto and their respective successors and transferees. Nothing in this Agreement, expressed or implied, shall be construed to confer upon any Person (other than the parties hereto and their respective successors and transferees) any benefit or any legal or equitable right, remedy or claim under or by reason of this Agreement. Any purported transfer not in compliance with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shall be null and void.</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1"/>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not assign or delegate any of their rights or obligations under this Agreement without the prior consent of each Class A-1L-A Lender, the Loan Agent and the Collateral Trustee;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Class A-1L-A Lender, the Loan Agent and the Collateral Trustee each hereby acknowledge that, pursuant to the terms of the Collateral Management Agreement, the Borrower have granted the Collateral Manager the right to take certain actions hereunder on its behalf.</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Class A-1L-A Lender may transfer to one or more transferees all or a portion of its Class A-1L-A Loans and the related rights and obligations under this Agreement if (A) with respect to any transfer by a Class A-1L-A Lender of less than all of its Class A-1L-A Loans, after giving effect to such transfer, each of the transferor and the transferee shall hold Class A-1L-A Loans in the Minimum Denomination, (B) all conditions precedent to the transfer of the relevant Class A-1L-A Loan specified herein and in the Indenture have been satisfied, (C) the parties to such transfer have executed and delivered to the Loan Agent (with a copy to the Collateral Trustee) a duly completed Assignment and Acceptance and the Borrower shall have consented to such transfer (which consent shall not be unreasonably withheld, conditioned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consent shall be required (x) following the occurrence and during the continuance of a Class A-1L-A Loan Event of Default or</w:t>
      </w:r>
    </w:p>
    <w:p>
      <w:pPr>
        <w:spacing w:after="0" w:line="3" w:lineRule="exact"/>
        <w:rPr>
          <w:rFonts w:ascii="Times New Roman" w:cs="Times New Roman" w:eastAsia="Times New Roman" w:hAnsi="Times New Roman"/>
          <w:sz w:val="21"/>
          <w:szCs w:val="21"/>
          <w:color w:val="auto"/>
        </w:rPr>
      </w:pPr>
    </w:p>
    <w:p>
      <w:pPr>
        <w:jc w:val="both"/>
        <w:ind w:firstLine="8"/>
        <w:spacing w:after="0" w:line="231" w:lineRule="auto"/>
        <w:tabs>
          <w:tab w:leader="none" w:pos="316"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transfer by a Class A-1L-A Lender to another Class A-1L-A Lender, and (D) the Class A-1L-A Lender effecting the transfer has paid a sum sufficient to Borrower (as determined in the Borrower’s reasonable discretion) as may be necessary to cover any tax or other governmental charge payable by Borrower in connection with such transfer. Upon acceptance and recording pursuant to </w:t>
      </w:r>
      <w:r>
        <w:rPr>
          <w:rFonts w:ascii="Times New Roman" w:cs="Times New Roman" w:eastAsia="Times New Roman" w:hAnsi="Times New Roman"/>
          <w:sz w:val="22"/>
          <w:szCs w:val="22"/>
          <w:u w:val="single" w:color="auto"/>
          <w:color w:val="auto"/>
        </w:rPr>
        <w:t>Section 7.03(d)</w:t>
      </w:r>
      <w:r>
        <w:rPr>
          <w:rFonts w:ascii="Times New Roman" w:cs="Times New Roman" w:eastAsia="Times New Roman" w:hAnsi="Times New Roman"/>
          <w:sz w:val="22"/>
          <w:szCs w:val="22"/>
          <w:color w:val="auto"/>
        </w:rPr>
        <w:t>, from and after the effective date specified in each Assignment and Acceptance, (x) the transferee thereunder shall be a party hereto, (y) the Loan Register shall be updated to reflect such transfer and the Collateral Trustee and the Loan Agent shall be notified of such update and (z) to the extent of the interest transferred by such Assignment and Acceptance, the transferee shall have the rights and obligations of a Class A-1L-A Lender under this Agreement, and the transferring Class A-1L-A Lender thereunder shall, to the extent of the interest transferred by such Assignment and Acceptance, be released from its obligations under this Agreement (and, in the case of an Assignment and Acceptance covering all of the transferring Class A-1L-A Lender’s rights and obligations under this Agreement and in respect of Class A-1L-A Loans, such Class A-1L-A Lender shall cease to be a party hereto). The Borrower shall provide, or cause to be provided, notice of any such transfer to the Rating Agencies. Nothing in this Agreement shall prevent or prohibit any Class A-1L-A Lender from pledging its Class A-1L-A Loans to a Federal Reserve Bank in support of borrowings made by such Class A-1L-A Lender from such Federal Reserve Bank.</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7" w:name="page308"/>
    <w:bookmarkEnd w:id="307"/>
    <w:p>
      <w:pPr>
        <w:jc w:val="both"/>
        <w:ind w:firstLine="1505"/>
        <w:spacing w:after="0" w:line="239" w:lineRule="auto"/>
        <w:tabs>
          <w:tab w:leader="none" w:pos="1929" w:val="left"/>
        </w:tabs>
        <w:numPr>
          <w:ilvl w:val="1"/>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its receipt of a duly completed Assignment and Acceptance executed by a transferring Class A-1L-A Lender and a transferee, the Loan Agent shall accept such Assignment and Acceptance and record the Class A-1L-A Lender identification and amount transferred in the Loan Register. No transfer shall be effective for purposes of this Agreement unless it has been recorded in the Loan Register as provided in this paragraph.</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Class A-1L-A Lender may at any time grant participations in any of its rights hereunder to one or more commercial banks, insurance companies, funds or other financial institutions;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any such participation, the participant shall not have any rights under this Agreement or any of the other Transaction Documents (the participant’s rights against such Class A-1L-A Lender in respect of such participation to be those set forth in the agreement executed by such Class A-1L-A Lender in favor of the participant relating thereto) and all amounts payable by the Borrower hereunder shall be determined as if such Class A-1L-A Lender had not sold such participation;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no Class A-1L-A Lender shall transfer, grant or assign any participation under which the participant shall have rights to approve any amendment to or waiver of this Agreement or any other Credit Documents except to the extent such amendment or waiver would</w:t>
      </w:r>
    </w:p>
    <w:p>
      <w:pPr>
        <w:spacing w:after="0" w:line="3" w:lineRule="exact"/>
        <w:rPr>
          <w:rFonts w:ascii="Times New Roman" w:cs="Times New Roman" w:eastAsia="Times New Roman" w:hAnsi="Times New Roman"/>
          <w:sz w:val="21"/>
          <w:szCs w:val="21"/>
          <w:color w:val="auto"/>
        </w:rPr>
      </w:pPr>
    </w:p>
    <w:p>
      <w:pPr>
        <w:jc w:val="both"/>
        <w:ind w:firstLine="8"/>
        <w:spacing w:after="0" w:line="231" w:lineRule="auto"/>
        <w:tabs>
          <w:tab w:leader="none" w:pos="346"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extend the final scheduled maturity of any Class A-1L-A Loan in which such participant is participating or waive any Mandatory Prepayment thereof, or reduce the rate or extend the time of payment of interest or fees thereon (except in connection with a waiver of the applicability of any post-default increase in interest rates), or reduce the principal amount thereof, or increase such participant’s participating interest in any Class A-1L-A Loan over the amount thereof then in effect (it being understood that a waiver of any Default or a Mandatory Prepayment, shall not constitute a change in the terms of any Class A-1L-A Loan), (y) release all or substantially all of the Assets (in each case, except as expressly provided in the Credit Documents), or (z) consent to the assignment or transfer by the Borrower of any of its rights and obligations under this Agreement (except as provided in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of this Agreement);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each participation shall be subject to the related participant providing a representation and warranty to the Class A-1L-A Lender from which it is acquiring its participation that it is a Qualified Purchaser and a Qualified Institutional Buyer and making representations substantially in the form set forth under </w:t>
      </w:r>
      <w:r>
        <w:rPr>
          <w:rFonts w:ascii="Times New Roman" w:cs="Times New Roman" w:eastAsia="Times New Roman" w:hAnsi="Times New Roman"/>
          <w:sz w:val="22"/>
          <w:szCs w:val="22"/>
          <w:u w:val="single" w:color="auto"/>
          <w:color w:val="auto"/>
        </w:rPr>
        <w:t>Section 3.02(d)</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1"/>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Class A-1L-A Lender that sells a participation shall, acting solely for this purpose as an agent of the Borrower, maintain a register on which it enters the name and address of each participant and the principal amounts of (and stated interest on) each participant’s interest in the Class A-1L-A Loans or other obligations under the Transaction Documents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Class A-1L-A Lender shall have any obligation to disclose all or any portion of the Participant Register (including the identity of any participant or any information relating to a participant’s interest in any Commitments, Class A-1L-A Loans, or its other obligations under any Transaction Document) to any Person except to the extent that such disclosure is necessary to establish that such Commitment, Class A-1L-A Loan, or other obligation is in registered form under Section 5f.103-1(c) of the Treasury Regulations and proposed Section 1.163-5 of the Treasury Regulations. The entries in the Participant Register shall be conclusive absent manifest error, and such Class A-1L-A Lender shall treat each Person whose name is recorded in the Participant Register as the owner of such participation for all purposes of this Agreement notwithstanding any notice to the contrary. For the avoidance of doubt, no Loan Agent (in its capacity as Loan Agent) shall have responsibility for maintaining a Participant Register.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8" w:name="page309"/>
    <w:bookmarkEnd w:id="308"/>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7.04.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All covenants, agreements, representations and warranties made by the Borrower and each Class A-1L-A Lender herein and in the certificates or other instruments delivered in connection with or pursuant to this Agreement or the Indenture shall be considered to have been relied upon by the other parties hereto and shall survive the execution and delivery of this Agreement and the making of any Class A-1L-A Loans, regardless of any investigation made by any such other party or on its behalf and notwithstanding that the Collateral Trustee, the Loan Agent or any Class A-1L-A Lender may have had notice or knowledge of any Event of Default or incorrect representation or warranty at the time any credit is extended hereunder, and shall continue in full force and effect as long as any Class A-1L-A Loan or any amount payable under this Agreement or the Indenture in respect of any Class A-1L-A Loan is outstanding and unpaid.</w:t>
      </w:r>
    </w:p>
    <w:p>
      <w:pPr>
        <w:spacing w:after="0" w:line="17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7.05. </w:t>
      </w:r>
      <w:r>
        <w:rPr>
          <w:rFonts w:ascii="Times New Roman" w:cs="Times New Roman" w:eastAsia="Times New Roman" w:hAnsi="Times New Roman"/>
          <w:sz w:val="22"/>
          <w:szCs w:val="22"/>
          <w:u w:val="single" w:color="auto"/>
          <w:color w:val="auto"/>
        </w:rPr>
        <w:t>Counterparts; Integration; Effectiveness</w:t>
      </w:r>
      <w:r>
        <w:rPr>
          <w:rFonts w:ascii="Times New Roman" w:cs="Times New Roman" w:eastAsia="Times New Roman" w:hAnsi="Times New Roman"/>
          <w:sz w:val="22"/>
          <w:szCs w:val="22"/>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the Indenture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this Agreement shall become effective when it shall have been executed by the Loan Agent and when the Loan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fax or electronic message shall be effective as delivery of a manually executed counterpart of this Agreement.</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7.06.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held to be invalid, illegal or unenforceable in any respect in any jurisdiction shall, as to such jurisdiction, be ineffective to the extent of such invalidity, illegality or unenforceability in such matter without affecting the validity, legality and enforceability of any such provision in every other respect and of the remaining provisions hereof; and the invalidity of a particular provision in a particular jurisdiction shall not invalidate such provision in any other jurisdiction.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7.07.  </w:t>
      </w:r>
      <w:r>
        <w:rPr>
          <w:rFonts w:ascii="Times New Roman" w:cs="Times New Roman" w:eastAsia="Times New Roman" w:hAnsi="Times New Roman"/>
          <w:sz w:val="22"/>
          <w:szCs w:val="22"/>
          <w:u w:val="single" w:color="auto"/>
          <w:color w:val="auto"/>
        </w:rPr>
        <w:t>Governing Law; Jurisdiction; Consent to Service of Process; Waiver of Jury Trial Right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1929"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ALL DISPUTES ARISING THEREFROM OR RELATING THERETO SHALL BE CONSTRUED IN ACCORDANCE WITH AND GOVERNED IN ALL RESPECT (WHETHER IN CONTRACT OR IN TORT) BY THE LAW OF THE STATE OF NEW YORK APPLICABLE TO AGREEMENTS MADE AND TO BE PERFORMED THEREIN WITHOUT REGARD TO THE CONFLICT OF LAWS PRINCIPLES THAT WOULD RESULT IN THE APPLICATION OF ANY LAW OTHER THAN THE LAW OF THE STATE OF NEW YORK.</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9" w:name="page310"/>
    <w:bookmarkEnd w:id="309"/>
    <w:p>
      <w:pPr>
        <w:jc w:val="both"/>
        <w:ind w:firstLine="1505"/>
        <w:spacing w:after="0" w:line="245" w:lineRule="auto"/>
        <w:tabs>
          <w:tab w:leader="none" w:pos="1929" w:val="left"/>
        </w:tabs>
        <w:numPr>
          <w:ilvl w:val="0"/>
          <w:numId w:val="3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HERETO HEREBY IRREVOCABLY (I) SUBMITS TO THE NON-EXCLUSIVE JURISDICTION OF ANY FEDERAL OR NEW YORK STATE COURT SITTING IN THE BOROUGH OF MANHATTAN IN THE CITY OF NEW YORK IN ANY ACTION OR PROCEEDING ARISING OUT OF OR RELATING TO THE CLASS A-1L-A LOANS OR THIS AGREEMENT, (II) AGREES THAT ALL CLAIMS IN RESPECT OF SUCH ACTION OR PROCEEDING MAY BE HEARD AND DETERMINED IN SUCH FEDERAL OR NEW YORK STATE COURT AND (III) WAIVES, TO THE FULLEST EXTENT THAT IT MAY LEGALLY DO SO, THE DEFENSE OF AN INCONVENIENT FORUM TO THE MAINTENANCE OF SUCH ACTION OR PROCEEDING. THE BORROWER IRREVOCABLY CONSENT TO THE SERVICE OF ANY AND ALL PROCESS IN ANY ACTION OR PROCEEDING BY THE MAILING OR DELIVERY OF COPIES OF SUCH PROCESS TO IT AT THE OFFICE OF THE BORROWER’S AGENT SET FORTH IN SECTION 7.2 OF THE INDENTURE. THE BORROWER AND THE LOAN AGENT AGREE THAT A FINAL JUDGMENT IN ANY SUCH ACTION OR PROCEEDING SHALL BE CONCLUSIVE AND MAY BE ENFORCED IN OTHER JURISDICTIONS BY SUIT ON THE JUDGMENT OR IN ANY OTHER MANNER PROVIDED BY LAW.</w:t>
      </w:r>
    </w:p>
    <w:p>
      <w:pPr>
        <w:spacing w:after="0" w:line="173" w:lineRule="exact"/>
        <w:rPr>
          <w:rFonts w:ascii="Times New Roman" w:cs="Times New Roman" w:eastAsia="Times New Roman" w:hAnsi="Times New Roman"/>
          <w:sz w:val="21"/>
          <w:szCs w:val="21"/>
          <w:color w:val="auto"/>
        </w:rPr>
      </w:pPr>
    </w:p>
    <w:p>
      <w:pPr>
        <w:jc w:val="both"/>
        <w:ind w:firstLine="1505"/>
        <w:spacing w:after="0" w:line="244" w:lineRule="auto"/>
        <w:tabs>
          <w:tab w:leader="none" w:pos="1929"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(other than the Borrower) to this Agreement irrevocably consents to service of process in the manner provided for notices in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Nothing in this Agreement will affect the right of any party to this Agreement to serve process in any other manner permitted by law.</w:t>
      </w:r>
    </w:p>
    <w:p>
      <w:pPr>
        <w:spacing w:after="0" w:line="173"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0"/>
          <w:numId w:val="3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 AGENT, THE CLASS A-1L-A LENDERS AND THE BORROWER EACH HEREBY KNOWINGLY, VOLUNTARILY AND INTENTIONALLY WAIVES ANY RIGHTS IT MAY HAVE TO A TRIAL BY JURY IN RESPECT OF ANY LITIGATION BASED HEREON, OR ARISING OUT OF, UNDER, OR IN CONNECTION WITH, THIS AGREEMENT, THE CLASS A-1L-A LOANS OR ANY OTHER RELATED DOCUMENTS, OR ANY COURSE OF CONDUCT, COURSE OF DEALING, STATEMENTS (WHETHER VERBAL OR WRITTEN) OR ACTIONS OF THE LOAN AGENT OR THE BORROWER. EACH OF THE BORROWER, THE LOAN AGENT AND THE CLASS A-1L-A LENDERS ACKNOWLEDGES AND AGREES THAT IT HAS RECEIVED FULL AND SUFFICIENT CONSIDERATION FOR THIS PROVISION AND THAT THIS PROVISION IS A MATERIAL INDUCEMENT FOR SUCH PARTIES ENTERING INTO THIS AGREEMENT OR ACCEPTING ANY OF THE BENEFITS OF THE CLASS A-1L-A LOANS.</w:t>
      </w:r>
    </w:p>
    <w:p>
      <w:pPr>
        <w:spacing w:after="0" w:line="17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7.08. </w:t>
      </w:r>
      <w:r>
        <w:rPr>
          <w:rFonts w:ascii="Times New Roman" w:cs="Times New Roman" w:eastAsia="Times New Roman" w:hAnsi="Times New Roman"/>
          <w:sz w:val="22"/>
          <w:szCs w:val="22"/>
          <w:u w:val="single" w:color="auto"/>
          <w:color w:val="auto"/>
        </w:rPr>
        <w:t>Benefits of Indenture</w:t>
      </w:r>
      <w:r>
        <w:rPr>
          <w:rFonts w:ascii="Times New Roman" w:cs="Times New Roman" w:eastAsia="Times New Roman" w:hAnsi="Times New Roman"/>
          <w:sz w:val="22"/>
          <w:szCs w:val="22"/>
          <w:color w:val="auto"/>
        </w:rPr>
        <w:t>. Each of the Class A-1L-A Lenders hereby acknowledges and approves the pledge and assignment by the Borrower of all of its right, title and interest in, to and under this Agreement to the Collateral Trustee for the benefit and security of the Secured Parties pursuant to the Indenture.</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7.09.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Article and Section headings (including those used in cross-references herein) and the Table of Contents used herein are for convenience of reference only, are not part of this Agreement and shall not affect the construction of, or be taken into consideration in interpreting, this Agreement.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0" w:name="page311"/>
    <w:bookmarkEnd w:id="310"/>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Section 7.10. </w:t>
      </w:r>
      <w:r>
        <w:rPr>
          <w:rFonts w:ascii="Times New Roman" w:cs="Times New Roman" w:eastAsia="Times New Roman" w:hAnsi="Times New Roman"/>
          <w:sz w:val="21"/>
          <w:szCs w:val="21"/>
          <w:u w:val="single" w:color="auto"/>
          <w:color w:val="auto"/>
        </w:rPr>
        <w:t>Recourse against Certain Parties</w:t>
      </w:r>
      <w:r>
        <w:rPr>
          <w:rFonts w:ascii="Times New Roman" w:cs="Times New Roman" w:eastAsia="Times New Roman" w:hAnsi="Times New Roman"/>
          <w:sz w:val="21"/>
          <w:szCs w:val="21"/>
          <w:color w:val="auto"/>
        </w:rPr>
        <w:t xml:space="preserve">. No recourse under or with respect to any obligation, covenant or agreement of any Class A-1L-A Lender or any other agreement, instrument or document entered into by it pursuant hereto or in connection herewith shall be had against any incorporator, stockholder, affiliate, officer, member, manager, partner, employee or director of such Class A-1L-A Lender, as such, by the enforcement of any assessment, by any legal or equitable proceeding, by virtue of any statute or otherwise; it being expressly agreed and understood that the agreements of such Class A-1L-A Lender contained in this Agreement and all of the other agreements, instruments and documents entered into by it pursuant hereto or in connection herewith are, in each case, solely the corporate obligations of such Class A-1L-A Lender, and that no personal liability whatsoever shall attach to or be incurred by the any incorporator, stockholder, affiliate, officer, member, manager, partner, employee or director of such Class A-1L-A Lender, as such, or any of them, under or by reason of any of the obligations, covenants or agreements of such Class A-1L-A Lender contained in this Agreement or in any other such instrument, document or agreement, or which are implied therefrom, and that any and all personal liability of every such incorporator, stockholder, Affiliate, officer, employee, member, manager, partner or director of such Class A-1L-A Lender for breaches by such Class A-1L-A Lender of any such obligations, covenants or agreements, which liability may arise either at common law or at equity, by statute or constitution, or otherwise, is hereby expressly waived as a condition of and in consideration for the execution of this Agreement. The provisions of this </w:t>
      </w:r>
      <w:r>
        <w:rPr>
          <w:rFonts w:ascii="Times New Roman" w:cs="Times New Roman" w:eastAsia="Times New Roman" w:hAnsi="Times New Roman"/>
          <w:sz w:val="21"/>
          <w:szCs w:val="21"/>
          <w:u w:val="single" w:color="auto"/>
          <w:color w:val="auto"/>
        </w:rPr>
        <w:t>Section 7.10</w:t>
      </w:r>
      <w:r>
        <w:rPr>
          <w:rFonts w:ascii="Times New Roman" w:cs="Times New Roman" w:eastAsia="Times New Roman" w:hAnsi="Times New Roman"/>
          <w:sz w:val="21"/>
          <w:szCs w:val="21"/>
          <w:color w:val="auto"/>
        </w:rPr>
        <w:t xml:space="preserve"> shall survive the termination of this Agreement.</w:t>
      </w:r>
    </w:p>
    <w:p>
      <w:pPr>
        <w:spacing w:after="0" w:line="17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Limited-Recourse Obligations</w:t>
      </w:r>
      <w:r>
        <w:rPr>
          <w:rFonts w:ascii="Times New Roman" w:cs="Times New Roman" w:eastAsia="Times New Roman" w:hAnsi="Times New Roman"/>
          <w:sz w:val="22"/>
          <w:szCs w:val="22"/>
          <w:color w:val="auto"/>
        </w:rPr>
        <w:t xml:space="preserve">. The Class A-1L-A Loans and all obligations of the Borrower under this Agreement are at all times limited-recourse obligations of the Borrower. The Class A-1L-A Loans are payable solely from the Assets and other assets pledged by the Borrower to secure the Debt. Upon realization of the Assets and such other assets and the application of the proceeds thereof in accordance with the Indenture, any outstanding obligations of the Borrower hereunder shall be extinguished and shall not thereafter revive. None of the Collateral Manager, the Collateral Trustee, the Loan Agent, any of their respective affiliates, security holders (including shareholders), members, partners, officers, directors or employees, or the security holders (including shareholders), members, managers, partners, officers, directors, employees, authorized persons or incorporators of the Borrower, or any other person or entity will be obligated to make payments on the Class A-1L-A Loans. Consequently, the Class A-1L-A Lenders must rely solely on amounts received in respect of the Assets and other assets pledged to secure the Debt for the payment of principal thereof and interest thereon.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shall survive the termination of this Agreement.</w:t>
      </w:r>
    </w:p>
    <w:p>
      <w:pPr>
        <w:spacing w:after="0" w:line="18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7.12. </w:t>
      </w:r>
      <w:r>
        <w:rPr>
          <w:rFonts w:ascii="Times New Roman" w:cs="Times New Roman" w:eastAsia="Times New Roman" w:hAnsi="Times New Roman"/>
          <w:sz w:val="22"/>
          <w:szCs w:val="22"/>
          <w:u w:val="single" w:color="auto"/>
          <w:color w:val="auto"/>
        </w:rPr>
        <w:t>Non-Petition</w:t>
      </w:r>
      <w:r>
        <w:rPr>
          <w:rFonts w:ascii="Times New Roman" w:cs="Times New Roman" w:eastAsia="Times New Roman" w:hAnsi="Times New Roman"/>
          <w:sz w:val="22"/>
          <w:szCs w:val="22"/>
          <w:color w:val="auto"/>
        </w:rPr>
        <w:t xml:space="preserve">. Notwithstanding any other provision of this Agreement, neither the Loan Agent, in its own capacity, nor any Class A-1L-A Lender may, prior to the date which is one year and one day (or, if longer, the applicable preference period and one day) after the payment in full of all Class A-1L-A Loans and the Debt, institute against, or join any other Person in instituting against, the Borrower any involuntary bankruptcy, winding up, reorganization, arrangement, insolvency, moratorium or liquidation proceedings, or other proceedings under federal or state bankruptcy or similar laws. Nothing in this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 xml:space="preserve"> shall preclude, or be deemed to stop, the Loan Agent or any Class A-1L-A Lender (i) from taking any action prior to the expiration of the aforementioned one year and one day (or longer) period in (A) any case or proceeding voluntarily filed or commenced by the Borrower or (B) any involuntary insolvency proceeding filed or commenced by a Person other than the Loan Agent or a Class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1" w:name="page312"/>
    <w:bookmarkEnd w:id="311"/>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A-1L-A Lender or any Affiliate of either, or (ii) from commencing against the Borrower or any of their properties any legal action which is not a bankruptcy, winding up, reorganization, arrangement, insolvency, moratorium or liquidation proceeding, subject to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 xml:space="preserve"> shall survive the termination of this Agreement.</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7.13. </w:t>
      </w:r>
      <w:r>
        <w:rPr>
          <w:rFonts w:ascii="Times New Roman" w:cs="Times New Roman" w:eastAsia="Times New Roman" w:hAnsi="Times New Roman"/>
          <w:sz w:val="22"/>
          <w:szCs w:val="22"/>
          <w:u w:val="single" w:color="auto"/>
          <w:color w:val="auto"/>
        </w:rPr>
        <w:t>Appointment of Collateral Trustee</w:t>
      </w:r>
      <w:r>
        <w:rPr>
          <w:rFonts w:ascii="Times New Roman" w:cs="Times New Roman" w:eastAsia="Times New Roman" w:hAnsi="Times New Roman"/>
          <w:sz w:val="22"/>
          <w:szCs w:val="22"/>
          <w:color w:val="auto"/>
        </w:rPr>
        <w:t xml:space="preserve">. The Class A-1L-A Lenders hereby appoint the Collateral Trustee to act exclusively as the agent for purposes of perfection of a security interest in the Assets to act as specified in the Indenture and the other Transaction Documents to which the Collateral Trustee is a party. The duties and obligations of the Collateral Trustee under this </w:t>
      </w:r>
      <w:r>
        <w:rPr>
          <w:rFonts w:ascii="Times New Roman" w:cs="Times New Roman" w:eastAsia="Times New Roman" w:hAnsi="Times New Roman"/>
          <w:sz w:val="22"/>
          <w:szCs w:val="22"/>
          <w:u w:val="single" w:color="auto"/>
          <w:color w:val="auto"/>
        </w:rPr>
        <w:t>Section 7.13</w:t>
      </w:r>
      <w:r>
        <w:rPr>
          <w:rFonts w:ascii="Times New Roman" w:cs="Times New Roman" w:eastAsia="Times New Roman" w:hAnsi="Times New Roman"/>
          <w:sz w:val="22"/>
          <w:szCs w:val="22"/>
          <w:color w:val="auto"/>
        </w:rPr>
        <w:t xml:space="preserve"> shall be as set forth in the Indenture.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7.14.  </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7.15. </w:t>
      </w:r>
      <w:r>
        <w:rPr>
          <w:rFonts w:ascii="Times New Roman" w:cs="Times New Roman" w:eastAsia="Times New Roman" w:hAnsi="Times New Roman"/>
          <w:sz w:val="22"/>
          <w:szCs w:val="22"/>
          <w:u w:val="single" w:color="auto"/>
          <w:color w:val="auto"/>
        </w:rPr>
        <w:t>Acknowledgment of Indenture Provisions</w:t>
      </w:r>
      <w:r>
        <w:rPr>
          <w:rFonts w:ascii="Times New Roman" w:cs="Times New Roman" w:eastAsia="Times New Roman" w:hAnsi="Times New Roman"/>
          <w:sz w:val="22"/>
          <w:szCs w:val="22"/>
          <w:color w:val="auto"/>
        </w:rPr>
        <w:t>. The Class A-1L-A Lenders hereby acknowledge and agree to the provisions of the Indenture expressly applicable to the Class A-1L-A Lenders.</w:t>
      </w:r>
    </w:p>
    <w:p>
      <w:pPr>
        <w:spacing w:after="0" w:line="158" w:lineRule="exact"/>
        <w:rPr>
          <w:sz w:val="20"/>
          <w:szCs w:val="20"/>
          <w:color w:val="auto"/>
        </w:rPr>
      </w:pPr>
    </w:p>
    <w:p>
      <w:pPr>
        <w:jc w:val="both"/>
        <w:ind w:right="20"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7.16. </w:t>
      </w:r>
      <w:r>
        <w:rPr>
          <w:rFonts w:ascii="Times New Roman" w:cs="Times New Roman" w:eastAsia="Times New Roman" w:hAnsi="Times New Roman"/>
          <w:sz w:val="22"/>
          <w:szCs w:val="22"/>
          <w:u w:val="single" w:color="auto"/>
          <w:color w:val="auto"/>
        </w:rPr>
        <w:t>USA Patriot Act Notice</w:t>
      </w:r>
      <w:r>
        <w:rPr>
          <w:rFonts w:ascii="Times New Roman" w:cs="Times New Roman" w:eastAsia="Times New Roman" w:hAnsi="Times New Roman"/>
          <w:sz w:val="22"/>
          <w:szCs w:val="22"/>
          <w:color w:val="auto"/>
        </w:rPr>
        <w:t>. The Class A-1L-A Lenders hereby notify the Borrower that pursuant to the requirements of the USA Patriot Act (Title III of Pub. L. 107-56 (signed into law October 26, 2001))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it is required to obtain, verify and record information that identifies the Borrower, which information includes the name and address of the Borrower and other information that will allow the Class A-1L-A Lenders to identify the Borrower in accordance with the Act.</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7.17.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This Agreement will automatically terminate upon the conversion of the entire Aggregate Outstanding Amount of the Class A-1L-A Loans into Class A-1 Notes in accordance with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intentionally left blank | 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2" w:name="page313"/>
    <w:bookmarkEnd w:id="312"/>
    <w:p>
      <w:pPr>
        <w:ind w:firstLine="1497"/>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day and year first above written.</w:t>
      </w:r>
    </w:p>
    <w:p>
      <w:pPr>
        <w:spacing w:after="0" w:line="18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b w:val="1"/>
          <w:bCs w:val="1"/>
          <w:color w:val="auto"/>
        </w:rPr>
        <w:t>PENNANTPARK CLO 11, LLC</w:t>
      </w:r>
      <w:r>
        <w:rPr>
          <w:rFonts w:ascii="Times New Roman" w:cs="Times New Roman" w:eastAsia="Times New Roman" w:hAnsi="Times New Roman"/>
          <w:sz w:val="22"/>
          <w:szCs w:val="22"/>
          <w:color w:val="auto"/>
        </w:rPr>
        <w:t>, as Borrower</w:t>
      </w:r>
    </w:p>
    <w:p>
      <w:pPr>
        <w:spacing w:after="0" w:line="200" w:lineRule="exact"/>
        <w:rPr>
          <w:sz w:val="20"/>
          <w:szCs w:val="20"/>
          <w:color w:val="auto"/>
        </w:rPr>
      </w:pPr>
    </w:p>
    <w:p>
      <w:pPr>
        <w:spacing w:after="0" w:line="2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By: PennantPark Investment Advisers, LLC, its</w:t>
      </w:r>
    </w:p>
    <w:p>
      <w:pPr>
        <w:spacing w:after="0" w:line="1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Designated Manager</w:t>
      </w:r>
    </w:p>
    <w:p>
      <w:pPr>
        <w:spacing w:after="0" w:line="200" w:lineRule="exact"/>
        <w:rPr>
          <w:sz w:val="20"/>
          <w:szCs w:val="20"/>
          <w:color w:val="auto"/>
        </w:rPr>
      </w:pPr>
    </w:p>
    <w:p>
      <w:pPr>
        <w:spacing w:after="0" w:line="25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By: /s/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22"/>
          <w:szCs w:val="22"/>
          <w:color w:val="auto"/>
        </w:rPr>
        <w:t>Name: Jeffrey S. Sion</w:t>
      </w:r>
    </w:p>
    <w:p>
      <w:pPr>
        <w:ind w:left="59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b w:val="1"/>
          <w:bCs w:val="1"/>
          <w:color w:val="auto"/>
        </w:rPr>
        <w:t>WESTERN ALLIANCE TRUST COMPANY,</w:t>
      </w:r>
    </w:p>
    <w:p>
      <w:pPr>
        <w:spacing w:after="0" w:line="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b w:val="1"/>
          <w:bCs w:val="1"/>
          <w:color w:val="auto"/>
        </w:rPr>
        <w:t>N.A.</w:t>
      </w:r>
      <w:r>
        <w:rPr>
          <w:rFonts w:ascii="Times New Roman" w:cs="Times New Roman" w:eastAsia="Times New Roman" w:hAnsi="Times New Roman"/>
          <w:sz w:val="22"/>
          <w:szCs w:val="22"/>
          <w:color w:val="auto"/>
        </w:rPr>
        <w:t>, as Collateral Trustee</w:t>
      </w:r>
    </w:p>
    <w:p>
      <w:pPr>
        <w:spacing w:after="0" w:line="200" w:lineRule="exact"/>
        <w:rPr>
          <w:sz w:val="20"/>
          <w:szCs w:val="20"/>
          <w:color w:val="auto"/>
        </w:rPr>
      </w:pPr>
    </w:p>
    <w:p>
      <w:pPr>
        <w:spacing w:after="0" w:line="25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By: /s/ Michael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22"/>
          <w:szCs w:val="22"/>
          <w:color w:val="auto"/>
        </w:rPr>
        <w:t>Name: Michael J. Baker</w:t>
      </w:r>
    </w:p>
    <w:p>
      <w:pPr>
        <w:ind w:left="59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Class A-1L-A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3" w:name="page314"/>
    <w:bookmarkEnd w:id="313"/>
    <w:p>
      <w:pPr>
        <w:spacing w:after="0" w:line="200" w:lineRule="exact"/>
        <w:rPr>
          <w:sz w:val="20"/>
          <w:szCs w:val="20"/>
          <w:color w:val="auto"/>
        </w:rPr>
      </w:pPr>
    </w:p>
    <w:p>
      <w:pPr>
        <w:spacing w:after="0" w:line="2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WESTERN ALLIANCE TRUST COMPANY,</w:t>
      </w:r>
    </w:p>
    <w:p>
      <w:pPr>
        <w:spacing w:after="0" w:line="3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N.A.</w:t>
      </w:r>
      <w:r>
        <w:rPr>
          <w:rFonts w:ascii="Times New Roman" w:cs="Times New Roman" w:eastAsia="Times New Roman" w:hAnsi="Times New Roman"/>
          <w:sz w:val="22"/>
          <w:szCs w:val="22"/>
          <w:color w:val="auto"/>
        </w:rPr>
        <w:t>, as Loan Agent</w:t>
      </w:r>
    </w:p>
    <w:p>
      <w:pPr>
        <w:spacing w:after="0" w:line="200" w:lineRule="exact"/>
        <w:rPr>
          <w:sz w:val="20"/>
          <w:szCs w:val="20"/>
          <w:color w:val="auto"/>
        </w:rPr>
      </w:pPr>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By: /s/ Michael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10795</wp:posOffset>
            </wp:positionV>
            <wp:extent cx="335153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22"/>
          <w:szCs w:val="22"/>
          <w:color w:val="auto"/>
        </w:rPr>
        <w:t>Name: Michael J. Baker</w:t>
      </w:r>
    </w:p>
    <w:p>
      <w:pPr>
        <w:ind w:left="48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Class A-1L-A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492125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4" w:name="page315"/>
    <w:bookmarkEnd w:id="314"/>
    <w:p>
      <w:pPr>
        <w:spacing w:after="0" w:line="181"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22"/>
          <w:szCs w:val="22"/>
          <w:b w:val="1"/>
          <w:bCs w:val="1"/>
          <w:color w:val="auto"/>
        </w:rPr>
        <w:t>APPLE BANK</w:t>
      </w:r>
      <w:r>
        <w:rPr>
          <w:rFonts w:ascii="Times New Roman" w:cs="Times New Roman" w:eastAsia="Times New Roman" w:hAnsi="Times New Roman"/>
          <w:sz w:val="22"/>
          <w:szCs w:val="22"/>
          <w:color w:val="auto"/>
        </w:rPr>
        <w:t>, as a Class A-1L-A Lender</w:t>
      </w:r>
    </w:p>
    <w:p>
      <w:pPr>
        <w:spacing w:after="0" w:line="200" w:lineRule="exact"/>
        <w:rPr>
          <w:sz w:val="20"/>
          <w:szCs w:val="20"/>
          <w:color w:val="auto"/>
        </w:rPr>
      </w:pPr>
    </w:p>
    <w:p>
      <w:pPr>
        <w:spacing w:after="0" w:line="28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By: /s/ Burt Feinberg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10795</wp:posOffset>
            </wp:positionV>
            <wp:extent cx="335153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22"/>
          <w:szCs w:val="22"/>
          <w:color w:val="auto"/>
        </w:rPr>
        <w:t>Name: Burt Feinberg</w:t>
      </w:r>
    </w:p>
    <w:p>
      <w:pPr>
        <w:ind w:left="486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Class A-1L-A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492125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CLASS A-1L-A LENDER INFORMATION</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520" w:type="dxa"/>
            <w:vAlign w:val="bottom"/>
            <w:tcBorders>
              <w:top w:val="single" w:sz="8" w:color="auto"/>
              <w:left w:val="single" w:sz="8" w:color="auto"/>
            </w:tcBorders>
          </w:tcPr>
          <w:p>
            <w:pPr>
              <w:spacing w:after="0"/>
              <w:rPr>
                <w:sz w:val="23"/>
                <w:szCs w:val="23"/>
                <w:color w:val="auto"/>
              </w:rPr>
            </w:pPr>
          </w:p>
        </w:tc>
        <w:tc>
          <w:tcPr>
            <w:tcW w:w="3220" w:type="dxa"/>
            <w:vAlign w:val="bottom"/>
            <w:tcBorders>
              <w:top w:val="single" w:sz="8" w:color="auto"/>
              <w:right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22"/>
                <w:szCs w:val="22"/>
                <w:color w:val="auto"/>
                <w:w w:val="98"/>
              </w:rPr>
              <w:t>Name of Class A-1L-A Lender</w:t>
            </w:r>
          </w:p>
        </w:tc>
        <w:tc>
          <w:tcPr>
            <w:tcW w:w="2660" w:type="dxa"/>
            <w:vAlign w:val="bottom"/>
            <w:tcBorders>
              <w:top w:val="single" w:sz="8" w:color="auto"/>
              <w:right w:val="single" w:sz="8" w:color="auto"/>
            </w:tcBorders>
            <w:gridSpan w:val="3"/>
          </w:tcPr>
          <w:p>
            <w:pPr>
              <w:ind w:left="620"/>
              <w:spacing w:after="0"/>
              <w:rPr>
                <w:sz w:val="20"/>
                <w:szCs w:val="20"/>
                <w:color w:val="auto"/>
              </w:rPr>
            </w:pPr>
            <w:r>
              <w:rPr>
                <w:rFonts w:ascii="Times New Roman" w:cs="Times New Roman" w:eastAsia="Times New Roman" w:hAnsi="Times New Roman"/>
                <w:sz w:val="22"/>
                <w:szCs w:val="22"/>
                <w:color w:val="auto"/>
              </w:rPr>
              <w:t>Funded Amount</w:t>
            </w:r>
          </w:p>
        </w:tc>
        <w:tc>
          <w:tcPr>
            <w:tcW w:w="1460" w:type="dxa"/>
            <w:vAlign w:val="bottom"/>
            <w:tcBorders>
              <w:top w:val="single" w:sz="8" w:color="auto"/>
            </w:tcBorders>
          </w:tcPr>
          <w:p>
            <w:pPr>
              <w:spacing w:after="0"/>
              <w:rPr>
                <w:sz w:val="23"/>
                <w:szCs w:val="23"/>
                <w:color w:val="auto"/>
              </w:rPr>
            </w:pPr>
          </w:p>
        </w:tc>
        <w:tc>
          <w:tcPr>
            <w:tcW w:w="3380" w:type="dxa"/>
            <w:vAlign w:val="bottom"/>
            <w:tcBorders>
              <w:top w:val="single" w:sz="8" w:color="auto"/>
              <w:right w:val="single" w:sz="8" w:color="auto"/>
            </w:tcBorders>
            <w:gridSpan w:val="2"/>
          </w:tcPr>
          <w:p>
            <w:pPr>
              <w:jc w:val="center"/>
              <w:ind w:right="1480"/>
              <w:spacing w:after="0"/>
              <w:rPr>
                <w:sz w:val="20"/>
                <w:szCs w:val="20"/>
                <w:color w:val="auto"/>
              </w:rPr>
            </w:pPr>
            <w:r>
              <w:rPr>
                <w:rFonts w:ascii="Times New Roman" w:cs="Times New Roman" w:eastAsia="Times New Roman" w:hAnsi="Times New Roman"/>
                <w:sz w:val="22"/>
                <w:szCs w:val="22"/>
                <w:color w:val="auto"/>
                <w:w w:val="97"/>
              </w:rPr>
              <w:t>Addresses for Notices</w:t>
            </w:r>
          </w:p>
        </w:tc>
        <w:tc>
          <w:tcPr>
            <w:tcW w:w="0" w:type="dxa"/>
            <w:vAlign w:val="bottom"/>
          </w:tcPr>
          <w:p>
            <w:pPr>
              <w:spacing w:after="0"/>
              <w:rPr>
                <w:sz w:val="1"/>
                <w:szCs w:val="1"/>
                <w:color w:val="auto"/>
              </w:rPr>
            </w:pPr>
          </w:p>
        </w:tc>
      </w:tr>
      <w:tr>
        <w:trPr>
          <w:trHeight w:val="125"/>
        </w:trPr>
        <w:tc>
          <w:tcPr>
            <w:tcW w:w="520" w:type="dxa"/>
            <w:vAlign w:val="bottom"/>
            <w:tcBorders>
              <w:left w:val="single" w:sz="8" w:color="auto"/>
              <w:bottom w:val="single" w:sz="8" w:color="auto"/>
            </w:tcBorders>
          </w:tcPr>
          <w:p>
            <w:pPr>
              <w:spacing w:after="0"/>
              <w:rPr>
                <w:sz w:val="10"/>
                <w:szCs w:val="10"/>
                <w:color w:val="auto"/>
              </w:rPr>
            </w:pPr>
          </w:p>
        </w:tc>
        <w:tc>
          <w:tcPr>
            <w:tcW w:w="2700" w:type="dxa"/>
            <w:vAlign w:val="bottom"/>
            <w:tcBorders>
              <w:top w:val="single" w:sz="8" w:color="auto"/>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0" w:type="dxa"/>
            <w:vAlign w:val="bottom"/>
            <w:tcBorders>
              <w:top w:val="single" w:sz="8" w:color="auto"/>
              <w:bottom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900" w:type="dxa"/>
            <w:vAlign w:val="bottom"/>
            <w:tcBorders>
              <w:top w:val="single" w:sz="8" w:color="auto"/>
              <w:bottom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20" w:type="dxa"/>
            <w:vAlign w:val="bottom"/>
            <w:tcBorders>
              <w:left w:val="single" w:sz="8" w:color="auto"/>
            </w:tcBorders>
          </w:tcPr>
          <w:p>
            <w:pPr>
              <w:spacing w:after="0"/>
              <w:rPr>
                <w:sz w:val="14"/>
                <w:szCs w:val="14"/>
                <w:color w:val="auto"/>
              </w:rPr>
            </w:pPr>
          </w:p>
        </w:tc>
        <w:tc>
          <w:tcPr>
            <w:tcW w:w="3220" w:type="dxa"/>
            <w:vAlign w:val="bottom"/>
            <w:tcBorders>
              <w:right w:val="single" w:sz="8" w:color="auto"/>
            </w:tcBorders>
            <w:gridSpan w:val="2"/>
            <w:vMerge w:val="restart"/>
          </w:tcPr>
          <w:p>
            <w:pPr>
              <w:jc w:val="center"/>
              <w:ind w:right="500"/>
              <w:spacing w:after="0"/>
              <w:rPr>
                <w:sz w:val="20"/>
                <w:szCs w:val="20"/>
                <w:color w:val="auto"/>
              </w:rPr>
            </w:pPr>
            <w:r>
              <w:rPr>
                <w:rFonts w:ascii="Times New Roman" w:cs="Times New Roman" w:eastAsia="Times New Roman" w:hAnsi="Times New Roman"/>
                <w:sz w:val="22"/>
                <w:szCs w:val="22"/>
                <w:color w:val="auto"/>
                <w:w w:val="98"/>
              </w:rPr>
              <w:t>Apple Bank</w:t>
            </w:r>
          </w:p>
        </w:tc>
        <w:tc>
          <w:tcPr>
            <w:tcW w:w="2660" w:type="dxa"/>
            <w:vAlign w:val="bottom"/>
            <w:tcBorders>
              <w:right w:val="single" w:sz="8" w:color="auto"/>
            </w:tcBorders>
            <w:gridSpan w:val="3"/>
            <w:vMerge w:val="restart"/>
          </w:tcPr>
          <w:p>
            <w:pPr>
              <w:ind w:left="580"/>
              <w:spacing w:after="0"/>
              <w:rPr>
                <w:sz w:val="20"/>
                <w:szCs w:val="20"/>
                <w:color w:val="auto"/>
              </w:rPr>
            </w:pPr>
            <w:r>
              <w:rPr>
                <w:rFonts w:ascii="Times New Roman" w:cs="Times New Roman" w:eastAsia="Times New Roman" w:hAnsi="Times New Roman"/>
                <w:sz w:val="22"/>
                <w:szCs w:val="22"/>
                <w:color w:val="auto"/>
              </w:rPr>
              <w:t>U.S.$10,000,000</w:t>
            </w:r>
          </w:p>
        </w:tc>
        <w:tc>
          <w:tcPr>
            <w:tcW w:w="4840" w:type="dxa"/>
            <w:vAlign w:val="bottom"/>
            <w:tcBorders>
              <w:right w:val="single" w:sz="8" w:color="auto"/>
            </w:tcBorders>
            <w:gridSpan w:val="3"/>
          </w:tcPr>
          <w:p>
            <w:pPr>
              <w:jc w:val="center"/>
              <w:ind w:right="20"/>
              <w:spacing w:after="0" w:line="173" w:lineRule="exact"/>
              <w:rPr>
                <w:sz w:val="20"/>
                <w:szCs w:val="20"/>
                <w:color w:val="auto"/>
              </w:rPr>
            </w:pPr>
            <w:r>
              <w:rPr>
                <w:rFonts w:ascii="Times New Roman" w:cs="Times New Roman" w:eastAsia="Times New Roman" w:hAnsi="Times New Roman"/>
                <w:sz w:val="15"/>
                <w:szCs w:val="15"/>
                <w:color w:val="auto"/>
              </w:rPr>
              <w:t>122 East 42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5"/>
                <w:szCs w:val="15"/>
                <w:color w:val="auto"/>
              </w:rPr>
              <w:t xml:space="preserve"> Street 9</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Floor</w:t>
            </w:r>
          </w:p>
        </w:tc>
        <w:tc>
          <w:tcPr>
            <w:tcW w:w="0" w:type="dxa"/>
            <w:vAlign w:val="bottom"/>
          </w:tcPr>
          <w:p>
            <w:pPr>
              <w:spacing w:after="0"/>
              <w:rPr>
                <w:sz w:val="1"/>
                <w:szCs w:val="1"/>
                <w:color w:val="auto"/>
              </w:rPr>
            </w:pPr>
          </w:p>
        </w:tc>
      </w:tr>
      <w:tr>
        <w:trPr>
          <w:trHeight w:val="161"/>
        </w:trPr>
        <w:tc>
          <w:tcPr>
            <w:tcW w:w="520" w:type="dxa"/>
            <w:vAlign w:val="bottom"/>
            <w:tcBorders>
              <w:left w:val="single" w:sz="8" w:color="auto"/>
            </w:tcBorders>
          </w:tcPr>
          <w:p>
            <w:pPr>
              <w:spacing w:after="0"/>
              <w:rPr>
                <w:sz w:val="13"/>
                <w:szCs w:val="13"/>
                <w:color w:val="auto"/>
              </w:rPr>
            </w:pPr>
          </w:p>
        </w:tc>
        <w:tc>
          <w:tcPr>
            <w:tcW w:w="3220" w:type="dxa"/>
            <w:vAlign w:val="bottom"/>
            <w:tcBorders>
              <w:right w:val="single" w:sz="8" w:color="auto"/>
            </w:tcBorders>
            <w:gridSpan w:val="2"/>
            <w:vMerge w:val="continue"/>
          </w:tcPr>
          <w:p>
            <w:pPr>
              <w:spacing w:after="0"/>
              <w:rPr>
                <w:sz w:val="13"/>
                <w:szCs w:val="13"/>
                <w:color w:val="auto"/>
              </w:rPr>
            </w:pPr>
          </w:p>
        </w:tc>
        <w:tc>
          <w:tcPr>
            <w:tcW w:w="2660" w:type="dxa"/>
            <w:vAlign w:val="bottom"/>
            <w:tcBorders>
              <w:right w:val="single" w:sz="8" w:color="auto"/>
            </w:tcBorders>
            <w:gridSpan w:val="3"/>
            <w:vMerge w:val="continue"/>
          </w:tcPr>
          <w:p>
            <w:pPr>
              <w:spacing w:after="0"/>
              <w:rPr>
                <w:sz w:val="13"/>
                <w:szCs w:val="13"/>
                <w:color w:val="auto"/>
              </w:rPr>
            </w:pPr>
          </w:p>
        </w:tc>
        <w:tc>
          <w:tcPr>
            <w:tcW w:w="484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2"/>
                <w:szCs w:val="22"/>
                <w:color w:val="auto"/>
                <w:w w:val="97"/>
              </w:rPr>
              <w:t>New York, New York 10168</w:t>
            </w:r>
          </w:p>
        </w:tc>
        <w:tc>
          <w:tcPr>
            <w:tcW w:w="0" w:type="dxa"/>
            <w:vAlign w:val="bottom"/>
          </w:tcPr>
          <w:p>
            <w:pPr>
              <w:spacing w:after="0"/>
              <w:rPr>
                <w:sz w:val="1"/>
                <w:szCs w:val="1"/>
                <w:color w:val="auto"/>
              </w:rPr>
            </w:pPr>
          </w:p>
        </w:tc>
      </w:tr>
      <w:tr>
        <w:trPr>
          <w:trHeight w:val="109"/>
        </w:trPr>
        <w:tc>
          <w:tcPr>
            <w:tcW w:w="520" w:type="dxa"/>
            <w:vAlign w:val="bottom"/>
            <w:tcBorders>
              <w:left w:val="single" w:sz="8" w:color="auto"/>
              <w:bottom w:val="single" w:sz="8" w:color="auto"/>
            </w:tcBorders>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640" w:type="dxa"/>
            <w:vAlign w:val="bottom"/>
            <w:tcBorders>
              <w:bottom w:val="single" w:sz="8" w:color="auto"/>
              <w:right w:val="single" w:sz="8" w:color="auto"/>
            </w:tcBorders>
          </w:tcPr>
          <w:p>
            <w:pPr>
              <w:spacing w:after="0"/>
              <w:rPr>
                <w:sz w:val="9"/>
                <w:szCs w:val="9"/>
                <w:color w:val="auto"/>
              </w:rPr>
            </w:pPr>
          </w:p>
        </w:tc>
        <w:tc>
          <w:tcPr>
            <w:tcW w:w="4840" w:type="dxa"/>
            <w:vAlign w:val="bottom"/>
            <w:tcBorders>
              <w:bottom w:val="single" w:sz="8" w:color="auto"/>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4225" cy="39027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4225" cy="390271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p>
      <w:pPr>
        <w:spacing w:after="0" w:line="279"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22"/>
          <w:szCs w:val="22"/>
          <w:b w:val="1"/>
          <w:bCs w:val="1"/>
          <w:color w:val="auto"/>
        </w:rPr>
        <w:t>Notice Information</w:t>
      </w:r>
    </w:p>
    <w:p>
      <w:pPr>
        <w:spacing w:after="0" w:line="44"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22"/>
          <w:szCs w:val="22"/>
          <w:b w:val="1"/>
          <w:bCs w:val="1"/>
          <w:color w:val="auto"/>
        </w:rPr>
        <w:t>Payment Information</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010101"/>
        </w:rPr>
        <w:t>Apple Bank</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Notice Information</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Apple Bank, as Lender</w:t>
      </w:r>
    </w:p>
    <w:p>
      <w:pPr>
        <w:ind w:left="120"/>
        <w:spacing w:after="0" w:line="201" w:lineRule="auto"/>
        <w:rPr>
          <w:sz w:val="20"/>
          <w:szCs w:val="20"/>
          <w:color w:val="auto"/>
        </w:rPr>
      </w:pPr>
      <w:r>
        <w:rPr>
          <w:rFonts w:ascii="Times New Roman" w:cs="Times New Roman" w:eastAsia="Times New Roman" w:hAnsi="Times New Roman"/>
          <w:sz w:val="22"/>
          <w:szCs w:val="22"/>
          <w:color w:val="auto"/>
        </w:rPr>
        <w:t>Loan Administration</w:t>
      </w:r>
    </w:p>
    <w:p>
      <w:pPr>
        <w:ind w:left="120"/>
        <w:spacing w:after="0" w:line="204" w:lineRule="auto"/>
        <w:rPr>
          <w:sz w:val="20"/>
          <w:szCs w:val="20"/>
          <w:color w:val="auto"/>
        </w:rPr>
      </w:pPr>
      <w:r>
        <w:rPr>
          <w:rFonts w:ascii="Times New Roman" w:cs="Times New Roman" w:eastAsia="Times New Roman" w:hAnsi="Times New Roman"/>
          <w:sz w:val="22"/>
          <w:szCs w:val="22"/>
          <w:color w:val="auto"/>
        </w:rPr>
        <w:t>122 East 42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Street 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120"/>
        <w:spacing w:after="0" w:line="230" w:lineRule="auto"/>
        <w:rPr>
          <w:sz w:val="20"/>
          <w:szCs w:val="20"/>
          <w:color w:val="auto"/>
        </w:rPr>
      </w:pPr>
      <w:r>
        <w:rPr>
          <w:rFonts w:ascii="Times New Roman" w:cs="Times New Roman" w:eastAsia="Times New Roman" w:hAnsi="Times New Roman"/>
          <w:sz w:val="22"/>
          <w:szCs w:val="22"/>
          <w:color w:val="auto"/>
        </w:rPr>
        <w:t>New York, New York 10168</w:t>
      </w:r>
    </w:p>
    <w:p>
      <w:pPr>
        <w:ind w:left="120"/>
        <w:spacing w:after="0" w:line="231" w:lineRule="auto"/>
        <w:rPr>
          <w:sz w:val="20"/>
          <w:szCs w:val="20"/>
          <w:color w:val="auto"/>
        </w:rPr>
      </w:pPr>
      <w:r>
        <w:rPr>
          <w:rFonts w:ascii="Times New Roman" w:cs="Times New Roman" w:eastAsia="Times New Roman" w:hAnsi="Times New Roman"/>
          <w:sz w:val="22"/>
          <w:szCs w:val="22"/>
          <w:color w:val="auto"/>
        </w:rPr>
        <w:t>Attention: Burt Feinberg</w:t>
      </w:r>
    </w:p>
    <w:p>
      <w:pPr>
        <w:ind w:left="120"/>
        <w:spacing w:after="0" w:line="231" w:lineRule="auto"/>
        <w:rPr>
          <w:sz w:val="20"/>
          <w:szCs w:val="20"/>
          <w:color w:val="auto"/>
        </w:rPr>
      </w:pPr>
      <w:r>
        <w:rPr>
          <w:rFonts w:ascii="Times New Roman" w:cs="Times New Roman" w:eastAsia="Times New Roman" w:hAnsi="Times New Roman"/>
          <w:sz w:val="22"/>
          <w:szCs w:val="22"/>
          <w:color w:val="auto"/>
        </w:rPr>
        <w:t>Email: bfeinberg@applebank.com</w:t>
      </w:r>
    </w:p>
    <w:p>
      <w:pPr>
        <w:ind w:left="520"/>
        <w:spacing w:after="0" w:line="230" w:lineRule="auto"/>
        <w:rPr>
          <w:sz w:val="20"/>
          <w:szCs w:val="20"/>
          <w:color w:val="auto"/>
        </w:rPr>
      </w:pPr>
      <w:r>
        <w:rPr>
          <w:rFonts w:ascii="Times New Roman" w:cs="Times New Roman" w:eastAsia="Times New Roman" w:hAnsi="Times New Roman"/>
          <w:sz w:val="22"/>
          <w:szCs w:val="22"/>
          <w:color w:val="auto"/>
        </w:rPr>
        <w:t>vlubczenko@applebank.com</w:t>
      </w:r>
    </w:p>
    <w:p>
      <w:pPr>
        <w:ind w:left="520"/>
        <w:spacing w:after="0" w:line="231" w:lineRule="auto"/>
        <w:rPr>
          <w:sz w:val="20"/>
          <w:szCs w:val="20"/>
          <w:color w:val="auto"/>
        </w:rPr>
      </w:pPr>
      <w:r>
        <w:rPr>
          <w:rFonts w:ascii="Times New Roman" w:cs="Times New Roman" w:eastAsia="Times New Roman" w:hAnsi="Times New Roman"/>
          <w:sz w:val="22"/>
          <w:szCs w:val="22"/>
          <w:color w:val="auto"/>
        </w:rPr>
        <w:t>pescoto@applebank.com</w:t>
      </w:r>
    </w:p>
    <w:p>
      <w:pPr>
        <w:ind w:left="560" w:right="1400" w:hanging="53"/>
        <w:spacing w:after="0" w:line="258" w:lineRule="auto"/>
        <w:rPr>
          <w:sz w:val="20"/>
          <w:szCs w:val="20"/>
          <w:color w:val="auto"/>
        </w:rPr>
      </w:pPr>
      <w:r>
        <w:rPr>
          <w:rFonts w:ascii="Times New Roman" w:cs="Times New Roman" w:eastAsia="Times New Roman" w:hAnsi="Times New Roman"/>
          <w:sz w:val="21"/>
          <w:szCs w:val="21"/>
          <w:color w:val="auto"/>
        </w:rPr>
        <w:t>Cbk- loanadministration@applebank.com notices@applebank.com</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Payment Instructions</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Bank: Apple Bank</w:t>
      </w:r>
    </w:p>
    <w:p>
      <w:pPr>
        <w:ind w:left="120"/>
        <w:spacing w:after="0" w:line="230" w:lineRule="auto"/>
        <w:rPr>
          <w:sz w:val="20"/>
          <w:szCs w:val="20"/>
          <w:color w:val="auto"/>
        </w:rPr>
      </w:pPr>
      <w:r>
        <w:rPr>
          <w:rFonts w:ascii="Times New Roman" w:cs="Times New Roman" w:eastAsia="Times New Roman" w:hAnsi="Times New Roman"/>
          <w:sz w:val="22"/>
          <w:szCs w:val="22"/>
          <w:color w:val="auto"/>
        </w:rPr>
        <w:t>ABA #: 226070584</w:t>
      </w:r>
    </w:p>
    <w:p>
      <w:pPr>
        <w:ind w:left="120"/>
        <w:spacing w:after="0" w:line="231" w:lineRule="auto"/>
        <w:rPr>
          <w:sz w:val="20"/>
          <w:szCs w:val="20"/>
          <w:color w:val="auto"/>
        </w:rPr>
      </w:pPr>
      <w:r>
        <w:rPr>
          <w:rFonts w:ascii="Times New Roman" w:cs="Times New Roman" w:eastAsia="Times New Roman" w:hAnsi="Times New Roman"/>
          <w:sz w:val="22"/>
          <w:szCs w:val="22"/>
          <w:color w:val="auto"/>
        </w:rPr>
        <w:t>Swift: APPAUS33</w:t>
      </w:r>
    </w:p>
    <w:p>
      <w:pPr>
        <w:ind w:left="120"/>
        <w:spacing w:after="0" w:line="230" w:lineRule="auto"/>
        <w:rPr>
          <w:sz w:val="20"/>
          <w:szCs w:val="20"/>
          <w:color w:val="auto"/>
        </w:rPr>
      </w:pPr>
      <w:r>
        <w:rPr>
          <w:rFonts w:ascii="Times New Roman" w:cs="Times New Roman" w:eastAsia="Times New Roman" w:hAnsi="Times New Roman"/>
          <w:sz w:val="22"/>
          <w:szCs w:val="22"/>
          <w:color w:val="auto"/>
        </w:rPr>
        <w:t>Attn: Loan Servicing</w:t>
      </w:r>
    </w:p>
    <w:p>
      <w:pPr>
        <w:ind w:left="120"/>
        <w:spacing w:after="0" w:line="231" w:lineRule="auto"/>
        <w:rPr>
          <w:sz w:val="20"/>
          <w:szCs w:val="20"/>
          <w:color w:val="auto"/>
        </w:rPr>
      </w:pPr>
      <w:r>
        <w:rPr>
          <w:rFonts w:ascii="Times New Roman" w:cs="Times New Roman" w:eastAsia="Times New Roman" w:hAnsi="Times New Roman"/>
          <w:sz w:val="22"/>
          <w:szCs w:val="22"/>
          <w:color w:val="auto"/>
        </w:rPr>
        <w:t>Account No.: 238098237</w:t>
      </w:r>
    </w:p>
    <w:p>
      <w:pPr>
        <w:ind w:left="120"/>
        <w:spacing w:after="0"/>
        <w:rPr>
          <w:sz w:val="20"/>
          <w:szCs w:val="20"/>
          <w:color w:val="auto"/>
        </w:rPr>
      </w:pPr>
      <w:r>
        <w:rPr>
          <w:rFonts w:ascii="Times New Roman" w:cs="Times New Roman" w:eastAsia="Times New Roman" w:hAnsi="Times New Roman"/>
          <w:sz w:val="21"/>
          <w:szCs w:val="21"/>
          <w:color w:val="auto"/>
        </w:rPr>
        <w:t>Account Name: UNDISTRIBUTED RECEIVABLE</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Ref: #412 PennantPark CLO 11,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82"/>
        </w:trPr>
        <w:tc>
          <w:tcPr>
            <w:tcW w:w="23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Initial Principal</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LoanX ID</w:t>
            </w:r>
          </w:p>
        </w:tc>
        <w:tc>
          <w:tcPr>
            <w:tcW w:w="0" w:type="dxa"/>
            <w:vAlign w:val="bottom"/>
          </w:tcPr>
          <w:p>
            <w:pPr>
              <w:spacing w:after="0"/>
              <w:rPr>
                <w:sz w:val="1"/>
                <w:szCs w:val="1"/>
                <w:color w:val="auto"/>
              </w:rPr>
            </w:pPr>
          </w:p>
        </w:tc>
      </w:tr>
      <w:tr>
        <w:trPr>
          <w:trHeight w:val="286"/>
        </w:trPr>
        <w:tc>
          <w:tcPr>
            <w:tcW w:w="2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(U.S.$)</w:t>
            </w:r>
          </w:p>
        </w:tc>
        <w:tc>
          <w:tcPr>
            <w:tcW w:w="2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320" w:type="dxa"/>
            <w:vAlign w:val="bottom"/>
            <w:tcBorders>
              <w:left w:val="single" w:sz="8" w:color="auto"/>
              <w:bottom w:val="single" w:sz="8" w:color="auto"/>
              <w:right w:val="single" w:sz="8" w:color="auto"/>
            </w:tcBorders>
          </w:tcPr>
          <w:p>
            <w:pPr>
              <w:spacing w:after="0"/>
              <w:rPr>
                <w:sz w:val="17"/>
                <w:szCs w:val="17"/>
                <w:color w:val="auto"/>
              </w:rPr>
            </w:pPr>
          </w:p>
        </w:tc>
        <w:tc>
          <w:tcPr>
            <w:tcW w:w="26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U.S.$10,000,000</w:t>
            </w:r>
          </w:p>
        </w:tc>
        <w:tc>
          <w:tcPr>
            <w:tcW w:w="2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4"/>
              </w:rPr>
              <w:t>N/A</w:t>
            </w:r>
          </w:p>
        </w:tc>
        <w:tc>
          <w:tcPr>
            <w:tcW w:w="0" w:type="dxa"/>
            <w:vAlign w:val="bottom"/>
          </w:tcPr>
          <w:p>
            <w:pPr>
              <w:spacing w:after="0" w:line="20" w:lineRule="exact"/>
              <w:rPr>
                <w:sz w:val="1"/>
                <w:szCs w:val="1"/>
                <w:color w:val="auto"/>
              </w:rPr>
            </w:pPr>
          </w:p>
        </w:tc>
      </w:tr>
      <w:tr>
        <w:trPr>
          <w:trHeight w:val="256"/>
        </w:trPr>
        <w:tc>
          <w:tcPr>
            <w:tcW w:w="2320" w:type="dxa"/>
            <w:vAlign w:val="bottom"/>
            <w:tcBorders>
              <w:left w:val="single" w:sz="8" w:color="auto"/>
              <w:right w:val="single" w:sz="8" w:color="auto"/>
            </w:tcBorders>
            <w:vMerge w:val="continue"/>
          </w:tcPr>
          <w:p>
            <w:pPr>
              <w:spacing w:after="0"/>
              <w:rPr>
                <w:sz w:val="22"/>
                <w:szCs w:val="22"/>
                <w:color w:val="auto"/>
              </w:rPr>
            </w:pPr>
          </w:p>
        </w:tc>
        <w:tc>
          <w:tcPr>
            <w:tcW w:w="266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077"/>
        </w:trPr>
        <w:tc>
          <w:tcPr>
            <w:tcW w:w="23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540" w:space="720"/>
            <w:col w:w="4980"/>
          </w:cols>
          <w:pgMar w:left="320" w:top="1404" w:right="339" w:bottom="1440" w:gutter="0" w:footer="0" w:header="0"/>
          <w:type w:val="continuous"/>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Sch.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316" w:name="page317"/>
    <w:bookmarkEnd w:id="316"/>
    <w:p>
      <w:pPr>
        <w:jc w:val="right"/>
        <w:spacing w:after="0"/>
        <w:rPr>
          <w:sz w:val="20"/>
          <w:szCs w:val="20"/>
          <w:color w:val="auto"/>
        </w:rPr>
      </w:pPr>
      <w:r>
        <w:rPr>
          <w:rFonts w:ascii="Times New Roman" w:cs="Times New Roman" w:eastAsia="Times New Roman" w:hAnsi="Times New Roman"/>
          <w:sz w:val="22"/>
          <w:szCs w:val="22"/>
          <w:b w:val="1"/>
          <w:bCs w:val="1"/>
          <w:color w:val="auto"/>
        </w:rPr>
        <w:t>SCHEDULE 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LOAN AGENT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Loan Agent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WESTERN ALLIANCE TRUST COMPANY, 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Account for Funding of Class A-1L-A Loans, as directed by the Loan Agent</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To fund at closing</w:t>
      </w:r>
      <w:r>
        <w:rPr>
          <w:rFonts w:ascii="Times New Roman" w:cs="Times New Roman" w:eastAsia="Times New Roman" w:hAnsi="Times New Roman"/>
          <w:sz w:val="22"/>
          <w:szCs w:val="22"/>
          <w:b w:val="1"/>
          <w:bCs w:val="1"/>
          <w:color w:val="auto"/>
        </w:rPr>
        <w:t xml:space="preserve">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Name: Western Alliance Trust Company, N.A.</w:t>
      </w:r>
    </w:p>
    <w:p>
      <w:pPr>
        <w:spacing w:after="0" w:line="230" w:lineRule="auto"/>
        <w:rPr>
          <w:sz w:val="20"/>
          <w:szCs w:val="20"/>
          <w:color w:val="auto"/>
        </w:rPr>
      </w:pPr>
      <w:r>
        <w:rPr>
          <w:rFonts w:ascii="Times New Roman" w:cs="Times New Roman" w:eastAsia="Times New Roman" w:hAnsi="Times New Roman"/>
          <w:sz w:val="22"/>
          <w:szCs w:val="22"/>
          <w:color w:val="auto"/>
        </w:rPr>
        <w:t>ABA #: 122105980</w:t>
      </w:r>
    </w:p>
    <w:p>
      <w:pPr>
        <w:spacing w:after="0" w:line="231" w:lineRule="auto"/>
        <w:rPr>
          <w:sz w:val="20"/>
          <w:szCs w:val="20"/>
          <w:color w:val="auto"/>
        </w:rPr>
      </w:pPr>
      <w:r>
        <w:rPr>
          <w:rFonts w:ascii="Times New Roman" w:cs="Times New Roman" w:eastAsia="Times New Roman" w:hAnsi="Times New Roman"/>
          <w:sz w:val="22"/>
          <w:szCs w:val="22"/>
          <w:color w:val="auto"/>
        </w:rPr>
        <w:t>Acct. Name: WATC Clearing</w:t>
      </w:r>
    </w:p>
    <w:p>
      <w:pPr>
        <w:spacing w:after="0" w:line="230" w:lineRule="auto"/>
        <w:rPr>
          <w:sz w:val="20"/>
          <w:szCs w:val="20"/>
          <w:color w:val="auto"/>
        </w:rPr>
      </w:pPr>
      <w:r>
        <w:rPr>
          <w:rFonts w:ascii="Times New Roman" w:cs="Times New Roman" w:eastAsia="Times New Roman" w:hAnsi="Times New Roman"/>
          <w:sz w:val="22"/>
          <w:szCs w:val="22"/>
          <w:color w:val="auto"/>
        </w:rPr>
        <w:t>Acct. #: 9070000001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 PennantPark CLO 11, LLC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Principal Collection Account No.: 10108802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ASSIGNMENT AND ACCEPTANCE</w:t>
      </w:r>
    </w:p>
    <w:p>
      <w:pPr>
        <w:spacing w:after="0" w:line="182"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Reference is made to the Class A-1L-A Credit Agreement dated as of February 20, 2025 (as modified and supplemented and in effect from time to time, the “</w:t>
      </w:r>
      <w:r>
        <w:rPr>
          <w:rFonts w:ascii="Times New Roman" w:cs="Times New Roman" w:eastAsia="Times New Roman" w:hAnsi="Times New Roman"/>
          <w:sz w:val="22"/>
          <w:szCs w:val="22"/>
          <w:u w:val="single" w:color="auto"/>
          <w:color w:val="auto"/>
        </w:rPr>
        <w:t>Class A-1L-A Credit Agreement</w:t>
      </w:r>
      <w:r>
        <w:rPr>
          <w:rFonts w:ascii="Times New Roman" w:cs="Times New Roman" w:eastAsia="Times New Roman" w:hAnsi="Times New Roman"/>
          <w:sz w:val="22"/>
          <w:szCs w:val="22"/>
          <w:color w:val="auto"/>
        </w:rPr>
        <w:t>”) among PennantPark CLO 11, LLC, a Delaware limited liability company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Class A-1L-A Lenders party thereto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Western Alliance Trust Company, N.A., as Loan Agent (the “</w:t>
      </w:r>
      <w:r>
        <w:rPr>
          <w:rFonts w:ascii="Times New Roman" w:cs="Times New Roman" w:eastAsia="Times New Roman" w:hAnsi="Times New Roman"/>
          <w:sz w:val="22"/>
          <w:szCs w:val="22"/>
          <w:u w:val="single" w:color="auto"/>
          <w:color w:val="auto"/>
        </w:rPr>
        <w:t>Loan Agent</w:t>
      </w:r>
      <w:r>
        <w:rPr>
          <w:rFonts w:ascii="Times New Roman" w:cs="Times New Roman" w:eastAsia="Times New Roman" w:hAnsi="Times New Roman"/>
          <w:sz w:val="22"/>
          <w:szCs w:val="22"/>
          <w:color w:val="auto"/>
        </w:rPr>
        <w:t>”), relating to the Class A-1L-A Loan made thereunder and secured under the Indenture and Security Agreement, dated as of February 20, 2025 (as modified and supplemented and in effect from time to time,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entered into by the Borrower and Western Alliance Trust Company, N.A., as collateral trustee (together with any successor under the Indenture, the “</w:t>
      </w:r>
      <w:r>
        <w:rPr>
          <w:rFonts w:ascii="Times New Roman" w:cs="Times New Roman" w:eastAsia="Times New Roman" w:hAnsi="Times New Roman"/>
          <w:sz w:val="22"/>
          <w:szCs w:val="22"/>
          <w:u w:val="single" w:color="auto"/>
          <w:color w:val="auto"/>
        </w:rPr>
        <w:t>Collateral Trustee</w:t>
      </w:r>
      <w:r>
        <w:rPr>
          <w:rFonts w:ascii="Times New Roman" w:cs="Times New Roman" w:eastAsia="Times New Roman" w:hAnsi="Times New Roman"/>
          <w:sz w:val="22"/>
          <w:szCs w:val="22"/>
          <w:color w:val="auto"/>
        </w:rPr>
        <w:t>”). Terms used but not defined herein have the respective meanings given to such terms in (or incorporated by reference in) the Class A-1L-A Credit Agreement.</w:t>
      </w:r>
    </w:p>
    <w:p>
      <w:pPr>
        <w:spacing w:after="0" w:line="17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The Assignor named on the signature pages hereof (the “</w:t>
      </w: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 hereby sells and assigns to the Assignee named on the signature pages hereof (the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and the Assignee hereby purchases and assumes from the Assignor, effective as of the Assignment Date set forth below, the interests set forth below (the “</w:t>
      </w:r>
      <w:r>
        <w:rPr>
          <w:rFonts w:ascii="Times New Roman" w:cs="Times New Roman" w:eastAsia="Times New Roman" w:hAnsi="Times New Roman"/>
          <w:sz w:val="22"/>
          <w:szCs w:val="22"/>
          <w:u w:val="single" w:color="auto"/>
          <w:color w:val="auto"/>
        </w:rPr>
        <w:t>Assigned Interest</w:t>
      </w:r>
      <w:r>
        <w:rPr>
          <w:rFonts w:ascii="Times New Roman" w:cs="Times New Roman" w:eastAsia="Times New Roman" w:hAnsi="Times New Roman"/>
          <w:sz w:val="22"/>
          <w:szCs w:val="22"/>
          <w:color w:val="auto"/>
        </w:rPr>
        <w:t>”) in the Assignor’s rights and obligations under the Class A-1L-A Credit Agreement, including, without limitation, the interests set forth below in the Class A-1L-A Loan held by (and outstanding principal amount of the Class A-1L-A Loan held by) the Assignor on the Assignment Date. The Assignee hereby acknowledges receipt of a copy of the Class A-1L-A Credit Agreement and the Indenture. From and after the Assignment Date (A) the Assignee shall be a party to and be bound by the provisions of the Class A-1L-A Credit Agreement and, to the extent of the Assigned Interest, have the rights and obligations of a Lender thereunder and (B) the Assignor shall, to the extent of the Assigned Interest, relinquish its rights and be released from its obligations under the Class A-1L-A Credit Agreement. The Assignor hereby represents and warrants to the Assignee that, as of the Assignment Date, the Assignor owns the Assigned Interest free and clear of any lien or other encumbrance. The Assignee hereby makes to the Assignor, the Borrower, the Collateral Manager, the Collateral Trustee and the Loan Agent all of the representations and warranties, and agrees to comply with the applicable covenants of the Class A-1L-A Lenders, set forth in Section 3.02 of the Class A-1L-A Credit Agreement.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Each of the parties hereby covenants and agrees that so long as the Assignee is a registered Lender:</w:t>
      </w:r>
    </w:p>
    <w:p>
      <w:pPr>
        <w:spacing w:after="0" w:line="206" w:lineRule="exact"/>
        <w:rPr>
          <w:sz w:val="20"/>
          <w:szCs w:val="20"/>
          <w:color w:val="auto"/>
        </w:rPr>
      </w:pPr>
    </w:p>
    <w:p>
      <w:pPr>
        <w:jc w:val="both"/>
        <w:ind w:firstLine="1505"/>
        <w:spacing w:after="0" w:line="244" w:lineRule="auto"/>
        <w:tabs>
          <w:tab w:leader="none" w:pos="1929"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waives any right to set-off and to appropriate and apply any and all deposits and any other indebtedness at any time held or owing thereby to or for the credit or the account of the Assignee against and on account of the obligations and liabilities of the Assignee to such party under this Agreement; and</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no provision of this Agreement adversely affecting the rights or duties of the Assignee may be amended or waived without the written consent of the Assignee.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18" w:name="page319"/>
    <w:bookmarkEnd w:id="318"/>
    <w:p>
      <w:pPr>
        <w:ind w:firstLine="1497"/>
        <w:spacing w:after="0" w:line="258" w:lineRule="auto"/>
        <w:rPr>
          <w:sz w:val="20"/>
          <w:szCs w:val="20"/>
          <w:color w:val="auto"/>
        </w:rPr>
      </w:pPr>
      <w:r>
        <w:rPr>
          <w:rFonts w:ascii="Times New Roman" w:cs="Times New Roman" w:eastAsia="Times New Roman" w:hAnsi="Times New Roman"/>
          <w:sz w:val="22"/>
          <w:szCs w:val="22"/>
          <w:color w:val="auto"/>
        </w:rPr>
        <w:t>THIS ASSIGNMENT AND ACCEPTANCE SHALL BE GOVERNED BY, AND CONSTRUED IN ACCORDANCE WITH, THE LAW OF THE STATE OF NEW YORK.</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Legal Name of Assignor:</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729"/>
        </w:trPr>
        <w:tc>
          <w:tcPr>
            <w:tcW w:w="5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Legal Name of Assignee:</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47"/>
        </w:trPr>
        <w:tc>
          <w:tcPr>
            <w:tcW w:w="5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Assignee’s Address for Notices:</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43"/>
        </w:trPr>
        <w:tc>
          <w:tcPr>
            <w:tcW w:w="530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Fax No.:</w:t>
            </w: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243"/>
        </w:trPr>
        <w:tc>
          <w:tcPr>
            <w:tcW w:w="530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Details of electronic messaging system:</w:t>
            </w: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243"/>
        </w:trPr>
        <w:tc>
          <w:tcPr>
            <w:tcW w:w="530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Payment Instructions:</w:t>
            </w: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243"/>
        </w:trPr>
        <w:tc>
          <w:tcPr>
            <w:tcW w:w="530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Federal Taxpayer ID No. of Assignee:</w:t>
            </w: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230"/>
        </w:trPr>
        <w:tc>
          <w:tcPr>
            <w:tcW w:w="5300" w:type="dxa"/>
            <w:vAlign w:val="bottom"/>
            <w:gridSpan w:val="4"/>
          </w:tcPr>
          <w:p>
            <w:pPr>
              <w:spacing w:after="0" w:line="230" w:lineRule="exact"/>
              <w:rPr>
                <w:sz w:val="20"/>
                <w:szCs w:val="20"/>
                <w:color w:val="auto"/>
              </w:rPr>
            </w:pPr>
            <w:r>
              <w:rPr>
                <w:rFonts w:ascii="Times New Roman" w:cs="Times New Roman" w:eastAsia="Times New Roman" w:hAnsi="Times New Roman"/>
                <w:sz w:val="22"/>
                <w:szCs w:val="22"/>
                <w:color w:val="auto"/>
              </w:rPr>
              <w:t>Effective Date of Assignment (“Assignment Date”):</w:t>
            </w: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750"/>
        </w:trPr>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Amount Assigned</w:t>
            </w:r>
          </w:p>
        </w:tc>
        <w:tc>
          <w:tcPr>
            <w:tcW w:w="1240" w:type="dxa"/>
            <w:vAlign w:val="bottom"/>
          </w:tcPr>
          <w:p>
            <w:pPr>
              <w:spacing w:after="0"/>
              <w:rPr>
                <w:sz w:val="24"/>
                <w:szCs w:val="24"/>
                <w:color w:val="auto"/>
              </w:rPr>
            </w:pPr>
          </w:p>
        </w:tc>
        <w:tc>
          <w:tcPr>
            <w:tcW w:w="2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Amount Retained</w:t>
            </w:r>
          </w:p>
        </w:tc>
      </w:tr>
      <w:tr>
        <w:trPr>
          <w:trHeight w:val="452"/>
        </w:trPr>
        <w:tc>
          <w:tcPr>
            <w:tcW w:w="530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Outstanding Principal</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82"/>
        </w:trPr>
        <w:tc>
          <w:tcPr>
            <w:tcW w:w="530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Amount of Class A-1L-A Loan:</w:t>
            </w:r>
          </w:p>
        </w:tc>
        <w:tc>
          <w:tcPr>
            <w:tcW w:w="100" w:type="dxa"/>
            <w:vAlign w:val="bottom"/>
          </w:tcPr>
          <w:p>
            <w:pPr>
              <w:spacing w:after="0"/>
              <w:rPr>
                <w:sz w:val="24"/>
                <w:szCs w:val="24"/>
                <w:color w:val="auto"/>
              </w:rPr>
            </w:pPr>
          </w:p>
        </w:tc>
        <w:tc>
          <w:tcPr>
            <w:tcW w:w="226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U.S.$[ ]</w:t>
            </w:r>
          </w:p>
        </w:tc>
        <w:tc>
          <w:tcPr>
            <w:tcW w:w="1240" w:type="dxa"/>
            <w:vAlign w:val="bottom"/>
          </w:tcPr>
          <w:p>
            <w:pPr>
              <w:spacing w:after="0"/>
              <w:rPr>
                <w:sz w:val="24"/>
                <w:szCs w:val="24"/>
                <w:color w:val="auto"/>
              </w:rPr>
            </w:pPr>
          </w:p>
        </w:tc>
        <w:tc>
          <w:tcPr>
            <w:tcW w:w="234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U.S.$[ ]</w:t>
            </w:r>
          </w:p>
        </w:tc>
      </w:tr>
      <w:tr>
        <w:trPr>
          <w:trHeight w:val="972"/>
        </w:trPr>
        <w:tc>
          <w:tcPr>
            <w:tcW w:w="5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The terms set forth above are hereby agreed to:</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86"/>
        </w:trPr>
        <w:tc>
          <w:tcPr>
            <w:tcW w:w="5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[NAME OF ASSIGNOR], as Assignor</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946"/>
        </w:trPr>
        <w:tc>
          <w:tcPr>
            <w:tcW w:w="530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By:</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09"/>
        </w:trPr>
        <w:tc>
          <w:tcPr>
            <w:tcW w:w="800" w:type="dxa"/>
            <w:vAlign w:val="bottom"/>
          </w:tcPr>
          <w:p>
            <w:pPr>
              <w:ind w:left="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20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82"/>
        </w:trPr>
        <w:tc>
          <w:tcPr>
            <w:tcW w:w="530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972"/>
        </w:trPr>
        <w:tc>
          <w:tcPr>
            <w:tcW w:w="5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[NAME OF ASSIGNEE], as Assignee</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947"/>
        </w:trPr>
        <w:tc>
          <w:tcPr>
            <w:tcW w:w="530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By:</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09"/>
        </w:trPr>
        <w:tc>
          <w:tcPr>
            <w:tcW w:w="800" w:type="dxa"/>
            <w:vAlign w:val="bottom"/>
          </w:tcPr>
          <w:p>
            <w:pPr>
              <w:ind w:left="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20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82"/>
        </w:trPr>
        <w:tc>
          <w:tcPr>
            <w:tcW w:w="530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864"/>
        </w:trPr>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A-2</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751"/>
        </w:trPr>
        <w:tc>
          <w:tcPr>
            <w:tcW w:w="8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9" w:name="page320"/>
    <w:bookmarkEnd w:id="319"/>
    <w:tbl>
      <w:tblPr>
        <w:tblLayout w:type="fixed"/>
        <w:tblInd w:w="0" w:type="dxa"/>
        <w:tblCellMar>
          <w:top w:w="0" w:type="dxa"/>
          <w:left w:w="0" w:type="dxa"/>
          <w:bottom w:w="0" w:type="dxa"/>
          <w:right w:w="0" w:type="dxa"/>
        </w:tblCellMar>
      </w:tblPr>
      <w:tr>
        <w:trPr>
          <w:trHeight w:val="286"/>
        </w:trPr>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20" w:type="dxa"/>
            <w:vAlign w:val="bottom"/>
            <w:gridSpan w:val="2"/>
          </w:tcPr>
          <w:p>
            <w:pPr>
              <w:ind w:left="1000"/>
              <w:spacing w:after="0"/>
              <w:rPr>
                <w:sz w:val="20"/>
                <w:szCs w:val="20"/>
                <w:color w:val="auto"/>
              </w:rPr>
            </w:pPr>
            <w:r>
              <w:rPr>
                <w:rFonts w:ascii="Times New Roman" w:cs="Times New Roman" w:eastAsia="Times New Roman" w:hAnsi="Times New Roman"/>
                <w:sz w:val="22"/>
                <w:szCs w:val="22"/>
                <w:b w:val="1"/>
                <w:bCs w:val="1"/>
                <w:color w:val="auto"/>
                <w:w w:val="96"/>
              </w:rPr>
              <w:t>EXHIBIT B</w:t>
            </w:r>
          </w:p>
        </w:tc>
      </w:tr>
      <w:tr>
        <w:trPr>
          <w:trHeight w:val="459"/>
        </w:trPr>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160" w:type="dxa"/>
            <w:vAlign w:val="bottom"/>
            <w:gridSpan w:val="7"/>
          </w:tcPr>
          <w:p>
            <w:pPr>
              <w:ind w:left="980"/>
              <w:spacing w:after="0"/>
              <w:rPr>
                <w:sz w:val="20"/>
                <w:szCs w:val="20"/>
                <w:color w:val="auto"/>
              </w:rPr>
            </w:pPr>
            <w:r>
              <w:rPr>
                <w:rFonts w:ascii="Times New Roman" w:cs="Times New Roman" w:eastAsia="Times New Roman" w:hAnsi="Times New Roman"/>
                <w:sz w:val="22"/>
                <w:szCs w:val="22"/>
                <w:color w:val="auto"/>
              </w:rPr>
              <w:t>CONFIRMATION OF REGISTRATION</w:t>
            </w:r>
          </w:p>
        </w:tc>
      </w:tr>
      <w:tr>
        <w:trPr>
          <w:trHeight w:val="420"/>
        </w:trPr>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160" w:type="dxa"/>
            <w:vAlign w:val="bottom"/>
            <w:gridSpan w:val="7"/>
          </w:tcPr>
          <w:p>
            <w:pPr>
              <w:jc w:val="center"/>
              <w:ind w:right="3080"/>
              <w:spacing w:after="0"/>
              <w:rPr>
                <w:sz w:val="20"/>
                <w:szCs w:val="20"/>
                <w:color w:val="auto"/>
              </w:rPr>
            </w:pPr>
            <w:r>
              <w:rPr>
                <w:rFonts w:ascii="Times New Roman" w:cs="Times New Roman" w:eastAsia="Times New Roman" w:hAnsi="Times New Roman"/>
                <w:sz w:val="22"/>
                <w:szCs w:val="22"/>
                <w:color w:val="auto"/>
                <w:w w:val="98"/>
              </w:rPr>
              <w:t>PENNANTPARK CLO 11, LLC,</w:t>
            </w:r>
          </w:p>
        </w:tc>
      </w:tr>
      <w:tr>
        <w:trPr>
          <w:trHeight w:val="282"/>
        </w:trPr>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160" w:type="dxa"/>
            <w:vAlign w:val="bottom"/>
            <w:gridSpan w:val="7"/>
          </w:tcPr>
          <w:p>
            <w:pPr>
              <w:jc w:val="center"/>
              <w:ind w:right="3080"/>
              <w:spacing w:after="0"/>
              <w:rPr>
                <w:sz w:val="20"/>
                <w:szCs w:val="20"/>
                <w:color w:val="auto"/>
              </w:rPr>
            </w:pPr>
            <w:r>
              <w:rPr>
                <w:rFonts w:ascii="Times New Roman" w:cs="Times New Roman" w:eastAsia="Times New Roman" w:hAnsi="Times New Roman"/>
                <w:sz w:val="22"/>
                <w:szCs w:val="22"/>
                <w:color w:val="auto"/>
                <w:w w:val="98"/>
              </w:rPr>
              <w:t>as Borrower,</w:t>
            </w:r>
          </w:p>
        </w:tc>
      </w:tr>
      <w:tr>
        <w:trPr>
          <w:trHeight w:val="459"/>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4"/>
        </w:trPr>
        <w:tc>
          <w:tcPr>
            <w:tcW w:w="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w:t>
            </w:r>
          </w:p>
        </w:tc>
        <w:tc>
          <w:tcPr>
            <w:tcW w:w="10420" w:type="dxa"/>
            <w:vAlign w:val="bottom"/>
            <w:gridSpan w:val="9"/>
          </w:tcPr>
          <w:p>
            <w:pPr>
              <w:ind w:left="100"/>
              <w:spacing w:after="0"/>
              <w:rPr>
                <w:sz w:val="20"/>
                <w:szCs w:val="20"/>
                <w:color w:val="auto"/>
              </w:rPr>
            </w:pPr>
            <w:r>
              <w:rPr>
                <w:rFonts w:ascii="Times New Roman" w:cs="Times New Roman" w:eastAsia="Times New Roman" w:hAnsi="Times New Roman"/>
                <w:sz w:val="22"/>
                <w:szCs w:val="22"/>
                <w:color w:val="auto"/>
              </w:rPr>
              <w:t>Credit Agreement, dated as of February 20, 2025 (the “Credit Agreement”), among PennantPark CLO 11, LLC, as</w:t>
            </w:r>
          </w:p>
        </w:tc>
      </w:tr>
      <w:tr>
        <w:trPr>
          <w:trHeight w:val="20"/>
        </w:trPr>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20" w:type="dxa"/>
            <w:vAlign w:val="bottom"/>
          </w:tcPr>
          <w:p>
            <w:pPr>
              <w:spacing w:after="0"/>
              <w:rPr>
                <w:sz w:val="19"/>
                <w:szCs w:val="19"/>
                <w:color w:val="auto"/>
              </w:rPr>
            </w:pPr>
          </w:p>
        </w:tc>
        <w:tc>
          <w:tcPr>
            <w:tcW w:w="10420" w:type="dxa"/>
            <w:vAlign w:val="bottom"/>
            <w:gridSpan w:val="9"/>
          </w:tcPr>
          <w:p>
            <w:pPr>
              <w:ind w:left="100"/>
              <w:spacing w:after="0" w:line="223" w:lineRule="exact"/>
              <w:rPr>
                <w:sz w:val="20"/>
                <w:szCs w:val="20"/>
                <w:color w:val="auto"/>
              </w:rPr>
            </w:pPr>
            <w:r>
              <w:rPr>
                <w:rFonts w:ascii="Times New Roman" w:cs="Times New Roman" w:eastAsia="Times New Roman" w:hAnsi="Times New Roman"/>
                <w:sz w:val="22"/>
                <w:szCs w:val="22"/>
                <w:color w:val="auto"/>
                <w:w w:val="98"/>
              </w:rPr>
              <w:t>borrower (the “Borrower”), Western Alliance Trust Company, N.A., as collateral trustee (the “Collateral Trustee”) and</w:t>
            </w:r>
          </w:p>
        </w:tc>
      </w:tr>
      <w:tr>
        <w:trPr>
          <w:trHeight w:val="20"/>
        </w:trPr>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820" w:type="dxa"/>
            <w:vAlign w:val="bottom"/>
          </w:tcPr>
          <w:p>
            <w:pPr>
              <w:spacing w:after="0"/>
              <w:rPr>
                <w:sz w:val="19"/>
                <w:szCs w:val="19"/>
                <w:color w:val="auto"/>
              </w:rPr>
            </w:pPr>
          </w:p>
        </w:tc>
        <w:tc>
          <w:tcPr>
            <w:tcW w:w="2260" w:type="dxa"/>
            <w:vAlign w:val="bottom"/>
            <w:gridSpan w:val="2"/>
          </w:tcPr>
          <w:p>
            <w:pPr>
              <w:ind w:left="100"/>
              <w:spacing w:after="0" w:line="223" w:lineRule="exact"/>
              <w:rPr>
                <w:sz w:val="20"/>
                <w:szCs w:val="20"/>
                <w:color w:val="auto"/>
              </w:rPr>
            </w:pPr>
            <w:r>
              <w:rPr>
                <w:rFonts w:ascii="Times New Roman" w:cs="Times New Roman" w:eastAsia="Times New Roman" w:hAnsi="Times New Roman"/>
                <w:sz w:val="22"/>
                <w:szCs w:val="22"/>
                <w:color w:val="auto"/>
              </w:rPr>
              <w:t>Western Alliance Trust</w:t>
            </w:r>
          </w:p>
        </w:tc>
        <w:tc>
          <w:tcPr>
            <w:tcW w:w="8160" w:type="dxa"/>
            <w:vAlign w:val="bottom"/>
            <w:gridSpan w:val="7"/>
          </w:tcPr>
          <w:p>
            <w:pPr>
              <w:spacing w:after="0" w:line="223" w:lineRule="exact"/>
              <w:rPr>
                <w:sz w:val="20"/>
                <w:szCs w:val="20"/>
                <w:color w:val="auto"/>
              </w:rPr>
            </w:pPr>
            <w:r>
              <w:rPr>
                <w:rFonts w:ascii="Times New Roman" w:cs="Times New Roman" w:eastAsia="Times New Roman" w:hAnsi="Times New Roman"/>
                <w:sz w:val="22"/>
                <w:szCs w:val="22"/>
                <w:color w:val="auto"/>
              </w:rPr>
              <w:t>Company, N.A., as loan agent (the “Loan Agent”). Capitalized terms not otherwise defined</w:t>
            </w:r>
          </w:p>
        </w:tc>
      </w:tr>
      <w:tr>
        <w:trPr>
          <w:trHeight w:val="20"/>
        </w:trPr>
        <w:tc>
          <w:tcPr>
            <w:tcW w:w="820" w:type="dxa"/>
            <w:vAlign w:val="bottom"/>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r>
      <w:tr>
        <w:trPr>
          <w:trHeight w:val="276"/>
        </w:trPr>
        <w:tc>
          <w:tcPr>
            <w:tcW w:w="820" w:type="dxa"/>
            <w:vAlign w:val="bottom"/>
          </w:tcPr>
          <w:p>
            <w:pPr>
              <w:spacing w:after="0"/>
              <w:rPr>
                <w:sz w:val="23"/>
                <w:szCs w:val="23"/>
                <w:color w:val="auto"/>
              </w:rPr>
            </w:pPr>
          </w:p>
        </w:tc>
        <w:tc>
          <w:tcPr>
            <w:tcW w:w="10420" w:type="dxa"/>
            <w:vAlign w:val="bottom"/>
            <w:gridSpan w:val="9"/>
          </w:tcPr>
          <w:p>
            <w:pPr>
              <w:ind w:left="100"/>
              <w:spacing w:after="0"/>
              <w:rPr>
                <w:sz w:val="20"/>
                <w:szCs w:val="20"/>
                <w:color w:val="auto"/>
              </w:rPr>
            </w:pPr>
            <w:r>
              <w:rPr>
                <w:rFonts w:ascii="Times New Roman" w:cs="Times New Roman" w:eastAsia="Times New Roman" w:hAnsi="Times New Roman"/>
                <w:sz w:val="22"/>
                <w:szCs w:val="22"/>
                <w:color w:val="auto"/>
              </w:rPr>
              <w:t>herein shall have the meanings assigned to such terms in the Credit Agreement</w:t>
            </w:r>
          </w:p>
        </w:tc>
      </w:tr>
    </w:tbl>
    <w:p>
      <w:pPr>
        <w:spacing w:after="0" w:line="2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Loan Agent hereby confirms that it has registered the principal amount of the A-1L-A Loan in the name specified below, in the Loan Register. This Confirmation of Registration is provided for informational purposes only; ownership of such Class A-1L-A Loan shall be determined conclusively by the Loan Register. To the extent of any conflict between this Confirmation of Registration and the Loan Register, the Loan Register shall control. This is not a security certificate.</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Amount of Loan:</w:t>
            </w:r>
          </w:p>
        </w:tc>
        <w:tc>
          <w:tcPr>
            <w:tcW w:w="2500" w:type="dxa"/>
            <w:vAlign w:val="bottom"/>
          </w:tcPr>
          <w:p>
            <w:pPr>
              <w:spacing w:after="0"/>
              <w:rPr>
                <w:sz w:val="22"/>
                <w:szCs w:val="22"/>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U.S.$[</w:t>
            </w:r>
          </w:p>
        </w:tc>
        <w:tc>
          <w:tcPr>
            <w:tcW w:w="90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22"/>
                <w:szCs w:val="22"/>
                <w:color w:val="auto"/>
                <w:w w:val="81"/>
              </w:rPr>
              <w:t>]</w:t>
            </w:r>
          </w:p>
        </w:tc>
        <w:tc>
          <w:tcPr>
            <w:tcW w:w="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466"/>
        </w:trPr>
        <w:tc>
          <w:tcPr>
            <w:tcW w:w="2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Name of Lender:</w:t>
            </w:r>
          </w:p>
        </w:tc>
        <w:tc>
          <w:tcPr>
            <w:tcW w:w="250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3220" w:type="dxa"/>
            <w:vAlign w:val="bottom"/>
            <w:tcBorders>
              <w:bottom w:val="single" w:sz="8" w:color="auto"/>
            </w:tcBorders>
            <w:gridSpan w:val="5"/>
          </w:tcPr>
          <w:p>
            <w:pPr>
              <w:ind w:left="3140"/>
              <w:spacing w:after="0"/>
              <w:rPr>
                <w:sz w:val="20"/>
                <w:szCs w:val="20"/>
                <w:color w:val="auto"/>
              </w:rPr>
            </w:pPr>
            <w:r>
              <w:rPr>
                <w:rFonts w:ascii="Times New Roman" w:cs="Times New Roman" w:eastAsia="Times New Roman" w:hAnsi="Times New Roman"/>
                <w:sz w:val="22"/>
                <w:szCs w:val="22"/>
                <w:color w:val="auto"/>
                <w:w w:val="81"/>
              </w:rPr>
              <w:t>]</w:t>
            </w:r>
          </w:p>
        </w:tc>
        <w:tc>
          <w:tcPr>
            <w:tcW w:w="2020" w:type="dxa"/>
            <w:vAlign w:val="bottom"/>
          </w:tcPr>
          <w:p>
            <w:pPr>
              <w:spacing w:after="0"/>
              <w:rPr>
                <w:sz w:val="24"/>
                <w:szCs w:val="24"/>
                <w:color w:val="auto"/>
              </w:rPr>
            </w:pPr>
          </w:p>
        </w:tc>
      </w:tr>
      <w:tr>
        <w:trPr>
          <w:trHeight w:val="466"/>
        </w:trPr>
        <w:tc>
          <w:tcPr>
            <w:tcW w:w="2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Address of Lender:</w:t>
            </w:r>
          </w:p>
        </w:tc>
        <w:tc>
          <w:tcPr>
            <w:tcW w:w="3160" w:type="dxa"/>
            <w:vAlign w:val="bottom"/>
            <w:gridSpan w:val="2"/>
          </w:tcPr>
          <w:p>
            <w:pPr>
              <w:ind w:left="2500"/>
              <w:spacing w:after="0"/>
              <w:rPr>
                <w:sz w:val="20"/>
                <w:szCs w:val="20"/>
                <w:color w:val="auto"/>
              </w:rPr>
            </w:pPr>
            <w:r>
              <w:rPr>
                <w:rFonts w:ascii="Times New Roman" w:cs="Times New Roman" w:eastAsia="Times New Roman" w:hAnsi="Times New Roman"/>
                <w:sz w:val="22"/>
                <w:szCs w:val="22"/>
                <w:color w:val="auto"/>
              </w:rPr>
              <w:t>[</w:t>
            </w:r>
          </w:p>
        </w:tc>
        <w:tc>
          <w:tcPr>
            <w:tcW w:w="8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3"/>
        </w:trPr>
        <w:tc>
          <w:tcPr>
            <w:tcW w:w="28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3"/>
        </w:trPr>
        <w:tc>
          <w:tcPr>
            <w:tcW w:w="28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6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3"/>
        </w:trPr>
        <w:tc>
          <w:tcPr>
            <w:tcW w:w="28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6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66"/>
        </w:trPr>
        <w:tc>
          <w:tcPr>
            <w:tcW w:w="2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Wire Instructions of Lender:</w:t>
            </w:r>
          </w:p>
        </w:tc>
        <w:tc>
          <w:tcPr>
            <w:tcW w:w="3160" w:type="dxa"/>
            <w:vAlign w:val="bottom"/>
            <w:gridSpan w:val="2"/>
          </w:tcPr>
          <w:p>
            <w:pPr>
              <w:ind w:left="2500"/>
              <w:spacing w:after="0"/>
              <w:rPr>
                <w:sz w:val="20"/>
                <w:szCs w:val="20"/>
                <w:color w:val="auto"/>
              </w:rPr>
            </w:pPr>
            <w:r>
              <w:rPr>
                <w:rFonts w:ascii="Times New Roman" w:cs="Times New Roman" w:eastAsia="Times New Roman" w:hAnsi="Times New Roman"/>
                <w:sz w:val="22"/>
                <w:szCs w:val="22"/>
                <w:color w:val="auto"/>
              </w:rPr>
              <w:t>[</w:t>
            </w:r>
          </w:p>
        </w:tc>
        <w:tc>
          <w:tcPr>
            <w:tcW w:w="8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543"/>
        </w:trPr>
        <w:tc>
          <w:tcPr>
            <w:tcW w:w="28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197"/>
        </w:trPr>
        <w:tc>
          <w:tcPr>
            <w:tcW w:w="2840" w:type="dxa"/>
            <w:vAlign w:val="bottom"/>
            <w:tcBorders>
              <w:left w:val="single" w:sz="8" w:color="auto"/>
              <w:bottom w:val="single" w:sz="8" w:color="auto"/>
              <w:right w:val="single" w:sz="8" w:color="auto"/>
            </w:tcBorders>
          </w:tcPr>
          <w:p>
            <w:pPr>
              <w:ind w:left="120"/>
              <w:spacing w:after="0" w:line="197" w:lineRule="exact"/>
              <w:rPr>
                <w:sz w:val="20"/>
                <w:szCs w:val="20"/>
                <w:color w:val="auto"/>
              </w:rPr>
            </w:pPr>
            <w:r>
              <w:rPr>
                <w:rFonts w:ascii="Times New Roman" w:cs="Times New Roman" w:eastAsia="Times New Roman" w:hAnsi="Times New Roman"/>
                <w:sz w:val="22"/>
                <w:szCs w:val="22"/>
                <w:color w:val="auto"/>
              </w:rPr>
              <w:t>Transaction Date</w:t>
            </w:r>
          </w:p>
        </w:tc>
        <w:tc>
          <w:tcPr>
            <w:tcW w:w="3160" w:type="dxa"/>
            <w:vAlign w:val="bottom"/>
            <w:tcBorders>
              <w:bottom w:val="single" w:sz="8" w:color="auto"/>
              <w:right w:val="single" w:sz="8" w:color="auto"/>
            </w:tcBorders>
            <w:gridSpan w:val="2"/>
          </w:tcPr>
          <w:p>
            <w:pPr>
              <w:ind w:left="100"/>
              <w:spacing w:after="0" w:line="197" w:lineRule="exact"/>
              <w:rPr>
                <w:sz w:val="20"/>
                <w:szCs w:val="20"/>
                <w:color w:val="auto"/>
              </w:rPr>
            </w:pPr>
            <w:r>
              <w:rPr>
                <w:rFonts w:ascii="Times New Roman" w:cs="Times New Roman" w:eastAsia="Times New Roman" w:hAnsi="Times New Roman"/>
                <w:sz w:val="22"/>
                <w:szCs w:val="22"/>
                <w:color w:val="auto"/>
              </w:rPr>
              <w:t>Transaction Description</w:t>
            </w:r>
          </w:p>
        </w:tc>
        <w:tc>
          <w:tcPr>
            <w:tcW w:w="2800" w:type="dxa"/>
            <w:vAlign w:val="bottom"/>
            <w:tcBorders>
              <w:bottom w:val="single" w:sz="8" w:color="auto"/>
              <w:right w:val="single" w:sz="8" w:color="auto"/>
            </w:tcBorders>
            <w:gridSpan w:val="4"/>
          </w:tcPr>
          <w:p>
            <w:pPr>
              <w:ind w:left="80"/>
              <w:spacing w:after="0" w:line="197" w:lineRule="exact"/>
              <w:rPr>
                <w:sz w:val="20"/>
                <w:szCs w:val="20"/>
                <w:color w:val="auto"/>
              </w:rPr>
            </w:pPr>
            <w:r>
              <w:rPr>
                <w:rFonts w:ascii="Times New Roman" w:cs="Times New Roman" w:eastAsia="Times New Roman" w:hAnsi="Times New Roman"/>
                <w:sz w:val="22"/>
                <w:szCs w:val="22"/>
                <w:color w:val="auto"/>
              </w:rPr>
              <w:t>Loan Amount</w:t>
            </w:r>
          </w:p>
        </w:tc>
        <w:tc>
          <w:tcPr>
            <w:tcW w:w="420" w:type="dxa"/>
            <w:vAlign w:val="bottom"/>
            <w:tcBorders>
              <w:bottom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17"/>
                <w:szCs w:val="17"/>
                <w:color w:val="auto"/>
              </w:rPr>
            </w:pPr>
          </w:p>
        </w:tc>
      </w:tr>
      <w:tr>
        <w:trPr>
          <w:trHeight w:val="240"/>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r>
      <w:tr>
        <w:trPr>
          <w:trHeight w:val="452"/>
        </w:trPr>
        <w:tc>
          <w:tcPr>
            <w:tcW w:w="2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40" w:type="dxa"/>
            <w:vAlign w:val="bottom"/>
            <w:gridSpan w:val="6"/>
          </w:tcPr>
          <w:p>
            <w:pPr>
              <w:ind w:left="200"/>
              <w:spacing w:after="0"/>
              <w:rPr>
                <w:sz w:val="20"/>
                <w:szCs w:val="20"/>
                <w:color w:val="auto"/>
              </w:rPr>
            </w:pPr>
            <w:r>
              <w:rPr>
                <w:rFonts w:ascii="Times New Roman" w:cs="Times New Roman" w:eastAsia="Times New Roman" w:hAnsi="Times New Roman"/>
                <w:sz w:val="22"/>
                <w:szCs w:val="22"/>
                <w:color w:val="auto"/>
              </w:rPr>
              <w:t>WESTERN ALLIANCE TRUST</w:t>
            </w:r>
          </w:p>
        </w:tc>
      </w:tr>
      <w:tr>
        <w:trPr>
          <w:trHeight w:val="243"/>
        </w:trPr>
        <w:tc>
          <w:tcPr>
            <w:tcW w:w="28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40" w:type="dxa"/>
            <w:vAlign w:val="bottom"/>
            <w:gridSpan w:val="6"/>
          </w:tcPr>
          <w:p>
            <w:pPr>
              <w:ind w:left="200"/>
              <w:spacing w:after="0" w:line="243" w:lineRule="exact"/>
              <w:rPr>
                <w:sz w:val="20"/>
                <w:szCs w:val="20"/>
                <w:color w:val="auto"/>
              </w:rPr>
            </w:pPr>
            <w:r>
              <w:rPr>
                <w:rFonts w:ascii="Times New Roman" w:cs="Times New Roman" w:eastAsia="Times New Roman" w:hAnsi="Times New Roman"/>
                <w:sz w:val="22"/>
                <w:szCs w:val="22"/>
                <w:color w:val="auto"/>
              </w:rPr>
              <w:t>COMPANY, N.A.,</w:t>
            </w:r>
          </w:p>
        </w:tc>
      </w:tr>
      <w:tr>
        <w:trPr>
          <w:trHeight w:val="282"/>
        </w:trPr>
        <w:tc>
          <w:tcPr>
            <w:tcW w:w="2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40" w:type="dxa"/>
            <w:vAlign w:val="bottom"/>
            <w:gridSpan w:val="6"/>
          </w:tcPr>
          <w:p>
            <w:pPr>
              <w:ind w:left="200"/>
              <w:spacing w:after="0"/>
              <w:rPr>
                <w:sz w:val="20"/>
                <w:szCs w:val="20"/>
                <w:color w:val="auto"/>
              </w:rPr>
            </w:pPr>
            <w:r>
              <w:rPr>
                <w:rFonts w:ascii="Times New Roman" w:cs="Times New Roman" w:eastAsia="Times New Roman" w:hAnsi="Times New Roman"/>
                <w:sz w:val="22"/>
                <w:szCs w:val="22"/>
                <w:color w:val="auto"/>
              </w:rPr>
              <w:t>as Loan Agent</w:t>
            </w:r>
          </w:p>
        </w:tc>
      </w:tr>
      <w:tr>
        <w:trPr>
          <w:trHeight w:val="461"/>
        </w:trPr>
        <w:tc>
          <w:tcPr>
            <w:tcW w:w="2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40" w:type="dxa"/>
            <w:vAlign w:val="bottom"/>
            <w:gridSpan w:val="6"/>
          </w:tcPr>
          <w:p>
            <w:pPr>
              <w:ind w:left="200"/>
              <w:spacing w:after="0"/>
              <w:rPr>
                <w:sz w:val="20"/>
                <w:szCs w:val="20"/>
                <w:color w:val="auto"/>
              </w:rPr>
            </w:pPr>
            <w:r>
              <w:rPr>
                <w:rFonts w:ascii="Times New Roman" w:cs="Times New Roman" w:eastAsia="Times New Roman" w:hAnsi="Times New Roman"/>
                <w:sz w:val="22"/>
                <w:szCs w:val="22"/>
                <w:color w:val="auto"/>
              </w:rPr>
              <w:t>By:</w:t>
            </w:r>
          </w:p>
        </w:tc>
      </w:tr>
      <w:tr>
        <w:trPr>
          <w:trHeight w:val="209"/>
        </w:trPr>
        <w:tc>
          <w:tcPr>
            <w:tcW w:w="2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gridSpan w:val="3"/>
          </w:tcPr>
          <w:p>
            <w:pPr>
              <w:ind w:left="20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2260" w:type="dxa"/>
            <w:vAlign w:val="bottom"/>
            <w:tcBorders>
              <w:top w:val="single" w:sz="8" w:color="auto"/>
            </w:tcBorders>
            <w:gridSpan w:val="2"/>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r>
      <w:tr>
        <w:trPr>
          <w:trHeight w:val="282"/>
        </w:trPr>
        <w:tc>
          <w:tcPr>
            <w:tcW w:w="2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40" w:type="dxa"/>
            <w:vAlign w:val="bottom"/>
            <w:gridSpan w:val="6"/>
          </w:tcPr>
          <w:p>
            <w:pPr>
              <w:ind w:left="200"/>
              <w:spacing w:after="0"/>
              <w:rPr>
                <w:sz w:val="20"/>
                <w:szCs w:val="20"/>
                <w:color w:val="auto"/>
              </w:rPr>
            </w:pPr>
            <w:r>
              <w:rPr>
                <w:rFonts w:ascii="Times New Roman" w:cs="Times New Roman" w:eastAsia="Times New Roman" w:hAnsi="Times New Roman"/>
                <w:sz w:val="22"/>
                <w:szCs w:val="22"/>
                <w:color w:val="auto"/>
              </w:rPr>
              <w:t>Title:</w:t>
            </w:r>
          </w:p>
        </w:tc>
      </w:tr>
      <w:tr>
        <w:trPr>
          <w:trHeight w:val="864"/>
        </w:trPr>
        <w:tc>
          <w:tcPr>
            <w:tcW w:w="2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B-1</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751"/>
        </w:trPr>
        <w:tc>
          <w:tcPr>
            <w:tcW w:w="28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18"/>
          <w:szCs w:val="18"/>
          <w:color w:val="auto"/>
        </w:rPr>
        <w:t>Exhibit 99.3</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112395</wp:posOffset>
            </wp:positionV>
            <wp:extent cx="7157720" cy="37801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CLASS A-1L-B CREDIT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dated as of February 20, 2025</w:t>
      </w: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among</w:t>
      </w:r>
    </w:p>
    <w:p>
      <w:pPr>
        <w:spacing w:after="0" w:line="200" w:lineRule="exact"/>
        <w:rPr>
          <w:sz w:val="20"/>
          <w:szCs w:val="20"/>
          <w:color w:val="auto"/>
        </w:rPr>
      </w:pPr>
    </w:p>
    <w:p>
      <w:pPr>
        <w:spacing w:after="0" w:line="222"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2"/>
          <w:szCs w:val="22"/>
          <w:color w:val="auto"/>
        </w:rPr>
        <w:t>PENNANTPARK CLO 11, LLC,</w:t>
      </w:r>
    </w:p>
    <w:p>
      <w:pPr>
        <w:spacing w:after="0" w:line="14"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2"/>
          <w:szCs w:val="22"/>
          <w:color w:val="auto"/>
        </w:rPr>
        <w:t>as Borrower,</w:t>
      </w:r>
    </w:p>
    <w:p>
      <w:pPr>
        <w:spacing w:after="0" w:line="39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00" w:lineRule="exact"/>
        <w:rPr>
          <w:sz w:val="20"/>
          <w:szCs w:val="20"/>
          <w:color w:val="auto"/>
        </w:rPr>
      </w:pPr>
    </w:p>
    <w:p>
      <w:pPr>
        <w:spacing w:after="0" w:line="22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22"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1"/>
          <w:szCs w:val="21"/>
          <w:color w:val="auto"/>
        </w:rPr>
        <w:t>WESTERN ALLIANCE TRUST COMPANY, N.A.,</w:t>
      </w:r>
    </w:p>
    <w:p>
      <w:pPr>
        <w:spacing w:after="0" w:line="26"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2"/>
          <w:szCs w:val="22"/>
          <w:color w:val="auto"/>
        </w:rPr>
        <w:t>as Loan Agent and as Collateral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1165860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0"/>
          </w:cols>
          <w:pgMar w:left="1440" w:top="526" w:right="419" w:bottom="1440" w:gutter="0" w:footer="0" w:header="0"/>
        </w:sectPr>
      </w:pPr>
    </w:p>
    <w:bookmarkStart w:id="321" w:name="page322"/>
    <w:bookmarkEnd w:id="321"/>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1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675"/>
        </w:trPr>
        <w:tc>
          <w:tcPr>
            <w:tcW w:w="912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I DEFINITIONS AND INTERPRETATION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12"/>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0000FF"/>
              </w:rPr>
              <w:t>Section 1.1</w:t>
            </w:r>
          </w:p>
        </w:tc>
        <w:tc>
          <w:tcPr>
            <w:tcW w:w="7020" w:type="dxa"/>
            <w:vAlign w:val="bottom"/>
          </w:tcPr>
          <w:p>
            <w:pPr>
              <w:ind w:left="840"/>
              <w:spacing w:after="0"/>
              <w:rPr>
                <w:sz w:val="20"/>
                <w:szCs w:val="20"/>
                <w:color w:val="auto"/>
              </w:rPr>
            </w:pPr>
            <w:r>
              <w:rPr>
                <w:rFonts w:ascii="Times New Roman" w:cs="Times New Roman" w:eastAsia="Times New Roman" w:hAnsi="Times New Roman"/>
                <w:sz w:val="22"/>
                <w:szCs w:val="22"/>
                <w:color w:val="0000FF"/>
              </w:rPr>
              <w:t>Defined Terms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1.2</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Use of Defined Terms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1.3</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Interpretation</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1.4</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Accounting Matters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1.5</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Conflict between Credit Documents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82"/>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0000FF"/>
              </w:rPr>
              <w:t>Section 1.6</w:t>
            </w:r>
          </w:p>
        </w:tc>
        <w:tc>
          <w:tcPr>
            <w:tcW w:w="7020" w:type="dxa"/>
            <w:vAlign w:val="bottom"/>
          </w:tcPr>
          <w:p>
            <w:pPr>
              <w:ind w:left="840"/>
              <w:spacing w:after="0"/>
              <w:rPr>
                <w:sz w:val="20"/>
                <w:szCs w:val="20"/>
                <w:color w:val="auto"/>
              </w:rPr>
            </w:pPr>
            <w:r>
              <w:rPr>
                <w:rFonts w:ascii="Times New Roman" w:cs="Times New Roman" w:eastAsia="Times New Roman" w:hAnsi="Times New Roman"/>
                <w:sz w:val="22"/>
                <w:szCs w:val="22"/>
                <w:color w:val="0000FF"/>
              </w:rPr>
              <w:t>Legal Representation of the Parties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59"/>
        </w:trPr>
        <w:tc>
          <w:tcPr>
            <w:tcW w:w="912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II SECURED LOANS; PAYMENTS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12"/>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0000FF"/>
              </w:rPr>
              <w:t>Section 2.1</w:t>
            </w:r>
          </w:p>
        </w:tc>
        <w:tc>
          <w:tcPr>
            <w:tcW w:w="7020" w:type="dxa"/>
            <w:vAlign w:val="bottom"/>
          </w:tcPr>
          <w:p>
            <w:pPr>
              <w:ind w:left="840"/>
              <w:spacing w:after="0"/>
              <w:rPr>
                <w:sz w:val="20"/>
                <w:szCs w:val="20"/>
                <w:color w:val="auto"/>
              </w:rPr>
            </w:pPr>
            <w:r>
              <w:rPr>
                <w:rFonts w:ascii="Times New Roman" w:cs="Times New Roman" w:eastAsia="Times New Roman" w:hAnsi="Times New Roman"/>
                <w:sz w:val="22"/>
                <w:szCs w:val="22"/>
                <w:color w:val="0000FF"/>
              </w:rPr>
              <w:t>Commitment of Each Lender</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2.2</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Borrowing Procedure</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2.3</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Principal Payments and Prepayments.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16"/>
        </w:trPr>
        <w:tc>
          <w:tcPr>
            <w:tcW w:w="2100" w:type="dxa"/>
            <w:vAlign w:val="bottom"/>
          </w:tcPr>
          <w:p>
            <w:pPr>
              <w:ind w:left="200"/>
              <w:spacing w:after="0" w:line="217" w:lineRule="exact"/>
              <w:rPr>
                <w:sz w:val="20"/>
                <w:szCs w:val="20"/>
                <w:color w:val="auto"/>
              </w:rPr>
            </w:pPr>
            <w:r>
              <w:rPr>
                <w:rFonts w:ascii="Times New Roman" w:cs="Times New Roman" w:eastAsia="Times New Roman" w:hAnsi="Times New Roman"/>
                <w:sz w:val="22"/>
                <w:szCs w:val="22"/>
                <w:color w:val="0000FF"/>
              </w:rPr>
              <w:t>Section 2.4</w:t>
            </w:r>
          </w:p>
        </w:tc>
        <w:tc>
          <w:tcPr>
            <w:tcW w:w="7020" w:type="dxa"/>
            <w:vAlign w:val="bottom"/>
          </w:tcPr>
          <w:p>
            <w:pPr>
              <w:ind w:left="840"/>
              <w:spacing w:after="0" w:line="217" w:lineRule="exact"/>
              <w:rPr>
                <w:sz w:val="20"/>
                <w:szCs w:val="20"/>
                <w:color w:val="auto"/>
              </w:rPr>
            </w:pPr>
            <w:r>
              <w:rPr>
                <w:rFonts w:ascii="Times New Roman" w:cs="Times New Roman" w:eastAsia="Times New Roman" w:hAnsi="Times New Roman"/>
                <w:sz w:val="22"/>
                <w:szCs w:val="22"/>
                <w:color w:val="0000FF"/>
              </w:rPr>
              <w:t>Interest</w:t>
            </w:r>
          </w:p>
        </w:tc>
        <w:tc>
          <w:tcPr>
            <w:tcW w:w="21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4</w:t>
            </w:r>
          </w:p>
        </w:tc>
      </w:tr>
      <w:tr>
        <w:trPr>
          <w:trHeight w:val="283"/>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0000FF"/>
              </w:rPr>
              <w:t>Section 2.5</w:t>
            </w:r>
          </w:p>
        </w:tc>
        <w:tc>
          <w:tcPr>
            <w:tcW w:w="7020" w:type="dxa"/>
            <w:vAlign w:val="bottom"/>
          </w:tcPr>
          <w:p>
            <w:pPr>
              <w:ind w:left="840"/>
              <w:spacing w:after="0" w:line="253" w:lineRule="exact"/>
              <w:rPr>
                <w:sz w:val="20"/>
                <w:szCs w:val="20"/>
                <w:color w:val="auto"/>
              </w:rPr>
            </w:pPr>
            <w:r>
              <w:rPr>
                <w:rFonts w:ascii="Times New Roman" w:cs="Times New Roman" w:eastAsia="Times New Roman" w:hAnsi="Times New Roman"/>
                <w:sz w:val="22"/>
                <w:szCs w:val="22"/>
                <w:color w:val="0000FF"/>
              </w:rPr>
              <w:t>Re</w:t>
            </w:r>
            <w:r>
              <w:rPr>
                <w:rFonts w:ascii="MS PGothic" w:cs="MS PGothic" w:eastAsia="MS PGothic" w:hAnsi="MS PGothic"/>
                <w:sz w:val="22"/>
                <w:szCs w:val="22"/>
                <w:color w:val="0000FF"/>
              </w:rPr>
              <w:t>‑</w:t>
            </w:r>
            <w:r>
              <w:rPr>
                <w:rFonts w:ascii="Times New Roman" w:cs="Times New Roman" w:eastAsia="Times New Roman" w:hAnsi="Times New Roman"/>
                <w:sz w:val="22"/>
                <w:szCs w:val="22"/>
                <w:color w:val="0000FF"/>
              </w:rPr>
              <w:t>Pricing of the Secured Loans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2.6</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Method and Place of Payment</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2.7</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Subordination.</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2.8</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Lender Reporting Obligations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2.9</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Treatment as Class A-1 Debt</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2.10</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Conversion</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82"/>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0000FF"/>
              </w:rPr>
              <w:t>Section 2.11</w:t>
            </w:r>
          </w:p>
        </w:tc>
        <w:tc>
          <w:tcPr>
            <w:tcW w:w="7020" w:type="dxa"/>
            <w:vAlign w:val="bottom"/>
          </w:tcPr>
          <w:p>
            <w:pPr>
              <w:ind w:left="840"/>
              <w:spacing w:after="0"/>
              <w:rPr>
                <w:sz w:val="20"/>
                <w:szCs w:val="20"/>
                <w:color w:val="auto"/>
              </w:rPr>
            </w:pPr>
            <w:r>
              <w:rPr>
                <w:rFonts w:ascii="Times New Roman" w:cs="Times New Roman" w:eastAsia="Times New Roman" w:hAnsi="Times New Roman"/>
                <w:sz w:val="22"/>
                <w:szCs w:val="22"/>
                <w:color w:val="0000FF"/>
              </w:rPr>
              <w:t>Assignment of Class A-1L-B Loans to the Borrower</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459"/>
        </w:trPr>
        <w:tc>
          <w:tcPr>
            <w:tcW w:w="912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III CONDITIONS TO CREDIT EXTENSIONS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51"/>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0000FF"/>
              </w:rPr>
              <w:t>Section 3.1</w:t>
            </w:r>
          </w:p>
        </w:tc>
        <w:tc>
          <w:tcPr>
            <w:tcW w:w="7020" w:type="dxa"/>
            <w:vAlign w:val="bottom"/>
          </w:tcPr>
          <w:p>
            <w:pPr>
              <w:ind w:left="840"/>
              <w:spacing w:after="0"/>
              <w:rPr>
                <w:sz w:val="20"/>
                <w:szCs w:val="20"/>
                <w:color w:val="auto"/>
              </w:rPr>
            </w:pPr>
            <w:r>
              <w:rPr>
                <w:rFonts w:ascii="Times New Roman" w:cs="Times New Roman" w:eastAsia="Times New Roman" w:hAnsi="Times New Roman"/>
                <w:sz w:val="22"/>
                <w:szCs w:val="22"/>
                <w:color w:val="0000FF"/>
              </w:rPr>
              <w:t>Closing Date</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459"/>
        </w:trPr>
        <w:tc>
          <w:tcPr>
            <w:tcW w:w="912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IV COVENANTS, REPRESENTATIONS, WARRANTIES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12"/>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0000FF"/>
              </w:rPr>
              <w:t>Section 4.1</w:t>
            </w:r>
          </w:p>
        </w:tc>
        <w:tc>
          <w:tcPr>
            <w:tcW w:w="7020" w:type="dxa"/>
            <w:vAlign w:val="bottom"/>
          </w:tcPr>
          <w:p>
            <w:pPr>
              <w:ind w:left="840"/>
              <w:spacing w:after="0"/>
              <w:rPr>
                <w:sz w:val="20"/>
                <w:szCs w:val="20"/>
                <w:color w:val="auto"/>
              </w:rPr>
            </w:pPr>
            <w:r>
              <w:rPr>
                <w:rFonts w:ascii="Times New Roman" w:cs="Times New Roman" w:eastAsia="Times New Roman" w:hAnsi="Times New Roman"/>
                <w:sz w:val="22"/>
                <w:szCs w:val="22"/>
                <w:color w:val="0000FF"/>
              </w:rPr>
              <w:t>Payment of Principal and Interest</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4.2</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Maintenance of Office or Agency</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4.3</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Funds for Payment</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4.4</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Existence of Borrower</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4.5</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Protection of Assets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4.6</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Opinions as to Assets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4.7</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Performance of Obligations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4.8</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Negative Covenants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4.9</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Statement as to Compliance</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4.10</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Successor Substituted</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4.11</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No Other Business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4.12</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Annual Rating Review</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4.13</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Calculation Agent</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4.14</w:t>
            </w:r>
          </w:p>
        </w:tc>
        <w:tc>
          <w:tcPr>
            <w:tcW w:w="7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Certain Tax Matters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82"/>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0000FF"/>
              </w:rPr>
              <w:t>Section 4.15</w:t>
            </w:r>
          </w:p>
        </w:tc>
        <w:tc>
          <w:tcPr>
            <w:tcW w:w="7020" w:type="dxa"/>
            <w:vAlign w:val="bottom"/>
          </w:tcPr>
          <w:p>
            <w:pPr>
              <w:ind w:left="840"/>
              <w:spacing w:after="0"/>
              <w:rPr>
                <w:sz w:val="20"/>
                <w:szCs w:val="20"/>
                <w:color w:val="auto"/>
              </w:rPr>
            </w:pPr>
            <w:r>
              <w:rPr>
                <w:rFonts w:ascii="Times New Roman" w:cs="Times New Roman" w:eastAsia="Times New Roman" w:hAnsi="Times New Roman"/>
                <w:sz w:val="22"/>
                <w:szCs w:val="22"/>
                <w:color w:val="0000FF"/>
              </w:rPr>
              <w:t>Objection to Bankruptcy Proceeding</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bl>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632460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22" w:name="page323"/>
    <w:bookmarkEnd w:id="322"/>
    <w:tbl>
      <w:tblPr>
        <w:tblLayout w:type="fixed"/>
        <w:tblInd w:w="0" w:type="dxa"/>
        <w:tblCellMar>
          <w:top w:w="0" w:type="dxa"/>
          <w:left w:w="0" w:type="dxa"/>
          <w:bottom w:w="0" w:type="dxa"/>
          <w:right w:w="0" w:type="dxa"/>
        </w:tblCellMar>
      </w:tblPr>
      <w:tr>
        <w:trPr>
          <w:trHeight w:val="253"/>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0000FF"/>
              </w:rPr>
              <w:t>Section 4.16</w:t>
            </w:r>
          </w:p>
        </w:tc>
        <w:tc>
          <w:tcPr>
            <w:tcW w:w="8360" w:type="dxa"/>
            <w:vAlign w:val="bottom"/>
          </w:tcPr>
          <w:p>
            <w:pPr>
              <w:ind w:left="840"/>
              <w:spacing w:after="0"/>
              <w:rPr>
                <w:sz w:val="20"/>
                <w:szCs w:val="20"/>
                <w:color w:val="auto"/>
              </w:rPr>
            </w:pPr>
            <w:r>
              <w:rPr>
                <w:rFonts w:ascii="Times New Roman" w:cs="Times New Roman" w:eastAsia="Times New Roman" w:hAnsi="Times New Roman"/>
                <w:sz w:val="22"/>
                <w:szCs w:val="22"/>
                <w:color w:val="0000FF"/>
              </w:rPr>
              <w:t>Sanctions; Anti-Corruption</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82"/>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0000FF"/>
              </w:rPr>
              <w:t>Section 4.17</w:t>
            </w:r>
          </w:p>
        </w:tc>
        <w:tc>
          <w:tcPr>
            <w:tcW w:w="8360" w:type="dxa"/>
            <w:vAlign w:val="bottom"/>
          </w:tcPr>
          <w:p>
            <w:pPr>
              <w:ind w:left="840"/>
              <w:spacing w:after="0"/>
              <w:rPr>
                <w:sz w:val="20"/>
                <w:szCs w:val="20"/>
                <w:color w:val="auto"/>
              </w:rPr>
            </w:pPr>
            <w:r>
              <w:rPr>
                <w:rFonts w:ascii="Times New Roman" w:cs="Times New Roman" w:eastAsia="Times New Roman" w:hAnsi="Times New Roman"/>
                <w:sz w:val="22"/>
                <w:szCs w:val="22"/>
                <w:color w:val="0000FF"/>
              </w:rPr>
              <w:t>Representations and Warranties Concerning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459"/>
        </w:trPr>
        <w:tc>
          <w:tcPr>
            <w:tcW w:w="1046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V EVENTS OF DEFAULT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12"/>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0000FF"/>
              </w:rPr>
              <w:t>Section 5.1</w:t>
            </w:r>
          </w:p>
        </w:tc>
        <w:tc>
          <w:tcPr>
            <w:tcW w:w="8360" w:type="dxa"/>
            <w:vAlign w:val="bottom"/>
          </w:tcPr>
          <w:p>
            <w:pPr>
              <w:ind w:left="840"/>
              <w:spacing w:after="0"/>
              <w:rPr>
                <w:sz w:val="20"/>
                <w:szCs w:val="20"/>
                <w:color w:val="auto"/>
              </w:rPr>
            </w:pPr>
            <w:r>
              <w:rPr>
                <w:rFonts w:ascii="Times New Roman" w:cs="Times New Roman" w:eastAsia="Times New Roman" w:hAnsi="Times New Roman"/>
                <w:sz w:val="22"/>
                <w:szCs w:val="22"/>
                <w:color w:val="0000FF"/>
              </w:rPr>
              <w:t>Events of Default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5.2</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Remedies</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82"/>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0000FF"/>
              </w:rPr>
              <w:t>Section 5.3</w:t>
            </w:r>
          </w:p>
        </w:tc>
        <w:tc>
          <w:tcPr>
            <w:tcW w:w="8360" w:type="dxa"/>
            <w:vAlign w:val="bottom"/>
          </w:tcPr>
          <w:p>
            <w:pPr>
              <w:ind w:left="840"/>
              <w:spacing w:after="0"/>
              <w:rPr>
                <w:sz w:val="20"/>
                <w:szCs w:val="20"/>
                <w:color w:val="auto"/>
              </w:rPr>
            </w:pPr>
            <w:r>
              <w:rPr>
                <w:rFonts w:ascii="Times New Roman" w:cs="Times New Roman" w:eastAsia="Times New Roman" w:hAnsi="Times New Roman"/>
                <w:sz w:val="22"/>
                <w:szCs w:val="22"/>
                <w:color w:val="0000FF"/>
              </w:rPr>
              <w:t>Notice</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459"/>
        </w:trPr>
        <w:tc>
          <w:tcPr>
            <w:tcW w:w="1046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VI THE COLLATERAL TRUSTEE; LOAN AGENT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12"/>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0000FF"/>
              </w:rPr>
              <w:t>Section 6.1</w:t>
            </w:r>
          </w:p>
        </w:tc>
        <w:tc>
          <w:tcPr>
            <w:tcW w:w="8360" w:type="dxa"/>
            <w:vAlign w:val="bottom"/>
          </w:tcPr>
          <w:p>
            <w:pPr>
              <w:ind w:left="840"/>
              <w:spacing w:after="0"/>
              <w:rPr>
                <w:sz w:val="20"/>
                <w:szCs w:val="20"/>
                <w:color w:val="auto"/>
              </w:rPr>
            </w:pPr>
            <w:r>
              <w:rPr>
                <w:rFonts w:ascii="Times New Roman" w:cs="Times New Roman" w:eastAsia="Times New Roman" w:hAnsi="Times New Roman"/>
                <w:sz w:val="22"/>
                <w:szCs w:val="22"/>
                <w:color w:val="0000FF"/>
              </w:rPr>
              <w:t>Collateral Trustee</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6.2</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Appointment of the Loan Agent; Nature of Duties</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6.3</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Certain Rights of the Loan Agent</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6.4</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Not Responsible for Recitals or Borrowing of Secured Loans</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6.5</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May Be a Lender</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6.6</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Compensation and Reimbursement</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6.7</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Loan Agent Required; Eligibility</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6.8</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Resignation and Removal of Loan Agent; Appointment of Successor</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6.9</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Acceptance of Appointment by Successor Agent</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6.10</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Merger, Conversion, Consolidation or Succession to Business of the Loan Agent</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6.11</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Representations and Warranties of the Loan Agent</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6.12</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USA PATRIOT Act</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6.13</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Withholding</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r>
      <w:tr>
        <w:trPr>
          <w:trHeight w:val="282"/>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0000FF"/>
              </w:rPr>
              <w:t>Section 6.14</w:t>
            </w:r>
          </w:p>
        </w:tc>
        <w:tc>
          <w:tcPr>
            <w:tcW w:w="8360" w:type="dxa"/>
            <w:vAlign w:val="bottom"/>
          </w:tcPr>
          <w:p>
            <w:pPr>
              <w:ind w:left="840"/>
              <w:spacing w:after="0"/>
              <w:rPr>
                <w:sz w:val="20"/>
                <w:szCs w:val="20"/>
                <w:color w:val="auto"/>
              </w:rPr>
            </w:pPr>
            <w:r>
              <w:rPr>
                <w:rFonts w:ascii="Times New Roman" w:cs="Times New Roman" w:eastAsia="Times New Roman" w:hAnsi="Times New Roman"/>
                <w:sz w:val="22"/>
                <w:szCs w:val="22"/>
                <w:color w:val="0000FF"/>
              </w:rPr>
              <w:t>Lack of Reliance on the Loan Agent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459"/>
        </w:trPr>
        <w:tc>
          <w:tcPr>
            <w:tcW w:w="1046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VII MISCELLANEOUS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12"/>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0000FF"/>
              </w:rPr>
              <w:t>Section 7.1</w:t>
            </w:r>
          </w:p>
        </w:tc>
        <w:tc>
          <w:tcPr>
            <w:tcW w:w="8360" w:type="dxa"/>
            <w:vAlign w:val="bottom"/>
          </w:tcPr>
          <w:p>
            <w:pPr>
              <w:ind w:left="840"/>
              <w:spacing w:after="0"/>
              <w:rPr>
                <w:sz w:val="20"/>
                <w:szCs w:val="20"/>
                <w:color w:val="auto"/>
              </w:rPr>
            </w:pPr>
            <w:r>
              <w:rPr>
                <w:rFonts w:ascii="Times New Roman" w:cs="Times New Roman" w:eastAsia="Times New Roman" w:hAnsi="Times New Roman"/>
                <w:sz w:val="22"/>
                <w:szCs w:val="22"/>
                <w:color w:val="0000FF"/>
              </w:rPr>
              <w:t>Payment of Indemnification, etc.</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7.2</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Right of Setoff</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7.3</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Notices</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7.4</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Benefit of Agreement</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7.5</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No Waiver; Remedies Cumulative</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7.6</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Payments Pro Rata</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7.7</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Governing Law; Submission to Jurisdiction; Venue; Waiver of Jury Trial</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7.8</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Counterparts</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7.9</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Effectiveness</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7.10</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Headings Descriptive</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7.11</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Amendment or Waiver</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7.12</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Survival</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7.13</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Domicile of Lender</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7.14</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Lenders May Hold Notes</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7.15</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Loan Register; Participant Register</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7.16</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[Reserved]</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21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0000FF"/>
              </w:rPr>
              <w:t>Section 7.17</w:t>
            </w:r>
          </w:p>
        </w:tc>
        <w:tc>
          <w:tcPr>
            <w:tcW w:w="8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Lender Representations, etc.</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82"/>
        </w:trPr>
        <w:tc>
          <w:tcPr>
            <w:tcW w:w="2100" w:type="dxa"/>
            <w:vAlign w:val="bottom"/>
          </w:tcPr>
          <w:p>
            <w:pPr>
              <w:ind w:left="200"/>
              <w:spacing w:after="0"/>
              <w:rPr>
                <w:sz w:val="20"/>
                <w:szCs w:val="20"/>
                <w:color w:val="auto"/>
              </w:rPr>
            </w:pPr>
            <w:r>
              <w:rPr>
                <w:rFonts w:ascii="Times New Roman" w:cs="Times New Roman" w:eastAsia="Times New Roman" w:hAnsi="Times New Roman"/>
                <w:sz w:val="22"/>
                <w:szCs w:val="22"/>
                <w:color w:val="0000FF"/>
              </w:rPr>
              <w:t>Section 7.18</w:t>
            </w:r>
          </w:p>
        </w:tc>
        <w:tc>
          <w:tcPr>
            <w:tcW w:w="8360" w:type="dxa"/>
            <w:vAlign w:val="bottom"/>
          </w:tcPr>
          <w:p>
            <w:pPr>
              <w:ind w:left="840"/>
              <w:spacing w:after="0"/>
              <w:rPr>
                <w:sz w:val="20"/>
                <w:szCs w:val="20"/>
                <w:color w:val="auto"/>
              </w:rPr>
            </w:pPr>
            <w:r>
              <w:rPr>
                <w:rFonts w:ascii="Times New Roman" w:cs="Times New Roman" w:eastAsia="Times New Roman" w:hAnsi="Times New Roman"/>
                <w:sz w:val="22"/>
                <w:szCs w:val="22"/>
                <w:color w:val="0000FF"/>
              </w:rPr>
              <w:t>No Petition; Non-Recourse Obligations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bl>
    <w:p>
      <w:pPr>
        <w:spacing w:after="0" w:line="3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98" w:right="359" w:bottom="1440" w:gutter="0" w:footer="0" w:header="0"/>
        </w:sectPr>
      </w:pPr>
    </w:p>
    <w:bookmarkStart w:id="323" w:name="page324"/>
    <w:bookmarkEnd w:id="323"/>
    <w:tbl>
      <w:tblPr>
        <w:tblLayout w:type="fixed"/>
        <w:tblInd w:w="220" w:type="dxa"/>
        <w:tblCellMar>
          <w:top w:w="0" w:type="dxa"/>
          <w:left w:w="0" w:type="dxa"/>
          <w:bottom w:w="0" w:type="dxa"/>
          <w:right w:w="0" w:type="dxa"/>
        </w:tblCellMar>
      </w:tblPr>
      <w:tr>
        <w:trPr>
          <w:trHeight w:val="253"/>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0000FF"/>
              </w:rPr>
              <w:t>Section 7.19</w:t>
            </w:r>
          </w:p>
        </w:tc>
        <w:tc>
          <w:tcPr>
            <w:tcW w:w="7980" w:type="dxa"/>
            <w:vAlign w:val="bottom"/>
          </w:tcPr>
          <w:p>
            <w:pPr>
              <w:ind w:left="840"/>
              <w:spacing w:after="0"/>
              <w:rPr>
                <w:sz w:val="20"/>
                <w:szCs w:val="20"/>
                <w:color w:val="auto"/>
              </w:rPr>
            </w:pPr>
            <w:r>
              <w:rPr>
                <w:rFonts w:ascii="Times New Roman" w:cs="Times New Roman" w:eastAsia="Times New Roman" w:hAnsi="Times New Roman"/>
                <w:sz w:val="22"/>
                <w:szCs w:val="22"/>
                <w:color w:val="0000FF"/>
              </w:rPr>
              <w:t>Acknowledgment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43"/>
        </w:trPr>
        <w:tc>
          <w:tcPr>
            <w:tcW w:w="1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Section 7.20</w:t>
            </w:r>
          </w:p>
        </w:tc>
        <w:tc>
          <w:tcPr>
            <w:tcW w:w="798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Limitation on Suits</w:t>
            </w: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Section 7.21</w:t>
            </w:r>
          </w:p>
        </w:tc>
        <w:tc>
          <w:tcPr>
            <w:tcW w:w="798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Unconditional Rights of Lenders to Receive Principal and Interest</w:t>
            </w: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Section 7.22</w:t>
            </w:r>
          </w:p>
        </w:tc>
        <w:tc>
          <w:tcPr>
            <w:tcW w:w="798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Termination of Agreement</w:t>
            </w: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Section 7.23</w:t>
            </w:r>
          </w:p>
        </w:tc>
        <w:tc>
          <w:tcPr>
            <w:tcW w:w="798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Separability</w:t>
            </w: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Section 7.24</w:t>
            </w:r>
          </w:p>
        </w:tc>
        <w:tc>
          <w:tcPr>
            <w:tcW w:w="798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CUSIP Global Service Loan Identifier</w:t>
            </w: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Section 7.25</w:t>
            </w:r>
          </w:p>
        </w:tc>
        <w:tc>
          <w:tcPr>
            <w:tcW w:w="798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Accounts</w:t>
            </w: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Section 7.26</w:t>
            </w:r>
          </w:p>
        </w:tc>
        <w:tc>
          <w:tcPr>
            <w:tcW w:w="798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Acknowledgement Regarding Any Supported QFCs</w:t>
            </w: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Section 7.27</w:t>
            </w:r>
          </w:p>
        </w:tc>
        <w:tc>
          <w:tcPr>
            <w:tcW w:w="798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0000FF"/>
              </w:rPr>
              <w:t>Acknowledgement and Consent to Bail-In of EEA Financial Institutions</w:t>
            </w: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82"/>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0000FF"/>
              </w:rPr>
              <w:t>Section 7.28</w:t>
            </w:r>
          </w:p>
        </w:tc>
        <w:tc>
          <w:tcPr>
            <w:tcW w:w="7980" w:type="dxa"/>
            <w:vAlign w:val="bottom"/>
          </w:tcPr>
          <w:p>
            <w:pPr>
              <w:ind w:left="840"/>
              <w:spacing w:after="0"/>
              <w:rPr>
                <w:sz w:val="20"/>
                <w:szCs w:val="20"/>
                <w:color w:val="auto"/>
              </w:rPr>
            </w:pPr>
            <w:r>
              <w:rPr>
                <w:rFonts w:ascii="Times New Roman" w:cs="Times New Roman" w:eastAsia="Times New Roman" w:hAnsi="Times New Roman"/>
                <w:sz w:val="22"/>
                <w:szCs w:val="22"/>
                <w:color w:val="0000FF"/>
              </w:rPr>
              <w:t>Conflict of Interest.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X Definitions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101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Form of Assignment Agreement</w:t>
            </w:r>
          </w:p>
        </w:tc>
      </w:tr>
      <w:tr>
        <w:trPr>
          <w:trHeight w:val="42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Schedule 1</w:t>
            </w:r>
          </w:p>
        </w:tc>
        <w:tc>
          <w:tcPr>
            <w:tcW w:w="101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Initial Lenders</w:t>
            </w: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Schedule 2</w:t>
            </w:r>
          </w:p>
        </w:tc>
        <w:tc>
          <w:tcPr>
            <w:tcW w:w="101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Addresses for Notices</w:t>
            </w:r>
          </w:p>
        </w:tc>
      </w:tr>
      <w:tr>
        <w:trPr>
          <w:trHeight w:val="621"/>
        </w:trPr>
        <w:tc>
          <w:tcPr>
            <w:tcW w:w="11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iii</w:t>
            </w:r>
          </w:p>
        </w:tc>
        <w:tc>
          <w:tcPr>
            <w:tcW w:w="10100" w:type="dxa"/>
            <w:vAlign w:val="bottom"/>
          </w:tcPr>
          <w:p>
            <w:pPr>
              <w:spacing w:after="0"/>
              <w:rPr>
                <w:sz w:val="24"/>
                <w:szCs w:val="24"/>
                <w:color w:val="auto"/>
              </w:rPr>
            </w:pPr>
          </w:p>
        </w:tc>
      </w:tr>
      <w:tr>
        <w:trPr>
          <w:trHeight w:val="994"/>
        </w:trPr>
        <w:tc>
          <w:tcPr>
            <w:tcW w:w="1140" w:type="dxa"/>
            <w:vAlign w:val="bottom"/>
            <w:tcBorders>
              <w:bottom w:val="single" w:sz="8" w:color="9A9A9A"/>
            </w:tcBorders>
          </w:tcPr>
          <w:p>
            <w:pPr>
              <w:spacing w:after="0"/>
              <w:rPr>
                <w:sz w:val="24"/>
                <w:szCs w:val="24"/>
                <w:color w:val="auto"/>
              </w:rPr>
            </w:pPr>
          </w:p>
        </w:tc>
        <w:tc>
          <w:tcPr>
            <w:tcW w:w="10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324" w:name="page325"/>
    <w:bookmarkEnd w:id="324"/>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CLASS A-1L-B CREDIT AGREEMENT</w:t>
      </w:r>
    </w:p>
    <w:p>
      <w:pPr>
        <w:spacing w:after="0" w:line="21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This CLASS A-1L-B CREDIT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February 20, 2025, is entered into by and among PENNANTPARK CLO 11, LLC, a Delaware limited liability company, as the borrower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(as defined below) from time to time party hereto and WESTERN ALLIANCE TRUST COMPANY, N.A., a national banking association (the “</w:t>
      </w:r>
      <w:r>
        <w:rPr>
          <w:rFonts w:ascii="Times New Roman" w:cs="Times New Roman" w:eastAsia="Times New Roman" w:hAnsi="Times New Roman"/>
          <w:sz w:val="22"/>
          <w:szCs w:val="22"/>
          <w:u w:val="single" w:color="auto"/>
          <w:color w:val="auto"/>
        </w:rPr>
        <w:t>Bank</w:t>
      </w:r>
      <w:r>
        <w:rPr>
          <w:rFonts w:ascii="Times New Roman" w:cs="Times New Roman" w:eastAsia="Times New Roman" w:hAnsi="Times New Roman"/>
          <w:sz w:val="22"/>
          <w:szCs w:val="22"/>
          <w:color w:val="auto"/>
        </w:rPr>
        <w:t>”), as loan agent (the “</w:t>
      </w:r>
      <w:r>
        <w:rPr>
          <w:rFonts w:ascii="Times New Roman" w:cs="Times New Roman" w:eastAsia="Times New Roman" w:hAnsi="Times New Roman"/>
          <w:sz w:val="22"/>
          <w:szCs w:val="22"/>
          <w:u w:val="single" w:color="auto"/>
          <w:color w:val="auto"/>
        </w:rPr>
        <w:t>Loan Agent</w:t>
      </w:r>
      <w:r>
        <w:rPr>
          <w:rFonts w:ascii="Times New Roman" w:cs="Times New Roman" w:eastAsia="Times New Roman" w:hAnsi="Times New Roman"/>
          <w:sz w:val="22"/>
          <w:szCs w:val="22"/>
          <w:color w:val="auto"/>
        </w:rPr>
        <w:t>”) and as collateral trustee under the Indenture (in such capacity, the “</w:t>
      </w:r>
      <w:r>
        <w:rPr>
          <w:rFonts w:ascii="Times New Roman" w:cs="Times New Roman" w:eastAsia="Times New Roman" w:hAnsi="Times New Roman"/>
          <w:sz w:val="22"/>
          <w:szCs w:val="22"/>
          <w:u w:val="single" w:color="auto"/>
          <w:color w:val="auto"/>
        </w:rPr>
        <w:t>Collateral Trustee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The terms of this Agreement, and the rights and obligations set forth hereunder, shall become effective as specified in </w:t>
      </w:r>
      <w:r>
        <w:rPr>
          <w:rFonts w:ascii="Times New Roman" w:cs="Times New Roman" w:eastAsia="Times New Roman" w:hAnsi="Times New Roman"/>
          <w:sz w:val="22"/>
          <w:szCs w:val="22"/>
          <w:u w:val="single" w:color="auto"/>
          <w:color w:val="auto"/>
        </w:rPr>
        <w:t>Section 7.9</w:t>
      </w:r>
      <w:r>
        <w:rPr>
          <w:rFonts w:ascii="Times New Roman" w:cs="Times New Roman" w:eastAsia="Times New Roman" w:hAnsi="Times New Roman"/>
          <w:sz w:val="22"/>
          <w:szCs w:val="22"/>
          <w:color w:val="auto"/>
        </w:rPr>
        <w:t xml:space="preserve"> hereof.</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WHEREAS, the Borrower is a limited liability company formed under the laws of the State of Delaware with powers to pursue a strategy of investing on a leveraged basis and acquiring, holding and disposing of a diversified pool of Collateral Obligations;</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WHEREAS, the Borrower will be issuing Notes under the Indenture, subject to the terms and conditions set forth therein, and will pledge as security for the Secured Notes, the Class A-1L-A Loans and the Secured Loans (as defined herein) all of the Assets, as set forth in the Indenture;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WHEREAS, the Borrower desires to borrow from the Lenders, subject to the terms and conditions set forth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herein; and</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WHEREAS, the Lenders are willing to extend the Secured Loans, on the terms and conditions hereinafter set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forth;</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NOW, THEREFORE, the parties hereto, intending to be legally bound hereby as of the Closing Date, agree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 AND INTERPRETATION</w:t>
      </w:r>
    </w:p>
    <w:p>
      <w:pPr>
        <w:spacing w:after="0" w:line="21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Certain capitalized terms used in this Agreement shall have the respective meanings set forth in Annex X hereto. As used in this Agreement, and unless the context requires a different meaning, capitalized terms used but not defined herein (including in Annex X hereto) shall have the respective meanings set forth in the Indenture. In the event of any inconsistency between the definition of any term as set forth herein and the definition for such term as set forth in the Indenture, the definition for such term as set forth in the Indenture shall control.</w:t>
      </w:r>
    </w:p>
    <w:p>
      <w:pPr>
        <w:spacing w:after="0" w:line="177"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Use of Defined Terms</w:t>
      </w:r>
      <w:r>
        <w:rPr>
          <w:rFonts w:ascii="Times New Roman" w:cs="Times New Roman" w:eastAsia="Times New Roman" w:hAnsi="Times New Roman"/>
          <w:sz w:val="22"/>
          <w:szCs w:val="22"/>
          <w:color w:val="auto"/>
        </w:rPr>
        <w:t>. Unless otherwise defined or the context otherwise requires, terms for which meanings are provided in this Agreement shall have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meanings when used in each Assignment Agreement, notice and other communication delivered from time to time in connection with this Agreement or any other Credit Document.</w:t>
      </w:r>
    </w:p>
    <w:p>
      <w:pPr>
        <w:spacing w:after="0" w:line="158"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In this Agreement, unless a clear contrary intention appears:</w:t>
      </w:r>
    </w:p>
    <w:p>
      <w:pPr>
        <w:spacing w:after="0" w:line="206" w:lineRule="exact"/>
        <w:rPr>
          <w:sz w:val="20"/>
          <w:szCs w:val="20"/>
          <w:color w:val="auto"/>
        </w:rPr>
      </w:pPr>
    </w:p>
    <w:p>
      <w:pPr>
        <w:ind w:left="1940" w:hanging="435"/>
        <w:spacing w:after="0"/>
        <w:tabs>
          <w:tab w:leader="none" w:pos="1940"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singular number includes the plural number and vice versa;</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any Person includes such Person’s successors and assigns but, if applicable, only if such successors and assigns are permitted by this Agreement, and reference to a Person in a particular capacity excludes such Person in any other capacity or individually;</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any gender includes each other gender;</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any agreement (including this Agreement and the Annex, Exhibits and Schedules hereto), document or instrument means such agreement, document or instrument as amended or modified and in effect from time to time in accordance with the terms thereof and, if applicable, the terms hereof and reference to any promissory note includes any promissory note which is an extension or renewal thereof or a substitute or replacement therefor;</w:t>
      </w:r>
    </w:p>
    <w:p>
      <w:pPr>
        <w:spacing w:after="0" w:line="180"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any applicable law means such applicable law as amended, modified, codified or reenacted, in whole or in part, and in effect from time to time, including rules and regulations promulgated thereunder;</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context indicates otherwise, reference to any Article, Section, Schedule, Annex or Exhibit means such Article, Section or Schedule hereof or Annex or Exhibit hereto;</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“hereunder,” “hereof,” “hereto,” “herein” and words of similar import shall be deemed references to this Agreement as a whole and not to any particular Article, Section or other provision hereof;</w:t>
      </w:r>
    </w:p>
    <w:p>
      <w:pPr>
        <w:spacing w:after="0" w:line="158"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(and with correlative meaning “include”) means including without limiting the generality of any description preceding such term;</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relative to the determination of any period of time, “from” means “from and including,” “to” means “to but excluding,” and “through” means “through and including”; and</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 to any rating by a Rating Agency includes any equivalent rating in a successor rating category of</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such Rating Agency.</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Accounting Matters</w:t>
      </w:r>
      <w:r>
        <w:rPr>
          <w:rFonts w:ascii="Times New Roman" w:cs="Times New Roman" w:eastAsia="Times New Roman" w:hAnsi="Times New Roman"/>
          <w:sz w:val="22"/>
          <w:szCs w:val="22"/>
          <w:color w:val="auto"/>
        </w:rPr>
        <w:t>. For purposes of this Agreement, all accounting terms not otherwise defined herein shall have the meanings assigned to them in conformity with GAAP.</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Conflict between Credit Documents</w:t>
      </w:r>
      <w:r>
        <w:rPr>
          <w:rFonts w:ascii="Times New Roman" w:cs="Times New Roman" w:eastAsia="Times New Roman" w:hAnsi="Times New Roman"/>
          <w:sz w:val="22"/>
          <w:szCs w:val="22"/>
          <w:color w:val="auto"/>
        </w:rPr>
        <w:t>. If there is any conflict between this Agreement and the Indenture or any other Credit Document, this Agreement, the Indenture and such other Credit Document shall be interpreted and construed, if possible, so as to avoid or</w:t>
      </w:r>
    </w:p>
    <w:p>
      <w:pPr>
        <w:spacing w:after="0" w:line="3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minimize such conflict but, to the extent (and only to the extent) of such conflict, the Indenture shall prevail and control and in the case and to the extent of any other conflict between this Agreement and any Credit Document, this Agreement shall prevail and control.</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Legal Representation of the Parties</w:t>
      </w:r>
      <w:r>
        <w:rPr>
          <w:rFonts w:ascii="Times New Roman" w:cs="Times New Roman" w:eastAsia="Times New Roman" w:hAnsi="Times New Roman"/>
          <w:sz w:val="22"/>
          <w:szCs w:val="22"/>
          <w:color w:val="auto"/>
        </w:rPr>
        <w:t>. This Agreement was negotiated by the parties with the benefit of legal representation and any rule of construction or interpretation otherwise requiring this Agreement or any other Credit Document to be construed or interpreted against any party shall not apply to any construction or interpretation hereof or thereof.</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SECURED LOANS; PAYMENTS</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Commitment of Each Lender</w:t>
      </w:r>
      <w:r>
        <w:rPr>
          <w:rFonts w:ascii="Times New Roman" w:cs="Times New Roman" w:eastAsia="Times New Roman" w:hAnsi="Times New Roman"/>
          <w:sz w:val="22"/>
          <w:szCs w:val="22"/>
          <w:color w:val="auto"/>
        </w:rPr>
        <w:t>. (a) Each Initial Lender shall, on the Closing Date and subject to the terms and conditions hereof, severally, but not jointly, make a term loan (each a “</w:t>
      </w:r>
      <w:r>
        <w:rPr>
          <w:rFonts w:ascii="Times New Roman" w:cs="Times New Roman" w:eastAsia="Times New Roman" w:hAnsi="Times New Roman"/>
          <w:sz w:val="22"/>
          <w:szCs w:val="22"/>
          <w:u w:val="single" w:color="auto"/>
          <w:color w:val="auto"/>
        </w:rPr>
        <w:t>Class A-1L-B Loan</w:t>
      </w:r>
      <w:r>
        <w:rPr>
          <w:rFonts w:ascii="Times New Roman" w:cs="Times New Roman" w:eastAsia="Times New Roman" w:hAnsi="Times New Roman"/>
          <w:sz w:val="22"/>
          <w:szCs w:val="22"/>
          <w:color w:val="auto"/>
        </w:rPr>
        <w:t>” and all Class A-1L-B Loans herein referred to as the “</w:t>
      </w:r>
      <w:r>
        <w:rPr>
          <w:rFonts w:ascii="Times New Roman" w:cs="Times New Roman" w:eastAsia="Times New Roman" w:hAnsi="Times New Roman"/>
          <w:sz w:val="22"/>
          <w:szCs w:val="22"/>
          <w:u w:val="single" w:color="auto"/>
          <w:color w:val="auto"/>
        </w:rPr>
        <w:t>Secured Loans</w:t>
      </w:r>
      <w:r>
        <w:rPr>
          <w:rFonts w:ascii="Times New Roman" w:cs="Times New Roman" w:eastAsia="Times New Roman" w:hAnsi="Times New Roman"/>
          <w:sz w:val="22"/>
          <w:szCs w:val="22"/>
          <w:color w:val="auto"/>
        </w:rPr>
        <w:t xml:space="preserve">”) to the Borrower in a principal amount equal to the Initial Principal Amount set forth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505"/>
        <w:spacing w:after="0" w:line="264" w:lineRule="exact"/>
        <w:tabs>
          <w:tab w:leader="none" w:pos="1929"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Closing Date, the proceeds of the Secured Loans will be provided as instructed by the Borrower. Each Secured Loan shall be denominated in Dollars. Subject to the terms hereof and the Priority of Payments, the Borrower may from time to time prepay the Secured Loans without premium or penalty in accordance with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may not borrow or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borrow any Secured Loans after prepayment or repayment thereof.</w:t>
      </w:r>
    </w:p>
    <w:p>
      <w:pPr>
        <w:spacing w:after="0" w:line="147" w:lineRule="exact"/>
        <w:rPr>
          <w:sz w:val="20"/>
          <w:szCs w:val="20"/>
          <w:color w:val="auto"/>
        </w:rPr>
      </w:pPr>
    </w:p>
    <w:p>
      <w:pPr>
        <w:ind w:left="1500"/>
        <w:spacing w:after="0"/>
        <w:tabs>
          <w:tab w:leader="none" w:pos="2800" w:val="left"/>
        </w:tabs>
        <w:rPr>
          <w:sz w:val="20"/>
          <w:szCs w:val="20"/>
          <w:color w:val="auto"/>
        </w:rPr>
      </w:pPr>
      <w:r>
        <w:rPr>
          <w:rFonts w:ascii="Times New Roman" w:cs="Times New Roman" w:eastAsia="Times New Roman" w:hAnsi="Times New Roman"/>
          <w:sz w:val="22"/>
          <w:szCs w:val="22"/>
          <w:color w:val="auto"/>
        </w:rPr>
        <w:t>Section 2.2</w:t>
      </w:r>
      <w:r>
        <w:rPr>
          <w:sz w:val="20"/>
          <w:szCs w:val="20"/>
          <w:color w:val="auto"/>
        </w:rPr>
        <w:tab/>
      </w:r>
      <w:r>
        <w:rPr>
          <w:rFonts w:ascii="Times New Roman" w:cs="Times New Roman" w:eastAsia="Times New Roman" w:hAnsi="Times New Roman"/>
          <w:sz w:val="22"/>
          <w:szCs w:val="22"/>
          <w:u w:val="single" w:color="auto"/>
          <w:color w:val="auto"/>
        </w:rPr>
        <w:t>Borrowing Procedure</w:t>
      </w:r>
      <w:r>
        <w:rPr>
          <w:rFonts w:ascii="Times New Roman" w:cs="Times New Roman" w:eastAsia="Times New Roman" w:hAnsi="Times New Roman"/>
          <w:sz w:val="22"/>
          <w:szCs w:val="22"/>
          <w:color w:val="auto"/>
        </w:rPr>
        <w:t>.  Borrowings under the Secured Loans shall be made in accordance with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1505"/>
        <w:spacing w:after="0" w:line="239" w:lineRule="auto"/>
        <w:tabs>
          <w:tab w:leader="none" w:pos="1929"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Funding of the Borrowings</w:t>
      </w:r>
      <w:r>
        <w:rPr>
          <w:rFonts w:ascii="Times New Roman" w:cs="Times New Roman" w:eastAsia="Times New Roman" w:hAnsi="Times New Roman"/>
          <w:sz w:val="22"/>
          <w:szCs w:val="22"/>
          <w:color w:val="auto"/>
        </w:rPr>
        <w:t>. Not later than 10:00 a.m. (New York time) on the Closing Date, each Initial Lender shall pay the amount specified on Schedule 1 in relation to the funding of its Class A-1L-B Loan in Dollars and in immediately available funds to the Collateral Trustee. The Collateral Trustee shall apply such amounts as directed by the Borrower on the Closing Date.</w:t>
      </w:r>
    </w:p>
    <w:p>
      <w:pPr>
        <w:spacing w:after="0" w:line="180"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43"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Borrowings</w:t>
      </w:r>
      <w:r>
        <w:rPr>
          <w:rFonts w:ascii="Times New Roman" w:cs="Times New Roman" w:eastAsia="Times New Roman" w:hAnsi="Times New Roman"/>
          <w:sz w:val="22"/>
          <w:szCs w:val="22"/>
          <w:color w:val="auto"/>
        </w:rPr>
        <w:t xml:space="preserve">. On any Business Day, the Borrower may, in accordance with the conditions set forth in Section 2.13 of the Indenture and in connection with an issuance of additional Notes pursuant thereto, borrow under Additional Loans. Such Additional Loans shall be subject to the conditions set forth in Section 2.13 of the Indenture, and may only be borrowed (i) if such conditions have been met and (ii) if the making of such Additional Loans and the principal amount thereof is specified in a Conforming Amendment to this Agreement that is acknowledged by the Loan Agent and the Collateral Trustee. The opportunity to act as Lender with respect to such Additional Loans will, to the extent reasonably practicable, be provided first to the existing Lenders in such amounts as are necessary to preserve their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of the Secured Loans. If a Person that was not previously a party to this Agreement extends any such Additional Loan, it will be required to be made a party to this Agreement by executing the amendment reflecting the terms of such Additional Loans and adding such Person as a Lender. The terms of such Additional Loans must be identical to the terms of the Initial Loans except that</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interest due on Additional Loans will accrue from the date such Additional Loan is made and Additional Loans may have a different interest rate than the Initial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spread over the Benchmark of any such Additional Loan will not be greater than the spread over the Benchmark applicable to the Initial Loans. This Agreement will be amended to reflect the terms of any Additional Loans in accordance with </w:t>
      </w:r>
      <w:r>
        <w:rPr>
          <w:rFonts w:ascii="Times New Roman" w:cs="Times New Roman" w:eastAsia="Times New Roman" w:hAnsi="Times New Roman"/>
          <w:sz w:val="22"/>
          <w:szCs w:val="22"/>
          <w:u w:val="single" w:color="auto"/>
          <w:color w:val="auto"/>
        </w:rPr>
        <w:t>Section 7.11(b)</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u w:val="single" w:color="auto"/>
          <w:color w:val="auto"/>
        </w:rPr>
        <w:t>Principal Payments and Prepayments.</w:t>
      </w:r>
    </w:p>
    <w:p>
      <w:pPr>
        <w:spacing w:after="0" w:line="206" w:lineRule="exact"/>
        <w:rPr>
          <w:sz w:val="20"/>
          <w:szCs w:val="20"/>
          <w:color w:val="auto"/>
        </w:rPr>
      </w:pPr>
    </w:p>
    <w:p>
      <w:pPr>
        <w:jc w:val="both"/>
        <w:ind w:firstLine="1505"/>
        <w:spacing w:after="0" w:line="238" w:lineRule="auto"/>
        <w:tabs>
          <w:tab w:leader="none" w:pos="1943"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Principal Payments</w:t>
      </w:r>
      <w:r>
        <w:rPr>
          <w:rFonts w:ascii="Times New Roman" w:cs="Times New Roman" w:eastAsia="Times New Roman" w:hAnsi="Times New Roman"/>
          <w:sz w:val="22"/>
          <w:szCs w:val="22"/>
          <w:color w:val="auto"/>
        </w:rPr>
        <w:t>. Unless principal on a Secured Loan becomes due and payable at an earlier date by acceleration, prepayment or otherwise, all unpaid principal of the Secured Loans shall be due and payable on the Stated Maturity. In addition, the Borrower shall make payments of unpaid principal of each Secured Loan on each Payment Date after the Reinvestment Period to the extent provided in the Priority of Payments. Any such payments of principal will be paid to the Loan Agent for payment to the Lenders in accordance with the Priority of Payments.</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43"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Prepayments</w:t>
      </w:r>
      <w:r>
        <w:rPr>
          <w:rFonts w:ascii="Times New Roman" w:cs="Times New Roman" w:eastAsia="Times New Roman" w:hAnsi="Times New Roman"/>
          <w:sz w:val="22"/>
          <w:szCs w:val="22"/>
          <w:color w:val="auto"/>
        </w:rPr>
        <w:t>. Subject to the limitations set forth in the Indenture, on any Payment Date or Redemption Date, prepayments of principal may be made on the Secured Loans in the event of redemptions or prepayments pursuant to the Indenture, including in connection with a failure of a Coverage Test, in connection with a Special Redemption, Optional Redemption (including, without limitation, a Refinancing) or Tax Redemption. Any such prepayments will be paid to the Loan Agent for payment to the Lenders in accordance with the Priority of Payments.</w:t>
      </w:r>
    </w:p>
    <w:p>
      <w:pPr>
        <w:spacing w:after="0" w:line="176"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Secured Loans that are prepaid in connection with an Optional Redemption or Tax Redemption will receive the Redemption Price of such Secured Loans, in each case, in accordance with the Indenture.</w:t>
      </w:r>
    </w:p>
    <w:p>
      <w:pPr>
        <w:spacing w:after="0" w:line="15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(a) Interest on the Secured Loans shall be due and payable in arrears on each Payment Date in accordance with the Priority of Payments.</w:t>
      </w:r>
    </w:p>
    <w:p>
      <w:pPr>
        <w:spacing w:after="0" w:line="158" w:lineRule="exact"/>
        <w:rPr>
          <w:sz w:val="20"/>
          <w:szCs w:val="20"/>
          <w:color w:val="auto"/>
        </w:rPr>
      </w:pPr>
    </w:p>
    <w:p>
      <w:pPr>
        <w:jc w:val="both"/>
        <w:ind w:firstLine="1505"/>
        <w:spacing w:after="0" w:line="235" w:lineRule="auto"/>
        <w:tabs>
          <w:tab w:leader="none" w:pos="1929"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due and payable on each Secured Loan on each Payment Date will be an amount calculated for the related Interest Accrual Period equal to the product of (i) the Aggregate Outstanding Amount of such Secured Loan on the preceding Payment Date (after giving effect to payments of principal made on such preceding Payment Date and all prior Payment Dates), (ii) the Benchmark for the Interest Accrual Period plus the Applicable Margin and (iii) the actual number of days during the Interest Accrual Period divided by 360. The Benchmark with respect to any Interest Accrual Period (or portion thereof) shall be determined as provided in the Indenture. To the extent lawful and enforceable, interest shall accrue on any interest that remains unpaid and is due and payable on any Payment Date at the same rate applicable to unpaid principal for each Interest Accrual Period.</w:t>
      </w:r>
    </w:p>
    <w:p>
      <w:pPr>
        <w:spacing w:after="0" w:line="178"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otherwise directed in writing by the Loan Agent (at the direction of the applicable Lender or Lenders required by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the Borrower shall make all payments of interest to the Loan Agent for the account of each Lender in accordance with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hereby consent to the initial appointment of the Collateral Administrator under the Indenture to serve as the Calculation Agent under this Agreement. All</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computations of interest hereunder shall be made by the Calculation Agent in accordance with </w:t>
      </w:r>
      <w:r>
        <w:rPr>
          <w:rFonts w:ascii="Times New Roman" w:cs="Times New Roman" w:eastAsia="Times New Roman" w:hAnsi="Times New Roman"/>
          <w:sz w:val="22"/>
          <w:szCs w:val="22"/>
          <w:u w:val="single" w:color="auto"/>
          <w:color w:val="auto"/>
        </w:rPr>
        <w:t>Section 2.4(b)</w:t>
      </w:r>
      <w:r>
        <w:rPr>
          <w:rFonts w:ascii="Times New Roman" w:cs="Times New Roman" w:eastAsia="Times New Roman" w:hAnsi="Times New Roman"/>
          <w:sz w:val="22"/>
          <w:szCs w:val="22"/>
          <w:color w:val="auto"/>
        </w:rPr>
        <w:t xml:space="preserve"> hereof and Section 7.16 of the Indenture.</w:t>
      </w:r>
    </w:p>
    <w:p>
      <w:pPr>
        <w:spacing w:after="0" w:line="158"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In no event shall the rate of interest applicable to any Secured Loan exceed the maximum rate permitted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applicable law.</w:t>
      </w:r>
    </w:p>
    <w:p>
      <w:pPr>
        <w:spacing w:after="0" w:line="148" w:lineRule="exact"/>
        <w:rPr>
          <w:sz w:val="20"/>
          <w:szCs w:val="20"/>
          <w:color w:val="auto"/>
        </w:rPr>
      </w:pPr>
    </w:p>
    <w:p>
      <w:pPr>
        <w:ind w:left="1500"/>
        <w:spacing w:after="0" w:line="253" w:lineRule="exact"/>
        <w:tabs>
          <w:tab w:leader="none" w:pos="2780" w:val="left"/>
        </w:tabs>
        <w:rPr>
          <w:sz w:val="20"/>
          <w:szCs w:val="20"/>
          <w:color w:val="auto"/>
        </w:rPr>
      </w:pPr>
      <w:r>
        <w:rPr>
          <w:rFonts w:ascii="Times New Roman" w:cs="Times New Roman" w:eastAsia="Times New Roman" w:hAnsi="Times New Roman"/>
          <w:sz w:val="22"/>
          <w:szCs w:val="22"/>
          <w:color w:val="auto"/>
        </w:rPr>
        <w:t>Section 2.5</w:t>
      </w:r>
      <w:r>
        <w:rPr>
          <w:sz w:val="20"/>
          <w:szCs w:val="20"/>
          <w:color w:val="auto"/>
        </w:rPr>
        <w:tab/>
      </w:r>
      <w:r>
        <w:rPr>
          <w:rFonts w:ascii="Times New Roman" w:cs="Times New Roman" w:eastAsia="Times New Roman" w:hAnsi="Times New Roman"/>
          <w:sz w:val="21"/>
          <w:szCs w:val="21"/>
          <w:u w:val="single" w:color="auto"/>
          <w:color w:val="auto"/>
        </w:rPr>
        <w:t>Re</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Pricing of the Secured Loans</w:t>
      </w:r>
      <w:r>
        <w:rPr>
          <w:rFonts w:ascii="Times New Roman" w:cs="Times New Roman" w:eastAsia="Times New Roman" w:hAnsi="Times New Roman"/>
          <w:sz w:val="21"/>
          <w:szCs w:val="21"/>
          <w:color w:val="auto"/>
        </w:rPr>
        <w:t>. The Secured Loans may not be re-priced.</w:t>
      </w:r>
    </w:p>
    <w:p>
      <w:pPr>
        <w:spacing w:after="0" w:line="254"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 xml:space="preserve">Section 2.6 </w:t>
      </w:r>
      <w:r>
        <w:rPr>
          <w:rFonts w:ascii="Times New Roman" w:cs="Times New Roman" w:eastAsia="Times New Roman" w:hAnsi="Times New Roman"/>
          <w:sz w:val="21"/>
          <w:szCs w:val="21"/>
          <w:u w:val="single" w:color="auto"/>
          <w:color w:val="auto"/>
        </w:rPr>
        <w:t>Method and Place of Payment</w:t>
      </w:r>
      <w:r>
        <w:rPr>
          <w:rFonts w:ascii="Times New Roman" w:cs="Times New Roman" w:eastAsia="Times New Roman" w:hAnsi="Times New Roman"/>
          <w:sz w:val="21"/>
          <w:szCs w:val="21"/>
          <w:color w:val="auto"/>
        </w:rPr>
        <w:t xml:space="preserve">. (a) To the extent that funds are available pursuant to the Priority of Payments, all payments by the Borrower in respect of Secured Loans hereunder and all fees hereunder shall be made in Dollars. Except as otherwise specifically provided herein, unless otherwise directed in writing by the Loan Agent (acting at the written direction of 100% of the Lenders) to the Collateral Trustee, all payments under this Agreement shall be made to the Loan Agent for the ratable (based on their applicable Percentages) account of the Lenders entitled thereto (which funds, if delivered to the Loan Agent, the Loan Agent shall promptly forward to such Lenders), on the date when due and shall be made in immediately available funds to the account with the wire instructions specified in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(or in the Assignment Agreement, as applicable). Each Lender may direct the Loan Agent to direct the Borrower to make payments directly to such Lender or as otherwise designated by such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shall not be bound to make such payments directly to such Lender until directed in writing by the Loan Agent. Whenever any payment to be made hereunder shall be stated to be due on a day that is not a Business Day, the due date thereof shall be extended to the succeeding Business Day and, with respect to payments of principal, interest shall accrue during such extension at the applicable rate in effect immediately prior to such extension. For the avoidance of doubt, all payments by the Borrower of principal and interest in respect of Secured Loans, or any other amounts owed to a Lender hereunder, payable on a Payment Date shall be made to the Lender of record identified in the Loan Register;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all or a portion of the Secured Loan has been assigned pursuant to </w:t>
      </w:r>
      <w:r>
        <w:rPr>
          <w:rFonts w:ascii="Times New Roman" w:cs="Times New Roman" w:eastAsia="Times New Roman" w:hAnsi="Times New Roman"/>
          <w:sz w:val="21"/>
          <w:szCs w:val="21"/>
          <w:u w:val="single" w:color="auto"/>
          <w:color w:val="auto"/>
        </w:rPr>
        <w:t>Section 7.4(c)</w:t>
      </w:r>
      <w:r>
        <w:rPr>
          <w:rFonts w:ascii="Times New Roman" w:cs="Times New Roman" w:eastAsia="Times New Roman" w:hAnsi="Times New Roman"/>
          <w:sz w:val="21"/>
          <w:szCs w:val="21"/>
          <w:color w:val="auto"/>
        </w:rPr>
        <w:t xml:space="preserve"> below since the first date of the corresponding Interest Accrual Period, the Loan Agent shall allocate payments in respect of such Secured Loan to the assignor of such Secured Loan and the assignee of such Secured Loan based on the actual number of days on which such assignor and assignee were registered, respectively, as the Lender in the Loan Register during such Interest Accrual Period.</w:t>
      </w:r>
    </w:p>
    <w:p>
      <w:pPr>
        <w:spacing w:after="0" w:line="189"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2.7</w:t>
      </w:r>
      <w:r>
        <w:rPr>
          <w:sz w:val="20"/>
          <w:szCs w:val="20"/>
          <w:color w:val="auto"/>
        </w:rPr>
        <w:tab/>
      </w:r>
      <w:r>
        <w:rPr>
          <w:rFonts w:ascii="Times New Roman" w:cs="Times New Roman" w:eastAsia="Times New Roman" w:hAnsi="Times New Roman"/>
          <w:sz w:val="21"/>
          <w:szCs w:val="21"/>
          <w:u w:val="single" w:color="auto"/>
          <w:color w:val="auto"/>
        </w:rPr>
        <w:t>Subordination.</w:t>
      </w:r>
    </w:p>
    <w:p>
      <w:pPr>
        <w:spacing w:after="0" w:line="206" w:lineRule="exact"/>
        <w:rPr>
          <w:sz w:val="20"/>
          <w:szCs w:val="20"/>
          <w:color w:val="auto"/>
        </w:rPr>
      </w:pPr>
    </w:p>
    <w:p>
      <w:pPr>
        <w:jc w:val="both"/>
        <w:ind w:firstLine="1505"/>
        <w:spacing w:after="0" w:line="239" w:lineRule="auto"/>
        <w:tabs>
          <w:tab w:leader="none" w:pos="1943"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Subordination Provisions of the Indenture</w:t>
      </w:r>
      <w:r>
        <w:rPr>
          <w:rFonts w:ascii="Times New Roman" w:cs="Times New Roman" w:eastAsia="Times New Roman" w:hAnsi="Times New Roman"/>
          <w:sz w:val="22"/>
          <w:szCs w:val="22"/>
          <w:color w:val="auto"/>
        </w:rPr>
        <w:t>. All Secured Loans incurred pursuant to this Agreement are subject to, and each Lender hereby consents and agrees to, the subordination and remedy provisions set forth in Article XIII of the Indenture. Article XIII of the Indenture shall be binding upon each Lender as if such article (and the corresponding defined terms) had been set forth herein in its entirety.</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acknowledges and agrees that all of its Secured Loans are subject to the terms and conditions of this Agreement and the Indenture. Each Lender hereby agrees and acknowledges that its right to any payment shall be subordinate and junior to certain other payment obligations senior in right of payment as provided in the Priority of Payments (collectively, the “</w:t>
      </w:r>
      <w:r>
        <w:rPr>
          <w:rFonts w:ascii="Times New Roman" w:cs="Times New Roman" w:eastAsia="Times New Roman" w:hAnsi="Times New Roman"/>
          <w:sz w:val="22"/>
          <w:szCs w:val="22"/>
          <w:u w:val="single" w:color="auto"/>
          <w:color w:val="auto"/>
        </w:rPr>
        <w:t>Senior Items</w:t>
      </w:r>
      <w:r>
        <w:rPr>
          <w:rFonts w:ascii="Times New Roman" w:cs="Times New Roman" w:eastAsia="Times New Roman" w:hAnsi="Times New Roman"/>
          <w:sz w:val="22"/>
          <w:szCs w:val="22"/>
          <w:color w:val="auto"/>
        </w:rPr>
        <w:t>”). In the event that, notwithstanding the provisions of this</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Agreement and the Indenture, any Lender shall have received any payment or distribution in respect of its Secured Loans contrary to the provisions of the Indenture or this Agreement, then, unless and until each Senior Item shall have been paid in full in Cash (or, to the extent permitted under the Indenture other than in Cash), such payment or distribution shall be received and held in trust for the benefit of, and shall forthwith be paid over and delivered to, the Collateral Trustee, which shall pay and deliver the same in respect of such Senior Items in accordance with the Indenture. If any such payment or distribution is made other than in Cash, it shall be held by the Collateral Trustee as part of the Assets and subject in all respects to the provisions of the Indenture. Each Lender agrees for the benefit of all recipients of Senior Items that such Lender shall not demand, accept, or receive any payment or distribution in respect of its Secured Loans in violation of the provisions of the Indenture. Nothing in this </w:t>
      </w:r>
      <w:r>
        <w:rPr>
          <w:rFonts w:ascii="Times New Roman" w:cs="Times New Roman" w:eastAsia="Times New Roman" w:hAnsi="Times New Roman"/>
          <w:sz w:val="22"/>
          <w:szCs w:val="22"/>
          <w:u w:val="single" w:color="auto"/>
          <w:color w:val="auto"/>
        </w:rPr>
        <w:t>Section 2.7(b)</w:t>
      </w:r>
      <w:r>
        <w:rPr>
          <w:rFonts w:ascii="Times New Roman" w:cs="Times New Roman" w:eastAsia="Times New Roman" w:hAnsi="Times New Roman"/>
          <w:sz w:val="22"/>
          <w:szCs w:val="22"/>
          <w:color w:val="auto"/>
        </w:rPr>
        <w:t xml:space="preserve"> shall affect the obligation of the Borrower to pay the Lenders hereunder.</w:t>
      </w:r>
    </w:p>
    <w:p>
      <w:pPr>
        <w:spacing w:after="0" w:line="183" w:lineRule="exact"/>
        <w:rPr>
          <w:sz w:val="20"/>
          <w:szCs w:val="20"/>
          <w:color w:val="auto"/>
        </w:rPr>
      </w:pPr>
    </w:p>
    <w:p>
      <w:pPr>
        <w:jc w:val="both"/>
        <w:ind w:firstLine="1505"/>
        <w:spacing w:after="0" w:line="234" w:lineRule="auto"/>
        <w:tabs>
          <w:tab w:leader="none" w:pos="1929"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 Agent Entitled to Assume Payment Not Prohibited in Absence of Notice</w:t>
      </w:r>
      <w:r>
        <w:rPr>
          <w:rFonts w:ascii="Times New Roman" w:cs="Times New Roman" w:eastAsia="Times New Roman" w:hAnsi="Times New Roman"/>
          <w:sz w:val="22"/>
          <w:szCs w:val="22"/>
          <w:color w:val="auto"/>
        </w:rPr>
        <w:t>. The Loan Agent shall not at any time be charged with knowledge of the existence of any facts that would prohibit the making of any payment to or by the Loan Agent unless and until a Trust Officer of the Loan Agent responsible for the administration of this Agreement has actual knowledge thereof or unless and until the Loan Agent shall have received and accepted (in its role as Loan Agent) written notice thereof from the Borrower (in the form of an Officer’s certificate reasonably satisfactory to the Loan Agent), the Collateral Trustee, or persons representing themselves to be other holders of Debt and, prior to the receipt of any such written notice, the Loan Agent, subject to the provisions of this Agreement, shall be entitled in all respects conclusively to assume that no such fact exists, and the Loan Agent shall have no liability hereunder for any payment made, or action taken, by it without such knowledge or notice.</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u w:val="single" w:color="auto"/>
          <w:color w:val="auto"/>
        </w:rPr>
        <w:t>Lender Reporting Obligations</w:t>
      </w:r>
      <w:r>
        <w:rPr>
          <w:rFonts w:ascii="Times New Roman" w:cs="Times New Roman" w:eastAsia="Times New Roman" w:hAnsi="Times New Roman"/>
          <w:sz w:val="22"/>
          <w:szCs w:val="22"/>
          <w:color w:val="auto"/>
        </w:rPr>
        <w:t xml:space="preserve">. Each Lender acknowledges, represents and agrees to the tax-related transfer restrictions set forth in Section 2.12 of the Indenture that are applicable to a Class A-1 Note and agrees that the provisions of Section 2.12 of the Indenture are incorporated by reference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2.9 </w:t>
      </w:r>
      <w:r>
        <w:rPr>
          <w:rFonts w:ascii="Times New Roman" w:cs="Times New Roman" w:eastAsia="Times New Roman" w:hAnsi="Times New Roman"/>
          <w:sz w:val="22"/>
          <w:szCs w:val="22"/>
          <w:u w:val="single" w:color="auto"/>
          <w:color w:val="auto"/>
        </w:rPr>
        <w:t>Treatment as Class A-1 Debt</w:t>
      </w:r>
      <w:r>
        <w:rPr>
          <w:rFonts w:ascii="Times New Roman" w:cs="Times New Roman" w:eastAsia="Times New Roman" w:hAnsi="Times New Roman"/>
          <w:sz w:val="22"/>
          <w:szCs w:val="22"/>
          <w:color w:val="auto"/>
        </w:rPr>
        <w:t>. Without limiting the generality of the foregoing, the Class A-1L-B Loans shall comprise and be a part of the Class A-1 Debt and, as such, shall be subject to the terms and conditions of the Indenture applicable to the Class A-1 Debt, and shall have the rights afforded in the Indenture to the Class A-1 Debt (to the extent applicable to the Class A-1L-B Loans).</w:t>
      </w:r>
    </w:p>
    <w:p>
      <w:pPr>
        <w:spacing w:after="0" w:line="180" w:lineRule="exact"/>
        <w:rPr>
          <w:sz w:val="20"/>
          <w:szCs w:val="20"/>
          <w:color w:val="auto"/>
        </w:rPr>
      </w:pPr>
    </w:p>
    <w:p>
      <w:pPr>
        <w:ind w:left="1500"/>
        <w:spacing w:after="0"/>
        <w:tabs>
          <w:tab w:leader="none" w:pos="280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2"/>
          <w:szCs w:val="22"/>
          <w:u w:val="single" w:color="auto"/>
          <w:color w:val="auto"/>
        </w:rPr>
        <w:t>Conversion</w:t>
      </w:r>
      <w:r>
        <w:rPr>
          <w:rFonts w:ascii="Times New Roman" w:cs="Times New Roman" w:eastAsia="Times New Roman" w:hAnsi="Times New Roman"/>
          <w:sz w:val="22"/>
          <w:szCs w:val="22"/>
          <w:color w:val="auto"/>
        </w:rPr>
        <w:t>.  The Lenders may not convert or exchange any portion of the Secured Loans into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8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Assignment of Class A-1L-B Loans to the Borrower</w:t>
      </w:r>
      <w:r>
        <w:rPr>
          <w:rFonts w:ascii="Times New Roman" w:cs="Times New Roman" w:eastAsia="Times New Roman" w:hAnsi="Times New Roman"/>
          <w:sz w:val="22"/>
          <w:szCs w:val="22"/>
          <w:color w:val="auto"/>
        </w:rPr>
        <w:t>. Any Lender may assign all or a portion of its Class A-1L-B Loans to the Borrower in connection with a purchase of the Class A-1 Debt in accordance with, and subject to the conditions set forth in, Section 2.13 of the Indenture. Any Class A-1L-B Loan that is assigned to the Borrower pursuant to this Section 2.11 shall be deemed to have a principal balance of zero for all purposes hereunder and under the Indenture (except as otherwise provided in the Indenture).</w:t>
      </w:r>
    </w:p>
    <w:p>
      <w:pPr>
        <w:spacing w:after="0" w:line="3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0" w:name="page331"/>
    <w:bookmarkEnd w:id="330"/>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TO CREDIT EXTENSIONS</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The obligations of the Initial Lenders to make Secured Loans shall not become effective until the date on which each of the conditions set forth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is satisfied, including the receipt by the Collateral Trustee of the following:</w:t>
      </w:r>
    </w:p>
    <w:p>
      <w:pPr>
        <w:spacing w:after="0" w:line="173" w:lineRule="exact"/>
        <w:rPr>
          <w:sz w:val="20"/>
          <w:szCs w:val="20"/>
          <w:color w:val="auto"/>
        </w:rPr>
      </w:pPr>
    </w:p>
    <w:p>
      <w:pPr>
        <w:ind w:left="1940" w:hanging="435"/>
        <w:spacing w:after="0"/>
        <w:tabs>
          <w:tab w:leader="none" w:pos="1940"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Execution of Indenture and this Agreement</w:t>
      </w:r>
      <w:r>
        <w:rPr>
          <w:rFonts w:ascii="Times New Roman" w:cs="Times New Roman" w:eastAsia="Times New Roman" w:hAnsi="Times New Roman"/>
          <w:sz w:val="21"/>
          <w:szCs w:val="21"/>
          <w:color w:val="auto"/>
        </w:rPr>
        <w:t>. The Indenture and this Agreement are executed and delivered.</w:t>
      </w:r>
    </w:p>
    <w:p>
      <w:pPr>
        <w:spacing w:after="0" w:line="217" w:lineRule="exact"/>
        <w:rPr>
          <w:rFonts w:ascii="Times New Roman" w:cs="Times New Roman" w:eastAsia="Times New Roman" w:hAnsi="Times New Roman"/>
          <w:sz w:val="21"/>
          <w:szCs w:val="21"/>
          <w:color w:val="auto"/>
        </w:rPr>
      </w:pPr>
    </w:p>
    <w:p>
      <w:pPr>
        <w:ind w:firstLine="1505"/>
        <w:spacing w:after="0" w:line="258" w:lineRule="auto"/>
        <w:tabs>
          <w:tab w:leader="none" w:pos="1929"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Opinions; Certificates; Rating Letters</w:t>
      </w:r>
      <w:r>
        <w:rPr>
          <w:rFonts w:ascii="Times New Roman" w:cs="Times New Roman" w:eastAsia="Times New Roman" w:hAnsi="Times New Roman"/>
          <w:sz w:val="22"/>
          <w:szCs w:val="22"/>
          <w:color w:val="auto"/>
        </w:rPr>
        <w:t>. The Collateral Trustee shall have received the opinions, certificates and rating letters specified in Section 3.1 of the Indenture.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 REPRESENTATIONS, WARRANTIES</w:t>
      </w:r>
    </w:p>
    <w:p>
      <w:pPr>
        <w:spacing w:after="0" w:line="210" w:lineRule="exact"/>
        <w:rPr>
          <w:sz w:val="20"/>
          <w:szCs w:val="20"/>
          <w:color w:val="auto"/>
        </w:rPr>
      </w:pPr>
    </w:p>
    <w:p>
      <w:pPr>
        <w:ind w:firstLine="1497"/>
        <w:spacing w:after="0" w:line="282" w:lineRule="auto"/>
        <w:rPr>
          <w:sz w:val="20"/>
          <w:szCs w:val="20"/>
          <w:color w:val="auto"/>
        </w:rPr>
      </w:pPr>
      <w:r>
        <w:rPr>
          <w:rFonts w:ascii="Times New Roman" w:cs="Times New Roman" w:eastAsia="Times New Roman" w:hAnsi="Times New Roman"/>
          <w:sz w:val="21"/>
          <w:szCs w:val="21"/>
          <w:color w:val="auto"/>
        </w:rPr>
        <w:t xml:space="preserve">Section 4.1 </w:t>
      </w:r>
      <w:r>
        <w:rPr>
          <w:rFonts w:ascii="Times New Roman" w:cs="Times New Roman" w:eastAsia="Times New Roman" w:hAnsi="Times New Roman"/>
          <w:sz w:val="21"/>
          <w:szCs w:val="21"/>
          <w:u w:val="single" w:color="auto"/>
          <w:color w:val="auto"/>
        </w:rPr>
        <w:t>Payment of Principal and Interest</w:t>
      </w:r>
      <w:r>
        <w:rPr>
          <w:rFonts w:ascii="Times New Roman" w:cs="Times New Roman" w:eastAsia="Times New Roman" w:hAnsi="Times New Roman"/>
          <w:sz w:val="21"/>
          <w:szCs w:val="21"/>
          <w:color w:val="auto"/>
        </w:rPr>
        <w:t>. (a) Principal of and interest on the Secured Loans shall be payable by the Borrower in accordance with the terms of this Agreement and the Indenture pursuant to the Priority of Payments.</w:t>
      </w:r>
    </w:p>
    <w:p>
      <w:pPr>
        <w:spacing w:after="0" w:line="135" w:lineRule="exact"/>
        <w:rPr>
          <w:sz w:val="20"/>
          <w:szCs w:val="20"/>
          <w:color w:val="auto"/>
        </w:rPr>
      </w:pPr>
    </w:p>
    <w:p>
      <w:pPr>
        <w:jc w:val="both"/>
        <w:ind w:right="20" w:firstLine="1505"/>
        <w:spacing w:after="0" w:line="244" w:lineRule="auto"/>
        <w:tabs>
          <w:tab w:leader="none" w:pos="1929"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properly withheld under the Code or other applicable law or FATCA by any Person from a payment to any Lender shall be considered as having been paid by the Borrower to such Lender for all purposes of this Agreement.</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Maintenance of Office or Agency</w:t>
      </w:r>
      <w:r>
        <w:rPr>
          <w:rFonts w:ascii="Times New Roman" w:cs="Times New Roman" w:eastAsia="Times New Roman" w:hAnsi="Times New Roman"/>
          <w:sz w:val="22"/>
          <w:szCs w:val="22"/>
          <w:color w:val="auto"/>
        </w:rPr>
        <w:t xml:space="preserve">. The Borrower hereby appoints the Bank as the Loan Agent and appoints the Loan Agent as a Paying Agent for payments on the Secured Loans and to maintain the Loan Register as set forth in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The Borrower will maintain a Process Agent in New York. The Borrower may at any time and from time to time vary or terminate the appointment of any such agent or appoint any additional agents for any or all of such purposes and shall give prompt written notice to the Loan Agent, the Rating Agency and each Lender of the appointment or termination of any such agent and of the location and any change in the location of any such office or agency.</w:t>
      </w:r>
    </w:p>
    <w:p>
      <w:pPr>
        <w:spacing w:after="0" w:line="18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Funds for Payment</w:t>
      </w:r>
      <w:r>
        <w:rPr>
          <w:rFonts w:ascii="Times New Roman" w:cs="Times New Roman" w:eastAsia="Times New Roman" w:hAnsi="Times New Roman"/>
          <w:sz w:val="22"/>
          <w:szCs w:val="22"/>
          <w:color w:val="auto"/>
        </w:rPr>
        <w:t>. All payments of amounts due and payable with respect to any Secured Loans that are to be made from amounts withdrawn by the Collateral Trustee from the Payment Account shall be made on behalf of the Borrower by the Loan Agent.</w:t>
      </w:r>
    </w:p>
    <w:p>
      <w:pPr>
        <w:spacing w:after="0" w:line="17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Existence of Borrower</w:t>
      </w:r>
      <w:r>
        <w:rPr>
          <w:rFonts w:ascii="Times New Roman" w:cs="Times New Roman" w:eastAsia="Times New Roman" w:hAnsi="Times New Roman"/>
          <w:sz w:val="22"/>
          <w:szCs w:val="22"/>
          <w:color w:val="auto"/>
        </w:rPr>
        <w:t>. Section 7.4 of the Indenture shall be binding upon the Borrower as if such section (and the corresponding defined terms) had been set forth herein in its entirety.</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Protection of Assets</w:t>
      </w:r>
      <w:r>
        <w:rPr>
          <w:rFonts w:ascii="Times New Roman" w:cs="Times New Roman" w:eastAsia="Times New Roman" w:hAnsi="Times New Roman"/>
          <w:sz w:val="22"/>
          <w:szCs w:val="22"/>
          <w:color w:val="auto"/>
        </w:rPr>
        <w:t>. Section 7.5 of the Indenture shall be binding upon the Borrower as if such section (and the corresponding defined terms) had been set forth herein in its entirety.</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Opinions as to Assets</w:t>
      </w:r>
      <w:r>
        <w:rPr>
          <w:rFonts w:ascii="Times New Roman" w:cs="Times New Roman" w:eastAsia="Times New Roman" w:hAnsi="Times New Roman"/>
          <w:sz w:val="22"/>
          <w:szCs w:val="22"/>
          <w:color w:val="auto"/>
        </w:rPr>
        <w:t>. Section 7.6 of the Indenture shall be binding upon the Borrower as if such section (and the corresponding defined terms) had been set forth herein in its entirety.</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u w:val="single" w:color="auto"/>
          <w:color w:val="auto"/>
        </w:rPr>
        <w:t>Performance of Obligations</w:t>
      </w:r>
      <w:r>
        <w:rPr>
          <w:rFonts w:ascii="Times New Roman" w:cs="Times New Roman" w:eastAsia="Times New Roman" w:hAnsi="Times New Roman"/>
          <w:sz w:val="22"/>
          <w:szCs w:val="22"/>
          <w:color w:val="auto"/>
        </w:rPr>
        <w:t>. Section 7.7 of the Indenture shall be binding upon the Borrower as if such section (and the corresponding defined terms) had been set forth herein in its entirety.</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4.8 </w:t>
      </w:r>
      <w:r>
        <w:rPr>
          <w:rFonts w:ascii="Times New Roman" w:cs="Times New Roman" w:eastAsia="Times New Roman" w:hAnsi="Times New Roman"/>
          <w:sz w:val="22"/>
          <w:szCs w:val="22"/>
          <w:u w:val="single" w:color="auto"/>
          <w:color w:val="auto"/>
        </w:rPr>
        <w:t>Negative Covenants</w:t>
      </w:r>
      <w:r>
        <w:rPr>
          <w:rFonts w:ascii="Times New Roman" w:cs="Times New Roman" w:eastAsia="Times New Roman" w:hAnsi="Times New Roman"/>
          <w:sz w:val="22"/>
          <w:szCs w:val="22"/>
          <w:color w:val="auto"/>
        </w:rPr>
        <w:t>. Section 7.8 of the Indenture shall be binding upon the Borrower as if such section (and the corresponding defined terms) had been set forth herein in its entirety.</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u w:val="single" w:color="auto"/>
          <w:color w:val="auto"/>
        </w:rPr>
        <w:t>Statement as to Compliance</w:t>
      </w:r>
      <w:r>
        <w:rPr>
          <w:rFonts w:ascii="Times New Roman" w:cs="Times New Roman" w:eastAsia="Times New Roman" w:hAnsi="Times New Roman"/>
          <w:sz w:val="22"/>
          <w:szCs w:val="22"/>
          <w:color w:val="auto"/>
        </w:rPr>
        <w:t>. Section 7.9 of the Indenture shall be binding upon the Borrower as if such section (and the corresponding defined terms) had been set forth herein in its entirety.</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u w:val="single" w:color="auto"/>
          <w:color w:val="auto"/>
        </w:rPr>
        <w:t>Successor Substituted</w:t>
      </w:r>
      <w:r>
        <w:rPr>
          <w:rFonts w:ascii="Times New Roman" w:cs="Times New Roman" w:eastAsia="Times New Roman" w:hAnsi="Times New Roman"/>
          <w:sz w:val="22"/>
          <w:szCs w:val="22"/>
          <w:color w:val="auto"/>
        </w:rPr>
        <w:t>. Section 7.11 of the Indenture shall be binding upon the Borrower as if such section (and the corresponding defined terms) had been set forth herein in its entirety.</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u w:val="single" w:color="auto"/>
          <w:color w:val="auto"/>
        </w:rPr>
        <w:t>No Other Business</w:t>
      </w:r>
      <w:r>
        <w:rPr>
          <w:rFonts w:ascii="Times New Roman" w:cs="Times New Roman" w:eastAsia="Times New Roman" w:hAnsi="Times New Roman"/>
          <w:sz w:val="22"/>
          <w:szCs w:val="22"/>
          <w:color w:val="auto"/>
        </w:rPr>
        <w:t>. Section 7.12 of the Indenture shall be binding upon the Borrower as if such section (and the corresponding defined terms) had been set forth herein in its entirety.</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u w:val="single" w:color="auto"/>
          <w:color w:val="auto"/>
        </w:rPr>
        <w:t>Annual Rating Review</w:t>
      </w:r>
      <w:r>
        <w:rPr>
          <w:rFonts w:ascii="Times New Roman" w:cs="Times New Roman" w:eastAsia="Times New Roman" w:hAnsi="Times New Roman"/>
          <w:sz w:val="22"/>
          <w:szCs w:val="22"/>
          <w:color w:val="auto"/>
        </w:rPr>
        <w:t>. Section 7.14 of the Indenture shall be binding upon the Borrower as if such section (and the corresponding defined terms) had been set forth herein in its entirety.</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4.13 </w:t>
      </w:r>
      <w:r>
        <w:rPr>
          <w:rFonts w:ascii="Times New Roman" w:cs="Times New Roman" w:eastAsia="Times New Roman" w:hAnsi="Times New Roman"/>
          <w:sz w:val="22"/>
          <w:szCs w:val="22"/>
          <w:u w:val="single" w:color="auto"/>
          <w:color w:val="auto"/>
        </w:rPr>
        <w:t>Calculation Agent</w:t>
      </w:r>
      <w:r>
        <w:rPr>
          <w:rFonts w:ascii="Times New Roman" w:cs="Times New Roman" w:eastAsia="Times New Roman" w:hAnsi="Times New Roman"/>
          <w:sz w:val="22"/>
          <w:szCs w:val="22"/>
          <w:color w:val="auto"/>
        </w:rPr>
        <w:t>. Section 7.16 of the Indenture shall be binding upon the Borrower as if such section (and the corresponding defined terms) had been set forth herein in its entirety.</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4.14 </w:t>
      </w:r>
      <w:r>
        <w:rPr>
          <w:rFonts w:ascii="Times New Roman" w:cs="Times New Roman" w:eastAsia="Times New Roman" w:hAnsi="Times New Roman"/>
          <w:sz w:val="22"/>
          <w:szCs w:val="22"/>
          <w:u w:val="single" w:color="auto"/>
          <w:color w:val="auto"/>
        </w:rPr>
        <w:t>Certain Tax Matters</w:t>
      </w:r>
      <w:r>
        <w:rPr>
          <w:rFonts w:ascii="Times New Roman" w:cs="Times New Roman" w:eastAsia="Times New Roman" w:hAnsi="Times New Roman"/>
          <w:sz w:val="22"/>
          <w:szCs w:val="22"/>
          <w:color w:val="auto"/>
        </w:rPr>
        <w:t xml:space="preserve">. The Borrower and the Lenders shall be required to comply with the provisions of Section 7.17 of the Indenture with respect to Certain Tax Matters and the provisions of Section 7.17 of the Indenture are hereby incorporated by reference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 xml:space="preserve">Section 4.15 </w:t>
      </w:r>
      <w:r>
        <w:rPr>
          <w:rFonts w:ascii="Times New Roman" w:cs="Times New Roman" w:eastAsia="Times New Roman" w:hAnsi="Times New Roman"/>
          <w:sz w:val="21"/>
          <w:szCs w:val="21"/>
          <w:u w:val="single" w:color="auto"/>
          <w:color w:val="auto"/>
        </w:rPr>
        <w:t>Objection to Bankruptcy Proceeding</w:t>
      </w:r>
      <w:r>
        <w:rPr>
          <w:rFonts w:ascii="Times New Roman" w:cs="Times New Roman" w:eastAsia="Times New Roman" w:hAnsi="Times New Roman"/>
          <w:sz w:val="21"/>
          <w:szCs w:val="21"/>
          <w:color w:val="auto"/>
        </w:rPr>
        <w:t xml:space="preserve">. So long as any Debt is Outstanding, the Borrower shall promptly object to the institution of any bankruptcy, reorganization, arrangement, insolvency, moratorium or liquidation Proceedings, or other Proceedings under United States federal or state bankruptcy law or similar laws against it and shall take all necessary or advisable steps to cause the dismissal of any such proceeding;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obligation shall be subject to the availability of funds therefor under the Priority of Payments. The costs and expenses (including, without limitation, fees and expenses of counsel to the Borrower) incurred by the Borrower in connection with their obligations described in the immediately preceding sentence will be payable as Administrative Expenses, subject to the expense cap in the Priority of Payments.</w:t>
      </w:r>
    </w:p>
    <w:p>
      <w:pPr>
        <w:spacing w:after="0" w:line="3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2" w:name="page333"/>
    <w:bookmarkEnd w:id="332"/>
    <w:p>
      <w:pPr>
        <w:spacing w:after="0" w:line="185"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Section 4.16 </w:t>
      </w:r>
      <w:r>
        <w:rPr>
          <w:rFonts w:ascii="Times New Roman" w:cs="Times New Roman" w:eastAsia="Times New Roman" w:hAnsi="Times New Roman"/>
          <w:sz w:val="22"/>
          <w:szCs w:val="22"/>
          <w:u w:val="single" w:color="auto"/>
          <w:color w:val="auto"/>
        </w:rPr>
        <w:t>Sanctions; Anti-Corruption</w:t>
      </w:r>
      <w:r>
        <w:rPr>
          <w:rFonts w:ascii="Times New Roman" w:cs="Times New Roman" w:eastAsia="Times New Roman" w:hAnsi="Times New Roman"/>
          <w:sz w:val="22"/>
          <w:szCs w:val="22"/>
          <w:color w:val="auto"/>
        </w:rPr>
        <w:t>. The Borrower is not or, to the knowledge of the Borrower, any director, officer, employee, agent, or affiliate of the Borrower is a Person that is, or is owned or controlled by Persons that are:</w:t>
      </w:r>
    </w:p>
    <w:p>
      <w:pPr>
        <w:spacing w:after="0" w:line="2" w:lineRule="exact"/>
        <w:rPr>
          <w:sz w:val="20"/>
          <w:szCs w:val="20"/>
          <w:color w:val="auto"/>
        </w:rPr>
      </w:pPr>
    </w:p>
    <w:p>
      <w:pPr>
        <w:jc w:val="both"/>
        <w:ind w:firstLine="8"/>
        <w:spacing w:after="0" w:line="234" w:lineRule="auto"/>
        <w:tabs>
          <w:tab w:leader="none" w:pos="288"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of any comprehensive sanctions administered or enforced by the U.S. Department of the Treasury’s Office of Foreign Assets Control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or the U.S. Department of State (collectively,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or (ii) located, organized or resident in a country or territory that is, or whose government is, the subject of Sanctions (including Crimea, Cuba, Iran, North Korea and Syria).</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The Borrower and its directors, officers and employees and, to the knowledge of the Borrower, the agents of the Borrower, are in compliance with all applicable Sanctions and with the Foreign Corrupt Practices Act of 1977, as amended, and the rules and regulations thereunder (the “</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and any other applicable anti-corruption law, in all material respects. The Borrower has instituted and maintain or are subject to policies and procedures designed to promote and achieve continued compliance with applicable Sanctions, the FCPA and any other applicable anti-corruption laws.</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The Borrower will maintain in effect or be subject to policies and procedures designed to promote compliance by the Borrower, its Subsidiaries, and its respective directors, officers, employees, and agents with applicable Sanctions and with the FCPA and any other applicable anti-corruption laws.</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The Borrower will not, directly or indirectly, use the proceeds of the Secured Loans, or lend, contribute or otherwise make available such proceeds to any subsidiary, joint venture partner or other Person, (i) in furtherance of an offer, payment, promise to pay, or authorization of the payment or giving of money, or anything else of value, to any Person in violation of the FCPA or any other applicable anti-corruption law, or (ii) (A) to fund any activities or business of or with any Person, or in any country or territory, that, at the time of such funding, is, or whose government is, the subject of Sanctions, or</w:t>
      </w:r>
    </w:p>
    <w:p>
      <w:pPr>
        <w:ind w:right="20" w:firstLine="8"/>
        <w:spacing w:after="0" w:line="237" w:lineRule="auto"/>
        <w:tabs>
          <w:tab w:leader="none" w:pos="361"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other manner that would result in a violation of Sanctions by any Person (including any Person participating in the Secured Loans).</w:t>
      </w:r>
    </w:p>
    <w:p>
      <w:pPr>
        <w:spacing w:after="0" w:line="17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In relation to each Lender that notifies the Loan Agent to this effect and State Street Bank International GmbH (each a “</w:t>
      </w:r>
      <w:r>
        <w:rPr>
          <w:rFonts w:ascii="Times New Roman" w:cs="Times New Roman" w:eastAsia="Times New Roman" w:hAnsi="Times New Roman"/>
          <w:sz w:val="22"/>
          <w:szCs w:val="22"/>
          <w:u w:val="single" w:color="auto"/>
          <w:color w:val="auto"/>
        </w:rPr>
        <w:t>Restricted Lender</w:t>
      </w:r>
      <w:r>
        <w:rPr>
          <w:rFonts w:ascii="Times New Roman" w:cs="Times New Roman" w:eastAsia="Times New Roman" w:hAnsi="Times New Roman"/>
          <w:sz w:val="22"/>
          <w:szCs w:val="22"/>
          <w:color w:val="auto"/>
        </w:rPr>
        <w:t>”), each representation, warranty and undertaking in the Credit Documents shall only apply for the benefit of that Restricted Lender to the extent that such representation, warranty or, as the case may be, undertaking would not result in (i) any violation of, conflict with or liability under EU Regulation (EC) 2271/96 or (ii) a violation or conflict with section 7 (</w:t>
      </w:r>
      <w:r>
        <w:rPr>
          <w:rFonts w:ascii="Times New Roman" w:cs="Times New Roman" w:eastAsia="Times New Roman" w:hAnsi="Times New Roman"/>
          <w:sz w:val="22"/>
          <w:szCs w:val="22"/>
          <w:i w:val="1"/>
          <w:iCs w:val="1"/>
          <w:color w:val="auto"/>
        </w:rPr>
        <w:t>Boycott declaration</w:t>
      </w:r>
      <w:r>
        <w:rPr>
          <w:rFonts w:ascii="Times New Roman" w:cs="Times New Roman" w:eastAsia="Times New Roman" w:hAnsi="Times New Roman"/>
          <w:sz w:val="22"/>
          <w:szCs w:val="22"/>
          <w:color w:val="auto"/>
        </w:rPr>
        <w:t>) of the Foreign Trade and Payments Ordinance (Außenwirtschaftsverordnung – AWV) (in connection with paragraph (1) of section 4 (</w:t>
      </w:r>
      <w:r>
        <w:rPr>
          <w:rFonts w:ascii="Times New Roman" w:cs="Times New Roman" w:eastAsia="Times New Roman" w:hAnsi="Times New Roman"/>
          <w:sz w:val="22"/>
          <w:szCs w:val="22"/>
          <w:i w:val="1"/>
          <w:iCs w:val="1"/>
          <w:color w:val="auto"/>
        </w:rPr>
        <w:t>Restrictions and obligations to act to protect public security and external interests</w:t>
      </w:r>
      <w:r>
        <w:rPr>
          <w:rFonts w:ascii="Times New Roman" w:cs="Times New Roman" w:eastAsia="Times New Roman" w:hAnsi="Times New Roman"/>
          <w:sz w:val="22"/>
          <w:szCs w:val="22"/>
          <w:color w:val="auto"/>
        </w:rPr>
        <w:t>) of the Foreign Trade and Payments Act (Außenwirtschaftsgesetz – AWG)) or a similar anti-boycott statute. In connection with any amendment, waiver, determination or direction relating to any representation, warranty or undertaking in respect of which a Restricted Lender does not have the benefit, the Secured Loans of that Restricted Lender will be excluded for the purpose of determining whether the consent of the Lenders has been obtained or whether the determination or direction by the Lenders has been made.</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3" w:name="page334"/>
    <w:bookmarkEnd w:id="333"/>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4.17 </w:t>
      </w:r>
      <w:r>
        <w:rPr>
          <w:rFonts w:ascii="Times New Roman" w:cs="Times New Roman" w:eastAsia="Times New Roman" w:hAnsi="Times New Roman"/>
          <w:sz w:val="22"/>
          <w:szCs w:val="22"/>
          <w:u w:val="single" w:color="auto"/>
          <w:color w:val="auto"/>
        </w:rPr>
        <w:t>Representations and Warranties Concerning Assets</w:t>
      </w:r>
      <w:r>
        <w:rPr>
          <w:rFonts w:ascii="Times New Roman" w:cs="Times New Roman" w:eastAsia="Times New Roman" w:hAnsi="Times New Roman"/>
          <w:sz w:val="22"/>
          <w:szCs w:val="22"/>
          <w:color w:val="auto"/>
        </w:rPr>
        <w:t>. Section 7.19 of the Indenture shall be binding upon the Borrower as if such sections (and the corresponding defined terms) had been set forth herein in their entirety.</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wherever used herein, means the occurrence of an “Event of Default” under and as defined in the Indenture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0" w:lineRule="exact"/>
        <w:rPr>
          <w:sz w:val="20"/>
          <w:szCs w:val="20"/>
          <w:color w:val="auto"/>
        </w:rPr>
      </w:pPr>
    </w:p>
    <w:p>
      <w:pPr>
        <w:jc w:val="both"/>
        <w:ind w:firstLine="1505"/>
        <w:spacing w:after="0" w:line="245" w:lineRule="auto"/>
        <w:tabs>
          <w:tab w:leader="none" w:pos="1929" w:val="left"/>
        </w:tabs>
        <w:numPr>
          <w:ilvl w:val="0"/>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occurrence of an Event of Default and the acceleration of the Borrower’s obligations under the Indenture pursuant to the terms of Section 5.2 of the Indenture, the unpaid principal amount of the Secured Loans, together with the interest accrued thereon and all other amounts payable by the Borrower hereunder in respect of the Secured Loans, shall automatically become immediately due and payable by the Borrower hereunder, subject to and in accordance with the applicable provisions of the Indenture, without presentment, demand, protest or other requirements of any kind, all of which are hereby expressly waived by 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upon the rescission or annulment of the related Event of Default under the Indenture in accordance with the terms thereof, any such acceleration shall automatically be rescinded and annulled for all purposes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such action shall affect any subsequent Default or Event of Default or impair any right consequent thereon. Each Lender agrees and acknowledges that the remedies for an Event of Default hereunder are governed exclusively by, and subject to the terms and conditions of, the Indenture, and that such rights and remedies shall be limited to the right of the Lenders, as holders of Class A-1L-B Loans, following an Event of Default under the Indenture.</w:t>
      </w:r>
    </w:p>
    <w:p>
      <w:pPr>
        <w:spacing w:after="0" w:line="17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rights and remedies following the occurrence of an Event of Default are granted to the Collateral Trustee for the benefit of the Secured Parties under the Indenture. Each Lender and the Loan Agent agree and acknowledge that the remedies and rights following the occurrence of an Event of Default hereunder are governed by, and subject to the terms and conditions of, the Indenture. Any waiver or cure of an Event of Default under the Indenture that is also an Event of Default hereunder shall be deemed to be a waiver or cure, as applicable, of the corresponding Event of Default under this Agreement.</w:t>
      </w:r>
    </w:p>
    <w:p>
      <w:pPr>
        <w:spacing w:after="0" w:line="18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The Borrower shall provide notice of any Event of Default under this Agreement to the Loan Agent, the Collateral Trustee, the Collateral Manager and the Lenders.</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4" w:name="page335"/>
    <w:bookmarkEnd w:id="334"/>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COLLATERAL TRUSTEE; LOAN AGENT</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Collateral Trustee</w:t>
      </w:r>
      <w:r>
        <w:rPr>
          <w:rFonts w:ascii="Times New Roman" w:cs="Times New Roman" w:eastAsia="Times New Roman" w:hAnsi="Times New Roman"/>
          <w:sz w:val="22"/>
          <w:szCs w:val="22"/>
          <w:color w:val="auto"/>
        </w:rPr>
        <w:t>. (a) The Borrower has appointed the Collateral Trustee pursuant to the Indenture and the Borrower has Granted to the Collateral Trustee a security interest in the Assets for the benefit of the Secured Parties, including the Lenders.</w:t>
      </w:r>
    </w:p>
    <w:p>
      <w:pPr>
        <w:spacing w:after="0" w:line="173" w:lineRule="exact"/>
        <w:rPr>
          <w:sz w:val="20"/>
          <w:szCs w:val="20"/>
          <w:color w:val="auto"/>
        </w:rPr>
      </w:pPr>
    </w:p>
    <w:p>
      <w:pPr>
        <w:jc w:val="both"/>
        <w:ind w:firstLine="1505"/>
        <w:spacing w:after="0" w:line="238" w:lineRule="auto"/>
        <w:tabs>
          <w:tab w:leader="none" w:pos="1929"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protections, benefits, immunities and indemnities afforded to the Collateral Trustee as set forth in the Indenture, including Article VI thereof shall also apply to the Collateral Trustee under this Agreement,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The Collateral Trustee undertakes to perform such duties and only such duties as are specifically set forth in the Indenture and this Agreement and no implied covenants or obligations shall be read into the Indenture or this Agreement against the Collateral Trustee.</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Appointment of the Loan Agent; Nature of Duties</w:t>
      </w:r>
      <w:r>
        <w:rPr>
          <w:rFonts w:ascii="Times New Roman" w:cs="Times New Roman" w:eastAsia="Times New Roman" w:hAnsi="Times New Roman"/>
          <w:sz w:val="22"/>
          <w:szCs w:val="22"/>
          <w:color w:val="auto"/>
        </w:rPr>
        <w:t>. (a) Each Lender hereby designates and appoints the Loan Agent as its agent under the Collateral Documents and each Lender by entering into this Agreement hereby irrevocably authorizes the Loan Agent to act in accordance with the explicit provisions of the Collateral Documents and to exercise such powers as are incidental thereto and perform such duties as are expressly delegated to the Loan Agent, subject to the terms and conditions of the Indenture and the other Collateral Documents.</w:t>
      </w:r>
    </w:p>
    <w:p>
      <w:pPr>
        <w:spacing w:after="0" w:line="177" w:lineRule="exact"/>
        <w:rPr>
          <w:sz w:val="20"/>
          <w:szCs w:val="20"/>
          <w:color w:val="auto"/>
        </w:rPr>
      </w:pPr>
    </w:p>
    <w:p>
      <w:pPr>
        <w:jc w:val="both"/>
        <w:ind w:left="760" w:firstLine="1015"/>
        <w:spacing w:after="0" w:line="244" w:lineRule="auto"/>
        <w:tabs>
          <w:tab w:leader="none" w:pos="2210"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is authorized and directed to enter into this Agreement and perform and observe its obligations under this Agreement For all purposes under this Agreement, the Loan Agent shall not be deemed to have notice or knowledge unless a Trust Officer of the Loan Agent has actual knowledge.</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35" w:lineRule="auto"/>
        <w:tabs>
          <w:tab w:leader="none" w:pos="2210"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to the contrary contained elsewhere in the Collateral Documents, the Loan Agent undertakes to perform such duties and only such duties expressly set forth in this Agreement. The duties of the Loan Agent shall be mechanical and administrative in nature; the Loan Agent shall not have by reason of this Agreement or any other Credit Document a fiduciary relationship in respect of any Lender; and nothing in this Agreement or any other Credit Document, expressed or implied, is intended to or shall be so construed as to impose upon the Loan Agent any obligations in respect of this Agreement or any other Credit Document except as expressly set forth herein.</w:t>
      </w:r>
    </w:p>
    <w:p>
      <w:pPr>
        <w:spacing w:after="0" w:line="183"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acknowledges and agrees that the Loan Agent shall not have the right and authority to exercise any remedial right and power with respect to the Assets hereunder, under the Indenture or any other Collateral Documents.</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38" w:lineRule="auto"/>
        <w:tabs>
          <w:tab w:leader="none" w:pos="2210"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shall not have or be deemed to have any fiduciary relationship with the Collateral Trustee, any Holder, any Lender, the Collateral Manager or the Borrower, and no implied covenants, functions, responsibilities, duties, obligations or liabilities shall be read into the Collateral Documents or otherwise exist against the Loan Agent. Without limiting the generality of the foregoing sentence, the use of the term “agent” in this Agreement is not intended to connote any fiduciary or other implied (or</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185" w:lineRule="exact"/>
        <w:rPr>
          <w:sz w:val="20"/>
          <w:szCs w:val="20"/>
          <w:color w:val="auto"/>
        </w:rPr>
      </w:pPr>
    </w:p>
    <w:p>
      <w:pPr>
        <w:jc w:val="both"/>
        <w:ind w:left="320"/>
        <w:spacing w:after="0" w:line="244" w:lineRule="auto"/>
        <w:rPr>
          <w:sz w:val="20"/>
          <w:szCs w:val="20"/>
          <w:color w:val="auto"/>
        </w:rPr>
      </w:pPr>
      <w:r>
        <w:rPr>
          <w:rFonts w:ascii="Times New Roman" w:cs="Times New Roman" w:eastAsia="Times New Roman" w:hAnsi="Times New Roman"/>
          <w:sz w:val="22"/>
          <w:szCs w:val="22"/>
          <w:color w:val="auto"/>
        </w:rPr>
        <w:t>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73" w:lineRule="exact"/>
        <w:rPr>
          <w:sz w:val="20"/>
          <w:szCs w:val="20"/>
          <w:color w:val="auto"/>
        </w:rPr>
      </w:pPr>
    </w:p>
    <w:p>
      <w:pPr>
        <w:ind w:left="320" w:right="20" w:firstLine="1015"/>
        <w:spacing w:after="0" w:line="258" w:lineRule="auto"/>
        <w:tabs>
          <w:tab w:leader="none" w:pos="1770" w:val="left"/>
        </w:tabs>
        <w:numPr>
          <w:ilvl w:val="1"/>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may perform any of its duties hereunder or under the other Credit Documents by or through its officers, directors, agents, employees or affiliates.</w:t>
      </w:r>
    </w:p>
    <w:p>
      <w:pPr>
        <w:spacing w:after="0" w:line="158" w:lineRule="exact"/>
        <w:rPr>
          <w:rFonts w:ascii="Times New Roman" w:cs="Times New Roman" w:eastAsia="Times New Roman" w:hAnsi="Times New Roman"/>
          <w:sz w:val="22"/>
          <w:szCs w:val="22"/>
          <w:color w:val="auto"/>
        </w:rPr>
      </w:pPr>
    </w:p>
    <w:p>
      <w:pPr>
        <w:jc w:val="both"/>
        <w:ind w:left="320" w:firstLine="1015"/>
        <w:spacing w:after="0" w:line="239" w:lineRule="auto"/>
        <w:tabs>
          <w:tab w:leader="none" w:pos="1770" w:val="left"/>
        </w:tabs>
        <w:numPr>
          <w:ilvl w:val="1"/>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written request of any Lender, the Loan Agent shall provide an electronic copy of the Collateral Documents, the Collateral Management Agreement, the Collateral Administration Agreement and any agreements referenced as a supplement to this Agreement or the Indenture that is in the possession of, or reasonably available to, the Loan Agent.</w:t>
      </w:r>
    </w:p>
    <w:p>
      <w:pPr>
        <w:spacing w:after="0" w:line="180" w:lineRule="exact"/>
        <w:rPr>
          <w:rFonts w:ascii="Times New Roman" w:cs="Times New Roman" w:eastAsia="Times New Roman" w:hAnsi="Times New Roman"/>
          <w:sz w:val="22"/>
          <w:szCs w:val="22"/>
          <w:color w:val="auto"/>
        </w:rPr>
      </w:pPr>
    </w:p>
    <w:p>
      <w:pPr>
        <w:jc w:val="both"/>
        <w:ind w:left="320" w:firstLine="1015"/>
        <w:spacing w:after="0" w:line="235" w:lineRule="auto"/>
        <w:tabs>
          <w:tab w:leader="none" w:pos="1770" w:val="left"/>
        </w:tabs>
        <w:numPr>
          <w:ilvl w:val="1"/>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shall provide to the Borrower and the Collateral Manager upon reasonable request all reasonably available information (or request that any Lender provide such information if such information is not reasonably available to the Loan Agent) in the possession of the Loan Agent and specifically requested by the Borrower or the Collateral Manager in connection with regulatory matters, including any information that is necessary or advisable in order for the Borrower or the Collateral Manager (or its parent or Affiliates) to comply with regulatory requirements with respect to itself, including, in the case of the Borrower, FATCA. The Loan Agent shall have no liability for any such disclosure or the accuracy thereof.</w:t>
      </w:r>
    </w:p>
    <w:p>
      <w:pPr>
        <w:spacing w:after="0" w:line="183" w:lineRule="exact"/>
        <w:rPr>
          <w:rFonts w:ascii="Times New Roman" w:cs="Times New Roman" w:eastAsia="Times New Roman" w:hAnsi="Times New Roman"/>
          <w:sz w:val="22"/>
          <w:szCs w:val="22"/>
          <w:color w:val="auto"/>
        </w:rPr>
      </w:pPr>
    </w:p>
    <w:p>
      <w:pPr>
        <w:jc w:val="both"/>
        <w:ind w:left="-440" w:right="20" w:firstLine="1505"/>
        <w:spacing w:after="0" w:line="244" w:lineRule="auto"/>
        <w:tabs>
          <w:tab w:leader="none" w:pos="1489"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Loan Agent nor any of its officers, directors, agents, employees or affiliates shall be liable for any action taken or omitted by it under the Collateral Documents or in connection therewith, unless caused by its own willful misconduct, gross negligent action or gross negligent failure to act.</w:t>
      </w:r>
    </w:p>
    <w:p>
      <w:pPr>
        <w:spacing w:after="0" w:line="173" w:lineRule="exact"/>
        <w:rPr>
          <w:rFonts w:ascii="Times New Roman" w:cs="Times New Roman" w:eastAsia="Times New Roman" w:hAnsi="Times New Roman"/>
          <w:sz w:val="22"/>
          <w:szCs w:val="22"/>
          <w:color w:val="auto"/>
        </w:rPr>
      </w:pPr>
    </w:p>
    <w:p>
      <w:pPr>
        <w:ind w:left="-440" w:right="40" w:firstLine="1505"/>
        <w:spacing w:after="0" w:line="258" w:lineRule="auto"/>
        <w:tabs>
          <w:tab w:leader="none" w:pos="1489"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Agreement shall be construed to relieve the Loan Agent from liability for its own gross negligent action, its own gross negligent failure to act or its own willful misconduct, except that:</w:t>
      </w:r>
    </w:p>
    <w:p>
      <w:pPr>
        <w:spacing w:after="0" w:line="158" w:lineRule="exact"/>
        <w:rPr>
          <w:rFonts w:ascii="Times New Roman" w:cs="Times New Roman" w:eastAsia="Times New Roman" w:hAnsi="Times New Roman"/>
          <w:sz w:val="22"/>
          <w:szCs w:val="22"/>
          <w:color w:val="auto"/>
        </w:rPr>
      </w:pPr>
    </w:p>
    <w:p>
      <w:pPr>
        <w:ind w:left="320" w:firstLine="1015"/>
        <w:spacing w:after="0" w:line="258" w:lineRule="auto"/>
        <w:tabs>
          <w:tab w:leader="none" w:pos="1770" w:val="left"/>
        </w:tabs>
        <w:numPr>
          <w:ilvl w:val="1"/>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shall not be liable for any error of judgment made in good faith by a Trust Officer of the Loan Agent, unless it shall be proven that the Loan Agent was grossly negligent in ascertaining the pertinent facts;</w:t>
      </w:r>
    </w:p>
    <w:p>
      <w:pPr>
        <w:spacing w:after="0" w:line="158" w:lineRule="exact"/>
        <w:rPr>
          <w:rFonts w:ascii="Times New Roman" w:cs="Times New Roman" w:eastAsia="Times New Roman" w:hAnsi="Times New Roman"/>
          <w:sz w:val="22"/>
          <w:szCs w:val="22"/>
          <w:color w:val="auto"/>
        </w:rPr>
      </w:pPr>
    </w:p>
    <w:p>
      <w:pPr>
        <w:jc w:val="both"/>
        <w:ind w:left="320" w:firstLine="1015"/>
        <w:spacing w:after="0" w:line="239" w:lineRule="auto"/>
        <w:tabs>
          <w:tab w:leader="none" w:pos="1770" w:val="left"/>
        </w:tabs>
        <w:numPr>
          <w:ilvl w:val="1"/>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shall not be liable with respect to any action taken or omitted to be taken by it in good faith in accordance with the direction of the Borrower or the Collateral Manager in accordance with this Agreement and/or, to the extent permitted under this Agreement, the Lenders, relating to the time, method and place of exercising any power conferred upon such Loan Agent under this Agreement;</w:t>
      </w:r>
    </w:p>
    <w:p>
      <w:pPr>
        <w:spacing w:after="0" w:line="180" w:lineRule="exact"/>
        <w:rPr>
          <w:rFonts w:ascii="Times New Roman" w:cs="Times New Roman" w:eastAsia="Times New Roman" w:hAnsi="Times New Roman"/>
          <w:sz w:val="22"/>
          <w:szCs w:val="22"/>
          <w:color w:val="auto"/>
        </w:rPr>
      </w:pPr>
    </w:p>
    <w:p>
      <w:pPr>
        <w:jc w:val="both"/>
        <w:ind w:left="320" w:firstLine="1015"/>
        <w:spacing w:after="0" w:line="239" w:lineRule="auto"/>
        <w:tabs>
          <w:tab w:leader="none" w:pos="1770" w:val="left"/>
        </w:tabs>
        <w:numPr>
          <w:ilvl w:val="1"/>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Agreement shall require the Loan Agent to expend or risk its own funds or otherwise incur any financial liability in the performance of any of its duties hereunder, or in the exercise of any of its rights or powers contemplated hereunder, if it shall have reasonable grounds for believing that repayment of such funds or adequate indemnity satisfactory to it against such risk or liability is not reasonably assured to it; and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336" w:name="page337"/>
    <w:bookmarkEnd w:id="336"/>
    <w:p>
      <w:pPr>
        <w:spacing w:after="0" w:line="185" w:lineRule="exact"/>
        <w:rPr>
          <w:sz w:val="20"/>
          <w:szCs w:val="20"/>
          <w:color w:val="auto"/>
        </w:rPr>
      </w:pPr>
    </w:p>
    <w:p>
      <w:pPr>
        <w:jc w:val="both"/>
        <w:ind w:left="760" w:right="20" w:firstLine="1015"/>
        <w:spacing w:after="0" w:line="244" w:lineRule="auto"/>
        <w:tabs>
          <w:tab w:leader="none" w:pos="2210"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Loan Agent be liable for special, indirect, incidental, punitive or consequential loss or damage of any kind whatsoever (including but not limited to lost profits) even if the Loan Agent has been advised of the likelihood of such damages and regardless of the form of such action.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Whether or not therein expressly so provided, every provision of this Agreement relating to the conduct or affecting the liability of or affording protection to the Loan Agent shall be subject to the provisions of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Certain Rights of the Loan Agent</w:t>
      </w:r>
      <w:r>
        <w:rPr>
          <w:rFonts w:ascii="Times New Roman" w:cs="Times New Roman" w:eastAsia="Times New Roman" w:hAnsi="Times New Roman"/>
          <w:sz w:val="22"/>
          <w:szCs w:val="22"/>
          <w:color w:val="auto"/>
        </w:rPr>
        <w:t xml:space="preserve">. (a) Each of the rights, protections, benefits, immunities and indemnities afforded to the Collateral Trustee under the Indenture shall also apply to the Loan Agent under this Agreement,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such rights, protections, benefits, immunities and indemnities shall be in addition to any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protection, benefits, immunities and indemnities provided herein or in any other document to which the Loan Agent is a party; provided further, however, that the foregoing shall not be construed to impose upon the Loan Agent any of the duties or standards of care (including, without limitation, any duties of a prudent person) of the Collateral Trustee.</w:t>
      </w:r>
    </w:p>
    <w:p>
      <w:pPr>
        <w:spacing w:after="0" w:line="181" w:lineRule="exact"/>
        <w:rPr>
          <w:sz w:val="20"/>
          <w:szCs w:val="20"/>
          <w:color w:val="auto"/>
        </w:rPr>
      </w:pPr>
    </w:p>
    <w:p>
      <w:pPr>
        <w:ind w:left="1940" w:hanging="435"/>
        <w:spacing w:after="0"/>
        <w:tabs>
          <w:tab w:leader="none" w:pos="1940"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1015"/>
        <w:spacing w:after="0" w:line="235" w:lineRule="auto"/>
        <w:tabs>
          <w:tab w:leader="none" w:pos="2210" w:val="left"/>
        </w:tabs>
        <w:numPr>
          <w:ilvl w:val="1"/>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may conclusively rely and shall be fully protected in acting or refraining from acting upon any resolution, certificate, statement, instrument, opinion, report, notice, request, direction, consent, order, note electronic communication or other paper or document believed by it to be genuine and to have been signed or presented by the proper party or parties. Any electronically signed document delivered via email from a person purporting to be an Authorized Officer shall be considered signed or executed by such Authorized Officer on behalf of the applicable Person. The Loan Agent shall have no duty to inquire into or investigate the authenticity or authorization of any such electronic signature and shall be entitled to conclusively rely on any such electronic signature without any liability with respect thereto;</w:t>
      </w:r>
    </w:p>
    <w:p>
      <w:pPr>
        <w:spacing w:after="0" w:line="178"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1"/>
          <w:numId w:val="3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request or direction of the Borrower mentioned herein shall be sufficiently evidenced by a Borrower</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Order;</w:t>
      </w:r>
    </w:p>
    <w:p>
      <w:pPr>
        <w:spacing w:after="0" w:line="182" w:lineRule="exact"/>
        <w:rPr>
          <w:rFonts w:ascii="Times New Roman" w:cs="Times New Roman" w:eastAsia="Times New Roman" w:hAnsi="Times New Roman"/>
          <w:sz w:val="21"/>
          <w:szCs w:val="21"/>
          <w:color w:val="auto"/>
        </w:rPr>
      </w:pPr>
    </w:p>
    <w:p>
      <w:pPr>
        <w:jc w:val="both"/>
        <w:ind w:left="760" w:firstLine="1015"/>
        <w:spacing w:after="0" w:line="239" w:lineRule="auto"/>
        <w:tabs>
          <w:tab w:leader="none" w:pos="2210" w:val="left"/>
        </w:tabs>
        <w:numPr>
          <w:ilvl w:val="1"/>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in the administration of this Agreement or the Indenture the Loan Agent shall deem it desirable that a matter be proved or established prior to taking, suffering or omitting any action hereunder or thereunder, the Loan Agent (unless other evidence be herein specifically prescribed) may, in the absence of bad faith on its part, rely upon an Officer’s certificate or Borrower Order;</w:t>
      </w:r>
    </w:p>
    <w:p>
      <w:pPr>
        <w:spacing w:after="0" w:line="180"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1"/>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condition to the taking or omitting of any action by it hereunder, the Loan Agent may consult with counsel and the advice of such counsel or any Opinion of Counsel shall be full and complete authorization and protection in respect of any action taken or omitted by it hereunder in good faith and in reliance thereon;</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1"/>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shall be under no obligation to exercise, enforce or to honor any of the rights or powers vested in it by this Agreement or to institute, conduct or defend any litigation hereunder or in relation hereto at the request or direction of any Lender</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7" w:name="page338"/>
    <w:bookmarkEnd w:id="337"/>
    <w:p>
      <w:pPr>
        <w:spacing w:after="0" w:line="185" w:lineRule="exact"/>
        <w:rPr>
          <w:sz w:val="20"/>
          <w:szCs w:val="20"/>
          <w:color w:val="auto"/>
        </w:rPr>
      </w:pPr>
    </w:p>
    <w:p>
      <w:pPr>
        <w:jc w:val="both"/>
        <w:ind w:left="320"/>
        <w:spacing w:after="0" w:line="239" w:lineRule="auto"/>
        <w:rPr>
          <w:sz w:val="20"/>
          <w:szCs w:val="20"/>
          <w:color w:val="auto"/>
        </w:rPr>
      </w:pPr>
      <w:r>
        <w:rPr>
          <w:rFonts w:ascii="Times New Roman" w:cs="Times New Roman" w:eastAsia="Times New Roman" w:hAnsi="Times New Roman"/>
          <w:sz w:val="22"/>
          <w:szCs w:val="22"/>
          <w:color w:val="auto"/>
        </w:rPr>
        <w:t>pursuant to this Agreement and the Indenture, unless such Lender shall have provided to the Loan Agent security or indemnity reasonably satisfactory to the Loan Agent against the costs, expenses (including reasonable fees and expenses of agents, experts and attorneys) and liabilities which might reasonably be incurred by it in compliance with such request or direction;</w:t>
      </w:r>
    </w:p>
    <w:p>
      <w:pPr>
        <w:spacing w:after="0" w:line="180" w:lineRule="exact"/>
        <w:rPr>
          <w:sz w:val="20"/>
          <w:szCs w:val="20"/>
          <w:color w:val="auto"/>
        </w:rPr>
      </w:pPr>
    </w:p>
    <w:p>
      <w:pPr>
        <w:jc w:val="both"/>
        <w:ind w:left="320" w:firstLine="1015"/>
        <w:spacing w:after="0" w:line="244" w:lineRule="auto"/>
        <w:tabs>
          <w:tab w:leader="none" w:pos="1770" w:val="left"/>
        </w:tabs>
        <w:numPr>
          <w:ilvl w:val="0"/>
          <w:numId w:val="3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Loan Agent shall not be bound to make any investigation into the facts or matters stated in any resolution, certificate, statement, instrument, opinion, report, notice, request, direction, consent, order, note or other paper or document, but the Loan Agent, upon the written direction of a Majority of the Lenders or of the Rating Agency, shall make such further inquiry or investigation into such facts or matters as shall be directed;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payment within a reasonable time to the Loan Agent of the costs, expenses or liabilities likely to be incurred by it in the making of such investigation is, in the opinion of the Loan Agent, not assured to the Loan Agent by the security afforded to it by the terms of this Agreement, the Loan Agent may require indemnity reasonably satisfactory to the Loan Agent against such cost, expense or liability as a condition to taking any such action. The reasonable expense of every such inquiry or investigation shall be paid by the Borrower. The Loan Agent shall be entitled, on reasonable prior notice to the Borrower and the Collateral Manager, to examine the books and records relating to the Secured Loans and the Assets, personally or by agent or attorney, during the Borrower’s or the Collateral Manager’s normal business hours;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Loan Agent shall, and shall cause its agents to, hold in confidence all such information, except (i) to the extent disclosure may be required by law by any governmental authority and (ii) to the extent that the Loan Agent, in its sole discretion, may determine that such disclosure is consistent with its obligations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Loan Agent may disclose on a confidential basis any such information to its agents, attorneys and auditors in connection with the performance of its obligations hereunder;</w:t>
      </w:r>
    </w:p>
    <w:p>
      <w:pPr>
        <w:spacing w:after="0" w:line="175" w:lineRule="exact"/>
        <w:rPr>
          <w:rFonts w:ascii="Times New Roman" w:cs="Times New Roman" w:eastAsia="Times New Roman" w:hAnsi="Times New Roman"/>
          <w:sz w:val="21"/>
          <w:szCs w:val="21"/>
          <w:color w:val="auto"/>
        </w:rPr>
      </w:pPr>
    </w:p>
    <w:p>
      <w:pPr>
        <w:jc w:val="both"/>
        <w:ind w:left="320" w:right="20" w:firstLine="1015"/>
        <w:spacing w:after="0" w:line="244" w:lineRule="auto"/>
        <w:tabs>
          <w:tab w:leader="none" w:pos="1770"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 Agent may execute any of the rights, privileges or powers hereunder or perform any duties hereunder either directly or by or through agents or attorneys;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Loan Agent shall not be responsible for any misconduct or gross negligence on the part of any agent or attorney appointed with due care by it hereunder.</w:t>
      </w:r>
    </w:p>
    <w:p>
      <w:pPr>
        <w:spacing w:after="0" w:line="173" w:lineRule="exact"/>
        <w:rPr>
          <w:rFonts w:ascii="Times New Roman" w:cs="Times New Roman" w:eastAsia="Times New Roman" w:hAnsi="Times New Roman"/>
          <w:sz w:val="22"/>
          <w:szCs w:val="22"/>
          <w:color w:val="auto"/>
        </w:rPr>
      </w:pPr>
    </w:p>
    <w:p>
      <w:pPr>
        <w:jc w:val="both"/>
        <w:ind w:left="320" w:firstLine="1015"/>
        <w:spacing w:after="0" w:line="239" w:lineRule="auto"/>
        <w:tabs>
          <w:tab w:leader="none" w:pos="2202"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shall not be liable for any action it takes, suffers or omits to take in good faith with the direction of the Borrower or that it believes to be authorized or within its rights or powers or within its discretion hereunder, other than acts or omissions constituting bad faith, willful misconduct or gross negligence of the Loan Agent’s duties hereunder;</w:t>
      </w:r>
    </w:p>
    <w:p>
      <w:pPr>
        <w:spacing w:after="0" w:line="180" w:lineRule="exact"/>
        <w:rPr>
          <w:rFonts w:ascii="Times New Roman" w:cs="Times New Roman" w:eastAsia="Times New Roman" w:hAnsi="Times New Roman"/>
          <w:sz w:val="22"/>
          <w:szCs w:val="22"/>
          <w:color w:val="auto"/>
        </w:rPr>
      </w:pPr>
    </w:p>
    <w:p>
      <w:pPr>
        <w:jc w:val="both"/>
        <w:ind w:left="320" w:firstLine="1015"/>
        <w:spacing w:after="0" w:line="244" w:lineRule="auto"/>
        <w:tabs>
          <w:tab w:leader="none" w:pos="1770"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permissive rights of the Loan Agent to perform any discretionary act enumerated in this Agreement shall not be treated as a duty and the Loan Agent shall not be answerable for other than its gross negligence, bad faith or willful misconduct;</w:t>
      </w:r>
    </w:p>
    <w:p>
      <w:pPr>
        <w:spacing w:after="0" w:line="173" w:lineRule="exact"/>
        <w:rPr>
          <w:rFonts w:ascii="Times New Roman" w:cs="Times New Roman" w:eastAsia="Times New Roman" w:hAnsi="Times New Roman"/>
          <w:sz w:val="22"/>
          <w:szCs w:val="22"/>
          <w:color w:val="auto"/>
        </w:rPr>
      </w:pPr>
    </w:p>
    <w:p>
      <w:pPr>
        <w:jc w:val="both"/>
        <w:ind w:left="320" w:firstLine="1015"/>
        <w:spacing w:after="0" w:line="244" w:lineRule="auto"/>
        <w:tabs>
          <w:tab w:leader="none" w:pos="1770"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shall not be responsible or liable for the actions or omissions of, or any inaccuracies in the records of, any custodian, transfer agent, paying agent or calculation agent (other than itself in such capacities), clearing agency, loan syndication,</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338" w:name="page339"/>
    <w:bookmarkEnd w:id="338"/>
    <w:p>
      <w:pPr>
        <w:spacing w:after="0" w:line="185"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22"/>
          <w:szCs w:val="22"/>
          <w:color w:val="auto"/>
        </w:rPr>
        <w:t>administrative or similar agent, DTC, Euroclear or Clearstream, or for the acts or omissions of the Collateral Manager or the Borrower, or any other Person (including compliance with Rule 17g-5 promulgated under the Exchange Act);</w:t>
      </w:r>
    </w:p>
    <w:p>
      <w:pPr>
        <w:spacing w:after="0" w:line="158" w:lineRule="exact"/>
        <w:rPr>
          <w:sz w:val="20"/>
          <w:szCs w:val="20"/>
          <w:color w:val="auto"/>
        </w:rPr>
      </w:pPr>
    </w:p>
    <w:p>
      <w:pPr>
        <w:ind w:left="760" w:right="40" w:firstLine="1015"/>
        <w:spacing w:after="0" w:line="258" w:lineRule="auto"/>
        <w:tabs>
          <w:tab w:leader="none" w:pos="2210"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shall not be required to give any bond or surety in respect of the execution of this Agreement or the powers granted hereunder;</w:t>
      </w:r>
    </w:p>
    <w:p>
      <w:pPr>
        <w:spacing w:after="0" w:line="158"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210"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Bank is also acting in the capacity of Collateral Trustee or Calculation Agent hereunder, the rights, protections, immunities and indemnities afforded to the Loan Agent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also be afforded to the Bank acting in such capacities;</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44" w:lineRule="auto"/>
        <w:tabs>
          <w:tab w:leader="none" w:pos="2642"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shall not be responsible for delays or failures in performance resulting from acts beyond its control (such acts include but are not limited to acts of God, strikes, lockouts, riots, acts of war and interruptions, losses or malfunctions of utilities, computer (hardware or software) or communications services);</w:t>
      </w:r>
    </w:p>
    <w:p>
      <w:pPr>
        <w:spacing w:after="0" w:line="173" w:lineRule="exact"/>
        <w:rPr>
          <w:rFonts w:ascii="Times New Roman" w:cs="Times New Roman" w:eastAsia="Times New Roman" w:hAnsi="Times New Roman"/>
          <w:sz w:val="22"/>
          <w:szCs w:val="22"/>
          <w:color w:val="auto"/>
        </w:rPr>
      </w:pPr>
    </w:p>
    <w:p>
      <w:pPr>
        <w:jc w:val="both"/>
        <w:ind w:left="760" w:firstLine="1015"/>
        <w:spacing w:after="0" w:line="251" w:lineRule="auto"/>
        <w:tabs>
          <w:tab w:leader="none" w:pos="2642"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any defined term hereunder, or any calculation required to be made or determined by the Loan Agent hereunder, is dependent upon or defined by reference to GAAP, the Loan Agent shall be entitled to request and receive (and rely upon) instruction from the Borrower or the accountants identified in an Accountants’ Report (and in the absence of its receipt of timely instruction therefrom, shall be entitled to obtain from an Independent accountant at the expense of the Borrower) as to the application of GAAP in such connection, in any instance;</w:t>
      </w:r>
    </w:p>
    <w:p>
      <w:pPr>
        <w:spacing w:after="0" w:line="168" w:lineRule="exact"/>
        <w:rPr>
          <w:rFonts w:ascii="Times New Roman" w:cs="Times New Roman" w:eastAsia="Times New Roman" w:hAnsi="Times New Roman"/>
          <w:sz w:val="21"/>
          <w:szCs w:val="21"/>
          <w:color w:val="auto"/>
        </w:rPr>
      </w:pPr>
    </w:p>
    <w:p>
      <w:pPr>
        <w:jc w:val="both"/>
        <w:ind w:left="760" w:firstLine="1015"/>
        <w:spacing w:after="0" w:line="236" w:lineRule="auto"/>
        <w:tabs>
          <w:tab w:leader="none" w:pos="2210"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or its Affiliates are permitted to provide services and to receive additional compensation that could be deemed to be in the Loan Agent’s economic self-interest for (i) serving as investment adviser, administrator, shareholder, servicing agent, custodian or sub-custodian with respect to certain of the Eligible Investments, (ii) using Affiliates to effect transactions in certain Eligible Investments and (iii) effecting transactions in certain Eligible Investments; if otherwise qualified, obligations of the Bank or any of its Affiliates shall qualify as Eligible Investments hereunder; and</w:t>
      </w:r>
    </w:p>
    <w:p>
      <w:pPr>
        <w:spacing w:after="0" w:line="181" w:lineRule="exact"/>
        <w:rPr>
          <w:rFonts w:ascii="Times New Roman" w:cs="Times New Roman" w:eastAsia="Times New Roman" w:hAnsi="Times New Roman"/>
          <w:sz w:val="22"/>
          <w:szCs w:val="22"/>
          <w:color w:val="auto"/>
        </w:rPr>
      </w:pPr>
    </w:p>
    <w:p>
      <w:pPr>
        <w:ind w:left="760" w:right="20" w:firstLine="1015"/>
        <w:spacing w:after="0" w:line="258" w:lineRule="auto"/>
        <w:tabs>
          <w:tab w:leader="none" w:pos="2642"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shall not be responsible for the preparation, filing, continuation or correctness of financing statements or the validity or perfection of any lien or security interest.</w:t>
      </w:r>
    </w:p>
    <w:p>
      <w:pPr>
        <w:spacing w:after="0" w:line="158" w:lineRule="exact"/>
        <w:rPr>
          <w:sz w:val="20"/>
          <w:szCs w:val="20"/>
          <w:color w:val="auto"/>
        </w:rPr>
      </w:pPr>
    </w:p>
    <w:p>
      <w:pPr>
        <w:jc w:val="both"/>
        <w:ind w:firstLine="1505"/>
        <w:spacing w:after="0" w:line="239" w:lineRule="auto"/>
        <w:tabs>
          <w:tab w:leader="none" w:pos="1929"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shall not be deemed to have notice or knowledge of any matter unless a Trust Officer of the Loan Agent responsible for the administration of this Agreement has actual knowledge thereof or unless written notice thereof is received by the Loan Agent at the Corporate Trust Office of the Loan Agent and such notice references the Secured Loans, the Lenders, the Borrower or this Agreement.</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6.4 </w:t>
      </w:r>
      <w:r>
        <w:rPr>
          <w:rFonts w:ascii="Times New Roman" w:cs="Times New Roman" w:eastAsia="Times New Roman" w:hAnsi="Times New Roman"/>
          <w:sz w:val="22"/>
          <w:szCs w:val="22"/>
          <w:u w:val="single" w:color="auto"/>
          <w:color w:val="auto"/>
        </w:rPr>
        <w:t>Not Responsible for Recitals or Borrowing of Secured Loans</w:t>
      </w:r>
      <w:r>
        <w:rPr>
          <w:rFonts w:ascii="Times New Roman" w:cs="Times New Roman" w:eastAsia="Times New Roman" w:hAnsi="Times New Roman"/>
          <w:sz w:val="22"/>
          <w:szCs w:val="22"/>
          <w:color w:val="auto"/>
        </w:rPr>
        <w:t>. The recitals contained herein shall be taken as the statements of the Borrower and the Loan Agent and the Collateral Trustee assume no responsibility for their correctness. The Loan Agent and the Collateral Trustee make no representation as to the validity or sufficiency of this Agreement (except as may be made with respect to the validity of the respective obligations of the Loan Agent</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and the Collateral Trustee hereunder), the Assets or the Debt. The Loan Agent and the Collateral Trustee shall not be accountable for the use or application by the Borrower of the Debt or the proceeds thereof or any amounts paid to the Borrower pursuant to the provisions hereof.</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u w:val="single" w:color="auto"/>
          <w:color w:val="auto"/>
        </w:rPr>
        <w:t>May Be a Lender</w:t>
      </w:r>
      <w:r>
        <w:rPr>
          <w:rFonts w:ascii="Times New Roman" w:cs="Times New Roman" w:eastAsia="Times New Roman" w:hAnsi="Times New Roman"/>
          <w:sz w:val="22"/>
          <w:szCs w:val="22"/>
          <w:color w:val="auto"/>
        </w:rPr>
        <w:t>. The Loan Agent or any other agent of the Borrower, in its individual or any other capacity, may become a Lender and may otherwise deal with the Borrower or any of its Affiliates with the same rights it would have if it were not an agent.</w:t>
      </w:r>
    </w:p>
    <w:p>
      <w:pPr>
        <w:spacing w:after="0" w:line="173"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6.6</w:t>
      </w:r>
      <w:r>
        <w:rPr>
          <w:sz w:val="20"/>
          <w:szCs w:val="20"/>
          <w:color w:val="auto"/>
        </w:rPr>
        <w:tab/>
      </w:r>
      <w:r>
        <w:rPr>
          <w:rFonts w:ascii="Times New Roman" w:cs="Times New Roman" w:eastAsia="Times New Roman" w:hAnsi="Times New Roman"/>
          <w:sz w:val="21"/>
          <w:szCs w:val="21"/>
          <w:u w:val="single" w:color="auto"/>
          <w:color w:val="auto"/>
        </w:rPr>
        <w:t>Compensation and Reimbursement</w:t>
      </w:r>
      <w:r>
        <w:rPr>
          <w:rFonts w:ascii="Times New Roman" w:cs="Times New Roman" w:eastAsia="Times New Roman" w:hAnsi="Times New Roman"/>
          <w:sz w:val="21"/>
          <w:szCs w:val="21"/>
          <w:color w:val="auto"/>
        </w:rPr>
        <w:t>. (a) The Borrower agrees:</w:t>
      </w:r>
    </w:p>
    <w:p>
      <w:pPr>
        <w:spacing w:after="0" w:line="206" w:lineRule="exact"/>
        <w:rPr>
          <w:sz w:val="20"/>
          <w:szCs w:val="20"/>
          <w:color w:val="auto"/>
        </w:rPr>
      </w:pPr>
    </w:p>
    <w:p>
      <w:pPr>
        <w:ind w:left="760" w:firstLine="1015"/>
        <w:spacing w:after="0" w:line="258" w:lineRule="auto"/>
        <w:tabs>
          <w:tab w:leader="none" w:pos="2210" w:val="left"/>
        </w:tabs>
        <w:numPr>
          <w:ilvl w:val="2"/>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compensate the Loan Agent for its services as set forth in a separate agreement between the Borrower (or the Collateral Manager on its behalf) and the Loan Agent;</w:t>
      </w:r>
    </w:p>
    <w:p>
      <w:pPr>
        <w:spacing w:after="0" w:line="158" w:lineRule="exact"/>
        <w:rPr>
          <w:rFonts w:ascii="Times New Roman" w:cs="Times New Roman" w:eastAsia="Times New Roman" w:hAnsi="Times New Roman"/>
          <w:sz w:val="22"/>
          <w:szCs w:val="22"/>
          <w:color w:val="auto"/>
        </w:rPr>
      </w:pPr>
    </w:p>
    <w:p>
      <w:pPr>
        <w:jc w:val="both"/>
        <w:ind w:left="760" w:firstLine="1015"/>
        <w:spacing w:after="0" w:line="236" w:lineRule="auto"/>
        <w:tabs>
          <w:tab w:leader="none" w:pos="2210" w:val="left"/>
        </w:tabs>
        <w:numPr>
          <w:ilvl w:val="2"/>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to pay or reimburse the Loan Agent (subject to any written agreement among the Borrower and the Loan Agent) in a timely manner upon its request for all reasonable expenses, disbursements and advances incurred or made by the Loan Agent in accordance with any provision of this Agreement or other Collateral Documents (including, without limitation, the reasonable compensation and expenses and disbursements of the Loan Agent and its agents and legal counsel, except any such expense, disbursement or advance as may be attributable to its gross negligence, willful misconduct or bad faith); and</w:t>
      </w:r>
    </w:p>
    <w:p>
      <w:pPr>
        <w:spacing w:after="0" w:line="181" w:lineRule="exact"/>
        <w:rPr>
          <w:rFonts w:ascii="Times New Roman" w:cs="Times New Roman" w:eastAsia="Times New Roman" w:hAnsi="Times New Roman"/>
          <w:sz w:val="22"/>
          <w:szCs w:val="22"/>
          <w:color w:val="auto"/>
        </w:rPr>
      </w:pPr>
    </w:p>
    <w:p>
      <w:pPr>
        <w:jc w:val="both"/>
        <w:ind w:left="760" w:firstLine="1015"/>
        <w:spacing w:after="0" w:line="246" w:lineRule="auto"/>
        <w:tabs>
          <w:tab w:leader="none" w:pos="2210" w:val="left"/>
        </w:tabs>
        <w:numPr>
          <w:ilvl w:val="2"/>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indemnify the Loan Agent and its respective officers, directors, employees and agents for, and to hold them harmless against, any loss, liability, claim (whether brought by or involving the Borrower or any third party) or expense (including reasonable fees and expenses of attorneys and experts) incurred without gross negligence, willful misconduct or bad faith on their part, arising out of or in connection with acting or serving as Loan Agent under this Agreement or the Indenture or the performance of its duties hereunder or thereunder, including the costs and expenses of</w:t>
      </w:r>
    </w:p>
    <w:p>
      <w:pPr>
        <w:spacing w:after="0" w:line="1" w:lineRule="exact"/>
        <w:rPr>
          <w:rFonts w:ascii="Times New Roman" w:cs="Times New Roman" w:eastAsia="Times New Roman" w:hAnsi="Times New Roman"/>
          <w:sz w:val="21"/>
          <w:szCs w:val="21"/>
          <w:color w:val="auto"/>
        </w:rPr>
      </w:pPr>
    </w:p>
    <w:p>
      <w:pPr>
        <w:jc w:val="both"/>
        <w:ind w:left="760" w:hanging="3"/>
        <w:spacing w:after="0" w:line="234" w:lineRule="auto"/>
        <w:tabs>
          <w:tab w:leader="none" w:pos="1026"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defending themselves (including reasonable attorney’s and expert’s fees and expenses) against any claim or liability in connection with the exercise or performance of any of their powers or duties hereunder and under any other document related hereto or the enforcement of the Borrower’s obligations (whether brought by or involving any of the Borrower or any third party) and (ii) enforcing its rights hereunder.</w:t>
      </w:r>
    </w:p>
    <w:p>
      <w:pPr>
        <w:spacing w:after="0" w:line="177" w:lineRule="exact"/>
        <w:rPr>
          <w:rFonts w:ascii="Times New Roman" w:cs="Times New Roman" w:eastAsia="Times New Roman" w:hAnsi="Times New Roman"/>
          <w:sz w:val="22"/>
          <w:szCs w:val="22"/>
          <w:color w:val="auto"/>
        </w:rPr>
      </w:pPr>
    </w:p>
    <w:p>
      <w:pPr>
        <w:jc w:val="both"/>
        <w:ind w:firstLine="1505"/>
        <w:spacing w:after="0" w:line="249" w:lineRule="exact"/>
        <w:tabs>
          <w:tab w:leader="none" w:pos="1929"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to the Loan Agent are subject to the Priority of Payments. The Loan Agent hereby agrees not to cause the filing of a petition in bankruptcy against the Borrower for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payment to the Loan Agent of any amounts provided by this Agreement or the Indenture, including, without limitation, this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until at least one year (or if longer the applicable preference period then in effect)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one day after the payment in full of all Debt (and any other debt obligations of the Borrower that have been rated upon issuance by any rating agency at the request of the Borrower). Nothing in this Agreement shall preclude, or be deemed to estop, the Loan Agent (i) from taking any action prior to the expiration of the aforementioned one year (or, if longer, the applicable preference period then in effect)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one day in (A) any case or Proceeding voluntarily filed or commenced by the Borrower or (B) any involuntary insolvency Proceeding filed or commenced by a Person other than the Loan Agent, or (ii) from commencing</w:t>
      </w:r>
    </w:p>
    <w:p>
      <w:pPr>
        <w:spacing w:after="0" w:line="3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against the Borrower or any of their properties any legal action which is not a bankruptcy, reorganization, arrangement, insolvency, moratorium or liquidation Proceeding.</w:t>
      </w:r>
    </w:p>
    <w:p>
      <w:pPr>
        <w:spacing w:after="0" w:line="158" w:lineRule="exact"/>
        <w:rPr>
          <w:sz w:val="20"/>
          <w:szCs w:val="20"/>
          <w:color w:val="auto"/>
        </w:rPr>
      </w:pPr>
    </w:p>
    <w:p>
      <w:pPr>
        <w:jc w:val="both"/>
        <w:ind w:firstLine="1505"/>
        <w:spacing w:after="0" w:line="235" w:lineRule="auto"/>
        <w:tabs>
          <w:tab w:leader="none" w:pos="1929"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acknowledges that all payments made to it under this Agreement shall be payable solely out of the Assets and subject to the Priority of Payments in the Indenture. Any amounts payable to the Loan Agent pursuant to this Agreement shall constitute Administrative Expenses, payable on each Payment Date only to the extent that funds are available for such purpose in accordance with the Priority of Payments, and any such amounts not paid on or prior to any Payment Date shall remain outstanding and shall be payable on the next Payment Date on which funds are available for such purpose pursuant to the Priority of Payments. Following realization of the Assets and distribution of proceeds in the manner provided in the Priority of Payments in the Indenture, any obligations of the Borrower and any claims of the Loan Agent for itself and the Lenders against the Borrower shall be extinguished and shall not thereafter revive.</w:t>
      </w:r>
    </w:p>
    <w:p>
      <w:pPr>
        <w:spacing w:after="0" w:line="17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6.7 </w:t>
      </w:r>
      <w:r>
        <w:rPr>
          <w:rFonts w:ascii="Times New Roman" w:cs="Times New Roman" w:eastAsia="Times New Roman" w:hAnsi="Times New Roman"/>
          <w:sz w:val="22"/>
          <w:szCs w:val="22"/>
          <w:u w:val="single" w:color="auto"/>
          <w:color w:val="auto"/>
        </w:rPr>
        <w:t>Loan Agent Required; Eligibility</w:t>
      </w:r>
      <w:r>
        <w:rPr>
          <w:rFonts w:ascii="Times New Roman" w:cs="Times New Roman" w:eastAsia="Times New Roman" w:hAnsi="Times New Roman"/>
          <w:sz w:val="22"/>
          <w:szCs w:val="22"/>
          <w:color w:val="auto"/>
        </w:rPr>
        <w:t xml:space="preserve">. There shall at all times be a Loan Agent hereunder which shall be an organization or entity organized and doing business under the laws of the United States of America or of any state thereof, having a combined capital and surplus of at least $200,000,000, subject to supervision or examination by federal or state authority, having a long-term issuer credit rating of at least “BBB-” by S&amp;P, and having an office within the United States;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Loan Agent shall be deemed to satisfy such rating requirement so long as the Loan Agent (or an Affiliate thereof) participates in the Deposit Placement Program. If such organization or entity publishes reports of condition at least annually, pursuant to law or to the requirements of the aforesaid supervising or examining authority, then for the purposes of this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the combined capital and surplus of such corporation or banking association shall be deemed to be its combined capital and surplus as set forth in its most recent report of condition so published. If at any time the Loan Agent shall cease to be eligible in accordance with the provisions of this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it shall resign immediately in the manner and with the effect hereinafter specified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6.8 </w:t>
      </w:r>
      <w:r>
        <w:rPr>
          <w:rFonts w:ascii="Times New Roman" w:cs="Times New Roman" w:eastAsia="Times New Roman" w:hAnsi="Times New Roman"/>
          <w:sz w:val="22"/>
          <w:szCs w:val="22"/>
          <w:u w:val="single" w:color="auto"/>
          <w:color w:val="auto"/>
        </w:rPr>
        <w:t>Resignation and Removal of Loan Agent; Appointment of Successor</w:t>
      </w:r>
      <w:r>
        <w:rPr>
          <w:rFonts w:ascii="Times New Roman" w:cs="Times New Roman" w:eastAsia="Times New Roman" w:hAnsi="Times New Roman"/>
          <w:sz w:val="22"/>
          <w:szCs w:val="22"/>
          <w:color w:val="auto"/>
        </w:rPr>
        <w:t>. (a) No resignation or removal of the Loan Agent and no appointment of a successor agent (the “</w:t>
      </w:r>
      <w:r>
        <w:rPr>
          <w:rFonts w:ascii="Times New Roman" w:cs="Times New Roman" w:eastAsia="Times New Roman" w:hAnsi="Times New Roman"/>
          <w:sz w:val="22"/>
          <w:szCs w:val="22"/>
          <w:u w:val="single" w:color="auto"/>
          <w:color w:val="auto"/>
        </w:rPr>
        <w:t>Successor Agent</w:t>
      </w:r>
      <w:r>
        <w:rPr>
          <w:rFonts w:ascii="Times New Roman" w:cs="Times New Roman" w:eastAsia="Times New Roman" w:hAnsi="Times New Roman"/>
          <w:sz w:val="22"/>
          <w:szCs w:val="22"/>
          <w:color w:val="auto"/>
        </w:rPr>
        <w:t xml:space="preserve">”) pursuant to this Article shall become effective until the acceptance of appointment by the Successor Agent under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hereof shall survive any termination of this Agreement, and the resignation or removal of the Loan Agent (to the extent of any fees or indemnified liabilities, costs, expenses and other amounts arising or incurred prior to, or arising out of actions or omissions occurring prior to such termination, resignation or removal).</w:t>
      </w:r>
    </w:p>
    <w:p>
      <w:pPr>
        <w:spacing w:after="0" w:line="181" w:lineRule="exact"/>
        <w:rPr>
          <w:sz w:val="20"/>
          <w:szCs w:val="20"/>
          <w:color w:val="auto"/>
        </w:rPr>
      </w:pPr>
    </w:p>
    <w:p>
      <w:pPr>
        <w:jc w:val="both"/>
        <w:ind w:firstLine="1505"/>
        <w:spacing w:after="0" w:line="235" w:lineRule="auto"/>
        <w:tabs>
          <w:tab w:leader="none" w:pos="1929"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 Agent may resign at any time by giving notice thereof to each of the Borrower, the Collateral Manager, each Lender and the Rating Agency not less than 30 days prior to such resignation. If the Loan Agent shall resign, be removed or become incapable of acting, or if a vacancy shall occur in the office of the Loan Agent for any reason, the Borrower shall promptly appoint a Successor Agent by Borrower Order, one copy of which shall be delivered to each of the Collateral Trustee, the Successor Agent, each Lender and the Collateral Manager;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Successor Agent shall be appointed only upon the written consent of a Majority of the Lenders; in such event, or if the Borrower shall fail to appoint a Successor Agent within 60</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1" w:name="page342"/>
    <w:bookmarkEnd w:id="341"/>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days after notice of such resignation, removal or incapability or the occurrence of such vacancy, or at any time when an Event of Default shall have occurred and be continuing, a Successor Agent may be appointed by Act of a Majority of the Lenders delivered to the Borrower and the Collateral Trustee. The Successor Agent so appointed shall, forthwith upon its acceptance of such appointment, become the Successor Agent and supersede any Successor Agent proposed by the Borrower. If no Successor Agent shall have been appointed and an instrument of acceptance by a Successor Agent shall not have been delivered to the applicable Agent within 30 days after the giving of such notice of resignation, the resigning Loan Agent, or any Lender, on behalf of itself and all others similarly situated, may petition any court of competent jurisdiction for the appointment of a Successor Agent satisfying the requirements of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1505"/>
        <w:spacing w:after="0" w:line="239" w:lineRule="auto"/>
        <w:tabs>
          <w:tab w:leader="none" w:pos="1929" w:val="left"/>
        </w:tabs>
        <w:numPr>
          <w:ilvl w:val="1"/>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may be removed at any time by Act of a Majority of the Lenders delivered to the Collateral Trustee, the Loan Agent and the Borrower. If, at any time prior to the payment in full of all Secured Loans, the Bank shall resign or be removed as Collateral Trustee under the Indenture, such resignation or removal shall be deemed a resignation or removal of the Bank as Loan Agent hereunder.</w:t>
      </w:r>
    </w:p>
    <w:p>
      <w:pPr>
        <w:spacing w:after="0" w:line="180"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1"/>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the Loan Agent shall cease to be eligible under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and shall fail to resign after request therefor by the Borrower or by any Lender; or the Loan Agent shall become incapable of acting or shall be adjudged as bankrupt or insolvent or a receiver or liquidator of the Loan Agent or of its property shall be appointed or any public officer shall take charge or control of the Loan Agent or of its property or affairs for the purpose of rehabilitation, conservation or liquidation then, in any such case (subject to </w:t>
      </w:r>
      <w:r>
        <w:rPr>
          <w:rFonts w:ascii="Times New Roman" w:cs="Times New Roman" w:eastAsia="Times New Roman" w:hAnsi="Times New Roman"/>
          <w:sz w:val="22"/>
          <w:szCs w:val="22"/>
          <w:u w:val="single" w:color="auto"/>
          <w:color w:val="auto"/>
        </w:rPr>
        <w:t>Section 6.8(a)</w:t>
      </w:r>
      <w:r>
        <w:rPr>
          <w:rFonts w:ascii="Times New Roman" w:cs="Times New Roman" w:eastAsia="Times New Roman" w:hAnsi="Times New Roman"/>
          <w:sz w:val="22"/>
          <w:szCs w:val="22"/>
          <w:color w:val="auto"/>
        </w:rPr>
        <w:t xml:space="preserve">), (A) the Borrower, by Borrower Order, may remove the Loan Agent, or (B) subject to Section 5.15 of the Indenture, any Lender may, on behalf of itself and all others similarly situated, petition any court of competent jurisdiction for the removal of the Loan Agent and the appointment of a Successor Agent. Notwithstanding the foregoing, if the Collateral Trustee resigns, is removed or becomes incapable of acting and a successor is appointed under the Indenture, such successor will serve as Loan Agent until removed as provided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505"/>
        <w:spacing w:after="0" w:line="249" w:lineRule="auto"/>
        <w:tabs>
          <w:tab w:leader="none" w:pos="1929" w:val="left"/>
        </w:tabs>
        <w:numPr>
          <w:ilvl w:val="1"/>
          <w:numId w:val="3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give prompt notice of each resignation and each removal of the Loan Agent and each appointment of a Successor Agent to the Rating Agency, the Collateral Trustee and to each Lender. Such notice shall include the name of the Successor Agent and the address of its Corporate Trust Office. If the Borrower fail to provide such notice within ten</w:t>
      </w:r>
    </w:p>
    <w:p>
      <w:pPr>
        <w:spacing w:after="0" w:line="1" w:lineRule="exact"/>
        <w:rPr>
          <w:rFonts w:ascii="Times New Roman" w:cs="Times New Roman" w:eastAsia="Times New Roman" w:hAnsi="Times New Roman"/>
          <w:sz w:val="21"/>
          <w:szCs w:val="21"/>
          <w:color w:val="auto"/>
        </w:rPr>
      </w:pPr>
    </w:p>
    <w:p>
      <w:pPr>
        <w:ind w:firstLine="8"/>
        <w:spacing w:after="0" w:line="237" w:lineRule="auto"/>
        <w:tabs>
          <w:tab w:leader="none" w:pos="417"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acceptance of appointment by the Successor Agent, the Successor Agent shall cause such notice to be given at the expense of the Borrower.</w:t>
      </w:r>
    </w:p>
    <w:p>
      <w:pPr>
        <w:spacing w:after="0" w:line="17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6.9 </w:t>
      </w:r>
      <w:r>
        <w:rPr>
          <w:rFonts w:ascii="Times New Roman" w:cs="Times New Roman" w:eastAsia="Times New Roman" w:hAnsi="Times New Roman"/>
          <w:sz w:val="22"/>
          <w:szCs w:val="22"/>
          <w:u w:val="single" w:color="auto"/>
          <w:color w:val="auto"/>
        </w:rPr>
        <w:t>Acceptance of Appointment by Successor Agent</w:t>
      </w:r>
      <w:r>
        <w:rPr>
          <w:rFonts w:ascii="Times New Roman" w:cs="Times New Roman" w:eastAsia="Times New Roman" w:hAnsi="Times New Roman"/>
          <w:sz w:val="22"/>
          <w:szCs w:val="22"/>
          <w:color w:val="auto"/>
        </w:rPr>
        <w:t xml:space="preserve">. Every Successor Agent appointed hereunder and qualified under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shall execute, acknowledge and deliver to the Borrower and the retiring Loan Agent an instrument accepting such appointment and agreeing to be bound by this Agreement and the Indenture. Upon delivery of the required instruments, the resignation or removal of the retiring Loan Agent shall become effective and such Successor Agent, without any further act, deed or conveyance, shall become vested with all the rights, powers, trusts, duties and obligations of the retiring Loan Agent; but, on request of the Borrower or a Majority of the Lenders or the Successor Agent, such retiring Loan Agent shall, upon payment of its charges then unpaid, execute and deliver an instrument transferring to such Successor Agent all the rights, powers and trusts of the retiring Loan Agent, and shall duly assign,</w:t>
      </w:r>
    </w:p>
    <w:p>
      <w:pPr>
        <w:spacing w:after="0" w:line="3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2" w:name="page343"/>
    <w:bookmarkEnd w:id="342"/>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transfer and deliver to such Successor Agent all property held by such retiring Loan Agent hereunder. Upon request of any such Successor Agent, the Borrower shall execute any and all instruments for more fully and certainly vesting in and confirming to such Successor Agent all such rights, powers and trusts.</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Merger, Conversion, Consolidation or Succession to Business of the Loan Agent</w:t>
      </w:r>
      <w:r>
        <w:rPr>
          <w:rFonts w:ascii="Times New Roman" w:cs="Times New Roman" w:eastAsia="Times New Roman" w:hAnsi="Times New Roman"/>
          <w:sz w:val="22"/>
          <w:szCs w:val="22"/>
          <w:color w:val="auto"/>
        </w:rPr>
        <w:t xml:space="preserve">. Any organization or entity into which the Loan Agent may be merged or converted or with which it may be consolidated, or any entity resulting from any merger, conversion or consolidation to which the Loan Agent shall be a party, or any organization or entity succeeding to all or substantially all of the corporate trust business of the Loan Agent, shall be the Successor Agent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organization or entity shall be otherwise qualified and eligible under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without the execution or filing of any document or any further act on the part of any of the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Loan Agent shall give notice thereof to the Borrower, the Collateral Manager, each Lender, and the Rating Agency.</w:t>
      </w:r>
    </w:p>
    <w:p>
      <w:pPr>
        <w:spacing w:after="0" w:line="18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Representations and Warranties of the Loan Agent</w:t>
      </w:r>
      <w:r>
        <w:rPr>
          <w:rFonts w:ascii="Times New Roman" w:cs="Times New Roman" w:eastAsia="Times New Roman" w:hAnsi="Times New Roman"/>
          <w:sz w:val="22"/>
          <w:szCs w:val="22"/>
          <w:color w:val="auto"/>
        </w:rPr>
        <w:t>. The Loan Agent hereby represents and warrants as follows:</w:t>
      </w:r>
    </w:p>
    <w:p>
      <w:pPr>
        <w:spacing w:after="0" w:line="158" w:lineRule="exact"/>
        <w:rPr>
          <w:sz w:val="20"/>
          <w:szCs w:val="20"/>
          <w:color w:val="auto"/>
        </w:rPr>
      </w:pPr>
    </w:p>
    <w:p>
      <w:pPr>
        <w:ind w:firstLine="1505"/>
        <w:spacing w:after="0" w:line="258" w:lineRule="auto"/>
        <w:tabs>
          <w:tab w:leader="none" w:pos="1970" w:val="left"/>
        </w:tabs>
        <w:numPr>
          <w:ilvl w:val="0"/>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The Bank is duly organized and validly existing under the laws of its jurisdiction of organization and has the power to conduct its business and affairs as a loan agent.</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Binding Obligations</w:t>
      </w:r>
      <w:r>
        <w:rPr>
          <w:rFonts w:ascii="Times New Roman" w:cs="Times New Roman" w:eastAsia="Times New Roman" w:hAnsi="Times New Roman"/>
          <w:sz w:val="22"/>
          <w:szCs w:val="22"/>
          <w:color w:val="auto"/>
        </w:rPr>
        <w:t>. The Bank has the corporate power and authority to perform the duties and obligations of Loan Agent under this Agreement. The Bank has taken all necessary corporate action to authorize the execution, delivery and performance of this Agreement, and all of the documents required to be executed by the Bank pursuant hereto. Upon execution and delivery by the Bank, this Agreement will constitute the legal, valid and binding obligation of the Bank enforceable in accordance with its terms, subject to applicable bankruptcy, insolvency, fraudulent conveyance, moratorium and similar laws affecting the rights of creditors and subject to equitable principles (whether enforcement is sought in a legal or equitable Proceeding).</w:t>
      </w:r>
    </w:p>
    <w:p>
      <w:pPr>
        <w:spacing w:after="0" w:line="18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xml:space="preserve">. The Bank is eligible under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hereof to serve as Loan Agent hereunder.</w:t>
      </w:r>
    </w:p>
    <w:p>
      <w:pPr>
        <w:spacing w:after="0" w:line="206" w:lineRule="exact"/>
        <w:rPr>
          <w:rFonts w:ascii="Times New Roman" w:cs="Times New Roman" w:eastAsia="Times New Roman" w:hAnsi="Times New Roman"/>
          <w:sz w:val="22"/>
          <w:szCs w:val="22"/>
          <w:color w:val="auto"/>
        </w:rPr>
      </w:pPr>
    </w:p>
    <w:p>
      <w:pPr>
        <w:jc w:val="both"/>
        <w:ind w:firstLine="1505"/>
        <w:spacing w:after="0" w:line="249" w:lineRule="auto"/>
        <w:tabs>
          <w:tab w:leader="none" w:pos="1929" w:val="left"/>
        </w:tabs>
        <w:numPr>
          <w:ilvl w:val="0"/>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Conflict</w:t>
      </w:r>
      <w:r>
        <w:rPr>
          <w:rFonts w:ascii="Times New Roman" w:cs="Times New Roman" w:eastAsia="Times New Roman" w:hAnsi="Times New Roman"/>
          <w:sz w:val="21"/>
          <w:szCs w:val="21"/>
          <w:color w:val="auto"/>
        </w:rPr>
        <w:t>. Neither the execution, delivery and performance of this Agreement, nor the consummation of the transactions contemplated by this Agreement, (i) is prohibited by, or requires the Bank to obtain any consent, authorization, approval or registration (which have not already been obtained) under, any law, statute, rule, regulation, judgment, order, writ, injunction or decree that is binding upon the banking or trust powers of the Bank, or (ii) to its knowledge will violate any provision of, result in any default or acceleration of any obligations under, result in the creation or imposition of any lien pursuant to, or require any consent under, any material agreement to which the Bank is a party or by which it is bound.</w:t>
      </w:r>
    </w:p>
    <w:p>
      <w:pPr>
        <w:spacing w:after="0" w:line="171" w:lineRule="exact"/>
        <w:rPr>
          <w:sz w:val="20"/>
          <w:szCs w:val="20"/>
          <w:color w:val="auto"/>
        </w:rPr>
      </w:pPr>
    </w:p>
    <w:p>
      <w:pPr>
        <w:jc w:val="both"/>
        <w:ind w:firstLine="1497"/>
        <w:spacing w:after="0" w:line="261" w:lineRule="exact"/>
        <w:rPr>
          <w:sz w:val="20"/>
          <w:szCs w:val="20"/>
          <w:color w:val="auto"/>
        </w:rPr>
      </w:pPr>
      <w:r>
        <w:rPr>
          <w:rFonts w:ascii="Times New Roman" w:cs="Times New Roman" w:eastAsia="Times New Roman" w:hAnsi="Times New Roman"/>
          <w:sz w:val="22"/>
          <w:szCs w:val="22"/>
          <w:color w:val="auto"/>
        </w:rPr>
        <w:t xml:space="preserve">Section 6.12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Each of the Loan Agent and the Lenders hereby notifies the Borrower that pursuant to the requirements of the USA PATRIOT Act (Title III of Pub. L. 107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56 (signed into law October 26, 2001)) (the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it is required to</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3" w:name="page344"/>
    <w:bookmarkEnd w:id="343"/>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obtain, verify and record information that identifies the Borrower, which information includes the name and address of the Borrower and other information that will allow the Loan Agent and the Lenders to identify the Borrower in accordance with the PATRIOT Act.</w:t>
      </w:r>
    </w:p>
    <w:p>
      <w:pPr>
        <w:spacing w:after="0" w:line="17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xml:space="preserve">. If any amount is required to be deducted or withheld from any payment to any Lender, such amount shall reduce the amount otherwise distributable to such Lender. The Loan Agent is hereby authorized to withhold or deduct from amounts otherwise distributable to any Lender sufficient funds for the payment of any tax that is legally required to be withheld or deducted (but such authorization shall not prevent the Loan Agent from contesting any such tax in appropriate Proceedings and legally withholding payment of such tax, pending the outcome of such Proceedings). The amount of any withholding tax imposed with respect to any Lender shall be treated as cash distributed to such Lender at the time it is deducted or withheld by the Borrower or the Loan Agent, as applicable, and remitted to the appropriate taxing authority. If there is a possibility that withholding tax is payable with respect to a distribution, the Loan Agent may in its sole discretion withhold such amounts in accordance with this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If any Lender wishes to apply for a refund of any such withholding tax, the Loan Agent shall reasonably cooperate with such Lender in making such claim so long as such Lender agrees to reimburse the Loan Agent for any out-of-pocket expenses incurred.</w:t>
      </w:r>
    </w:p>
    <w:p>
      <w:pPr>
        <w:spacing w:after="0" w:line="18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6.14 </w:t>
      </w:r>
      <w:r>
        <w:rPr>
          <w:rFonts w:ascii="Times New Roman" w:cs="Times New Roman" w:eastAsia="Times New Roman" w:hAnsi="Times New Roman"/>
          <w:sz w:val="22"/>
          <w:szCs w:val="22"/>
          <w:u w:val="single" w:color="auto"/>
          <w:color w:val="auto"/>
        </w:rPr>
        <w:t>Lack of Reliance on the Loan Agent</w:t>
      </w:r>
      <w:r>
        <w:rPr>
          <w:rFonts w:ascii="Times New Roman" w:cs="Times New Roman" w:eastAsia="Times New Roman" w:hAnsi="Times New Roman"/>
          <w:sz w:val="22"/>
          <w:szCs w:val="22"/>
          <w:color w:val="auto"/>
        </w:rPr>
        <w:t>. Independently and without reliance upon the Loan Agent, each Lender, to the extent it deems appropriate, has made and shall continue to make (i) its own independent investigation of the financial condition and affairs of the Borrower in connection with the making and the continuance of the Secured Loans and the taking or not taking of any action in connection herewith and (ii) its own appraisal of the creditworthiness of the Borrower and, except as expressly provided in this Agreement and the other Credit Documents, the Loan Agent shall not have any duty or responsibility, either initially or on a continuing basis, to provide any Lenders with any credit or other information with respect thereto, whether coming into its possession before the making of the Secured Loans or at any time or times thereafter. The Loan Agent shall not be (x) responsible to any Lender (1) for any recital or information or any representations, warranties or statements of any other party contained herein or in any document, certificate or other writing delivered in connection herewith or (2) except as otherwise provided herein, for the execution, effectiveness, genuineness, validity, enforceability, perfection, collectability, priority or sufficiency of this Agreement or any other Credit Document or financial condition of the Borrower or (y) be required to make any inquiry concerning either the performance or observance of any of the terms, provisions or conditions of this Agreement or any other Credit Document, or the satisfaction of any of the conditions precedent set forth herein or in any other Credit Document or the financial condition of the Borrower.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Payment of Indemnification, etc.</w:t>
      </w:r>
      <w:r>
        <w:rPr>
          <w:rFonts w:ascii="Times New Roman" w:cs="Times New Roman" w:eastAsia="Times New Roman" w:hAnsi="Times New Roman"/>
          <w:sz w:val="22"/>
          <w:szCs w:val="22"/>
          <w:color w:val="auto"/>
        </w:rPr>
        <w:t xml:space="preserve"> To the extent that the undertaking to indemnify, pay or hold harmless the Loan Agent set forth in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hereof may be unenforceable because it is violative of any law or public policy, the Borrower shall make the maximum contribution necessary to satisfy the payment of each of the indemnified liabilities which is permissible under applicable law, subject to the limitations and qualifications set forth in</w:t>
      </w:r>
    </w:p>
    <w:p>
      <w:pPr>
        <w:spacing w:after="0" w:line="3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Priority of Payments. Any payments made pursuant to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shall be made on the first Payment Date that funds are available for such payments as Administrative Expenses in accordance with the Priority of Payments.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shall survive the termination of this Agreement and the resignation or removal of the Loan Agent.</w:t>
      </w:r>
    </w:p>
    <w:p>
      <w:pPr>
        <w:spacing w:after="0" w:line="17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Each Lender hereby waives any right of setoff that the Lender may have against the Borrower in respect of any obligation arising hereunder.</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 Except as otherwise expressly provided herein, all notices and other communications provided for hereunder shall be in writing and shall be provided in the manner and at its address specified in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hereof (or, in the case of any Initial Lender, in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hereof), or, in the case of any Lender becoming party hereto after the Closing Date, the related Assignment Agreement; or, at such other address as shall be designated by any party in a written notice to the other parties hereto. The Loan Agent shall provide a copy of any notice or written communication received from a Lender to the Collateral Trustee, the Borrower and the Collateral Manager.</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Loan Agent will forward to each Lender each notice received under the Indenture for forwarding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Lenders.</w:t>
      </w:r>
    </w:p>
    <w:p>
      <w:pPr>
        <w:spacing w:after="0" w:line="182" w:lineRule="exact"/>
        <w:rPr>
          <w:sz w:val="20"/>
          <w:szCs w:val="20"/>
          <w:color w:val="auto"/>
        </w:rPr>
      </w:pPr>
    </w:p>
    <w:p>
      <w:pPr>
        <w:jc w:val="both"/>
        <w:ind w:firstLine="1505"/>
        <w:spacing w:after="0" w:line="233" w:lineRule="auto"/>
        <w:tabs>
          <w:tab w:leader="none" w:pos="1929"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 Agent (in each of its capacities) agrees to accept and act upon instructions or directions pursuant to this Agreement or any other Credit Documents sent by unsecured email, facsimile transmission or other similar unsecured electronic methods;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Person providing such instructions or directions shall provide to the Loan Agent an incumbency certificate listing authorized Persons designated to provide such instructions or directions, which incumbency certificate shall be amended whenever a person is added or deleted from the listing. If such person elects to give the Loan Agent email or facsimile instructions (or instructions by a similar electronic method) and the Loan Agent in its discretion elects to act upon such instructions, the Loan Agent’s reasonable understanding of such instructions shall be deemed controlling. The Loan Agent shall not be liable for any losses, costs or expenses arising directly or indirectly from the Loan Agent’s reliance upon and compliance with such instructions notwithstanding such instructions conflicting with or being inconsistent with a subsequent written instruction. Any person providing such instructions or directions agrees to assume all risks arising out of the use of such electronic methods to submit instructions and directions to the Loan Agent, including without limitation the risk of the Loan Agent acting on unauthorized instructions, and the risk of interception and misuse by third parties and acknowledges and agrees that there may be more secure methods of transmitting such instructions than the method(s) selected by it and agrees that the security procedures (if any) to be followed in connection with its transmission of such instructions provide to it a commercially reasonable degree of protection in light of its particular needs and circumstances.</w:t>
      </w:r>
    </w:p>
    <w:p>
      <w:pPr>
        <w:spacing w:after="0" w:line="177"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to the contrary contained herein or in any agreement or document related thereto, any report, statement or other information required to be provided by the Borrower, the Collateral Trustee or the Loan Agent may be provided by providing access to the Collateral Trustee’s website containing such information.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5" w:name="page346"/>
    <w:bookmarkEnd w:id="345"/>
    <w:p>
      <w:pPr>
        <w:spacing w:after="0" w:line="185"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7.4 </w:t>
      </w:r>
      <w:r>
        <w:rPr>
          <w:rFonts w:ascii="Times New Roman" w:cs="Times New Roman" w:eastAsia="Times New Roman" w:hAnsi="Times New Roman"/>
          <w:sz w:val="22"/>
          <w:szCs w:val="22"/>
          <w:u w:val="single" w:color="auto"/>
          <w:color w:val="auto"/>
        </w:rPr>
        <w:t>Benefit of Agreement</w:t>
      </w:r>
      <w:r>
        <w:rPr>
          <w:rFonts w:ascii="Times New Roman" w:cs="Times New Roman" w:eastAsia="Times New Roman" w:hAnsi="Times New Roman"/>
          <w:sz w:val="22"/>
          <w:szCs w:val="22"/>
          <w:color w:val="auto"/>
        </w:rPr>
        <w:t xml:space="preserve">. (a) This Agreement shall be binding upon and inure to the benefit of and be enforceable by the parties hereto and the respective successors and assigns of the parties hereto to the extent permitted under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except as provided in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of this Agreement, the Borrower may not assign or transfer any of its rights or obligations hereunder without the prior written consent of each Lender, the Collateral Trustee, the Collateral Manager and the Loan Agent and (ii) except as provided in </w:t>
      </w:r>
      <w:r>
        <w:rPr>
          <w:rFonts w:ascii="Times New Roman" w:cs="Times New Roman" w:eastAsia="Times New Roman" w:hAnsi="Times New Roman"/>
          <w:sz w:val="22"/>
          <w:szCs w:val="22"/>
          <w:u w:val="single" w:color="auto"/>
          <w:color w:val="auto"/>
        </w:rPr>
        <w:t>Section 7.4(c)</w:t>
      </w:r>
      <w:r>
        <w:rPr>
          <w:rFonts w:ascii="Times New Roman" w:cs="Times New Roman" w:eastAsia="Times New Roman" w:hAnsi="Times New Roman"/>
          <w:sz w:val="22"/>
          <w:szCs w:val="22"/>
          <w:color w:val="auto"/>
        </w:rPr>
        <w:t>, no Lender may assign or transfer any of its rights or obligations hereunder.</w:t>
      </w:r>
    </w:p>
    <w:p>
      <w:pPr>
        <w:spacing w:after="0" w:line="181" w:lineRule="exact"/>
        <w:rPr>
          <w:sz w:val="20"/>
          <w:szCs w:val="20"/>
          <w:color w:val="auto"/>
        </w:rPr>
      </w:pPr>
    </w:p>
    <w:p>
      <w:pPr>
        <w:ind w:right="20" w:firstLine="1505"/>
        <w:spacing w:after="0" w:line="258" w:lineRule="auto"/>
        <w:tabs>
          <w:tab w:leader="none" w:pos="1929"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may at any time grant participations in any of its rights hereunder to one or more commercial banks, insurance companies, funds or other financial institutions;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58"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1"/>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such participation, the participant shall not have any rights under this Agreement or any of the other Credit Documents (the participant’s rights against such Lender in respect of such participation to be those set forth in the agreement executed by such Lender in favor of the participant relating thereto) and all amounts payable by the Borrower hereunder shall be determined as if such Lender had not sold such participation; and</w:t>
      </w:r>
    </w:p>
    <w:p>
      <w:pPr>
        <w:spacing w:after="0" w:line="176" w:lineRule="exact"/>
        <w:rPr>
          <w:rFonts w:ascii="Times New Roman" w:cs="Times New Roman" w:eastAsia="Times New Roman" w:hAnsi="Times New Roman"/>
          <w:sz w:val="22"/>
          <w:szCs w:val="22"/>
          <w:color w:val="auto"/>
        </w:rPr>
      </w:pPr>
    </w:p>
    <w:p>
      <w:pPr>
        <w:jc w:val="both"/>
        <w:ind w:left="1500" w:firstLine="754"/>
        <w:spacing w:after="0" w:line="248" w:lineRule="exact"/>
        <w:tabs>
          <w:tab w:leader="none" w:pos="2681" w:val="left"/>
        </w:tabs>
        <w:numPr>
          <w:ilvl w:val="1"/>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Lender shall transfer, grant or assign any participation under which the participant shall have rights to approve any amendment to or waiver of this Agreement or any other Credit Documents except to the extent such amendment or waiver would (x) extend the Stated Maturity of any Secured Loan in which such participant is participating or waive any prepayment thereof, or reduce the rate or extend the time of payment of interest or fees thereon (except in connection with a waiver of the applicability of any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default increase in interest rates), or reduce the principal amount thereof, (y) release all or substantially all of the Assets (in each case, except as expressly provided in the Credit Documents), or (z) consent to the assignment or transfer by the Borrower of any of their rights and obligations under this Agreement (except as provided in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of this Agreement) and with respect to any consent referred to in this clause (B), notice of such consent is provided to the Loan Agent; and</w:t>
      </w:r>
    </w:p>
    <w:p>
      <w:pPr>
        <w:spacing w:after="0" w:line="182" w:lineRule="exact"/>
        <w:rPr>
          <w:rFonts w:ascii="Times New Roman" w:cs="Times New Roman" w:eastAsia="Times New Roman" w:hAnsi="Times New Roman"/>
          <w:sz w:val="22"/>
          <w:szCs w:val="22"/>
          <w:color w:val="auto"/>
        </w:rPr>
      </w:pPr>
    </w:p>
    <w:p>
      <w:pPr>
        <w:ind w:left="1500" w:right="60" w:firstLine="754"/>
        <w:spacing w:after="0" w:line="258" w:lineRule="auto"/>
        <w:tabs>
          <w:tab w:leader="none" w:pos="2681" w:val="left"/>
        </w:tabs>
        <w:numPr>
          <w:ilvl w:val="1"/>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participation shall be subject to the related participant making the representations and warranties in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 xml:space="preserve"> to the Lender from which it is acquiring its participation.</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any Lender may assign all or a portion of its rights and obligations under this Agreement (including, such Lender’s Secured Loans) to one or more commercial banks, insurance companies, funds or other financial institutions (including one or more Lenders) (x) if no Event of Default has occurred and is continuing, with the consent of the Borrower (such consent not to be unreasonably withheld) and (y) if an Event of Default has occurred and is continuing, without the consent of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be deemed to have consented to any such assignment if it does not provide its written objection within 5 calendar days of receiving a request for consent to a proposed assignment. No assignment pursuant to the immediately preceding sentence to an institution other than an Affiliate of such Lender or another Lender shall be in an aggregate amount less than (unless the entire outstanding</w:t>
      </w:r>
    </w:p>
    <w:p>
      <w:pPr>
        <w:spacing w:after="0" w:line="3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6" w:name="page347"/>
    <w:bookmarkEnd w:id="346"/>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Secured Loan of the assigning Lender is so assigned) $10,000,000 or result in there being more than five (5) separate Lenders under this Agreement. No consent of the Borrower shall be required for any assignment by a Lender to (x) an Affiliate of such Lender, (y) another Lender or (z) to a Section 13 Banking Entity. If any Lender so assigns all or a part of its rights hereunder, any reference in this Agreement to such assigning Lender shall thereafter refer to such Lender and to the respective assignee to the extent of their respective interests and the respective assignee shall have, to the extent of such assignment (unless otherwise provided therein), the same rights, benefits and obligations as it would if it were such assigning Lender.</w:t>
      </w:r>
    </w:p>
    <w:p>
      <w:pPr>
        <w:spacing w:after="0" w:line="181" w:lineRule="exact"/>
        <w:rPr>
          <w:sz w:val="20"/>
          <w:szCs w:val="20"/>
          <w:color w:val="auto"/>
        </w:rPr>
      </w:pPr>
    </w:p>
    <w:p>
      <w:pPr>
        <w:jc w:val="both"/>
        <w:ind w:firstLine="1505"/>
        <w:spacing w:after="0" w:line="233" w:lineRule="auto"/>
        <w:tabs>
          <w:tab w:leader="none" w:pos="1929"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assignment pursuant to </w:t>
      </w:r>
      <w:r>
        <w:rPr>
          <w:rFonts w:ascii="Times New Roman" w:cs="Times New Roman" w:eastAsia="Times New Roman" w:hAnsi="Times New Roman"/>
          <w:sz w:val="22"/>
          <w:szCs w:val="22"/>
          <w:u w:val="single" w:color="auto"/>
          <w:color w:val="auto"/>
        </w:rPr>
        <w:t>Section 7.4(c)</w:t>
      </w:r>
      <w:r>
        <w:rPr>
          <w:rFonts w:ascii="Times New Roman" w:cs="Times New Roman" w:eastAsia="Times New Roman" w:hAnsi="Times New Roman"/>
          <w:sz w:val="22"/>
          <w:szCs w:val="22"/>
          <w:color w:val="auto"/>
        </w:rPr>
        <w:t xml:space="preserve"> shall be effected by the assigning Lender and the assignee Lender executing an Assignment Agreement (an “</w:t>
      </w:r>
      <w:r>
        <w:rPr>
          <w:rFonts w:ascii="Times New Roman" w:cs="Times New Roman" w:eastAsia="Times New Roman" w:hAnsi="Times New Roman"/>
          <w:sz w:val="22"/>
          <w:szCs w:val="22"/>
          <w:u w:val="single" w:color="auto"/>
          <w:color w:val="auto"/>
        </w:rPr>
        <w:t>Assignment Agreement</w:t>
      </w:r>
      <w:r>
        <w:rPr>
          <w:rFonts w:ascii="Times New Roman" w:cs="Times New Roman" w:eastAsia="Times New Roman" w:hAnsi="Times New Roman"/>
          <w:sz w:val="22"/>
          <w:szCs w:val="22"/>
          <w:color w:val="auto"/>
        </w:rPr>
        <w:t xml:space="preserve">”), which Assignment Agreement shall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(appropriately completed);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unless otherwise consented to by the Borrower, the Assignment Agreement shall contain a representation and warranty by the assignee to the Loan Agent and the Borrower that such assignee is an Approved Lender. In the event of (and at the time of) any such assignment, either the assigning Lender or the assignee Lender shall pay to the Loan Agent a nonrefundable assignment fee of $3,500. No assignment under clause (c) of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shall be effective until recorded by the Loan Agent on the Loan Register pursuant to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xml:space="preserve">. To the extent of any assignment pursuant to clause (c) of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the assigning Lender shall be relieved of its obligations hereunder with respect to its assigned Secured Loan or portion thereof. Each Lender and the Borrower agree to execute such documents (including amendments to this Agreement and the other Credit Documents (to the extent authorized to do so under such Credit Documents)) as shall be necessary to effect the foregoing. Nothing in this Agreement shall prevent or prohibit any Lender from pledging its Secured Loans to a Federal Reserve Bank in support of borrowings made by such Lender from such Federal Reserve Bank.</w:t>
      </w:r>
    </w:p>
    <w:p>
      <w:pPr>
        <w:spacing w:after="0" w:line="182"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Agent shall be permitted to request such evidence reasonably satisfactory to it documenting the identity and/or signature of the assignor and the assignee, including a medallion signature guarantee.</w:t>
      </w:r>
    </w:p>
    <w:p>
      <w:pPr>
        <w:spacing w:after="0" w:line="15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Section 7.5 </w:t>
      </w:r>
      <w:r>
        <w:rPr>
          <w:rFonts w:ascii="Times New Roman" w:cs="Times New Roman" w:eastAsia="Times New Roman" w:hAnsi="Times New Roman"/>
          <w:sz w:val="22"/>
          <w:szCs w:val="22"/>
          <w:u w:val="single" w:color="auto"/>
          <w:color w:val="auto"/>
        </w:rPr>
        <w:t>No Waiver; Remedies Cumulative</w:t>
      </w:r>
      <w:r>
        <w:rPr>
          <w:rFonts w:ascii="Times New Roman" w:cs="Times New Roman" w:eastAsia="Times New Roman" w:hAnsi="Times New Roman"/>
          <w:sz w:val="22"/>
          <w:szCs w:val="22"/>
          <w:color w:val="auto"/>
        </w:rPr>
        <w:t>. No failure or delay on the part of the Loan Agent, the Collateral Trustee or any Lender in exercising any right, power or privilege hereunder or under any other Credit Document and no course of dealing between the Borrower and the Loan Agent, the Collateral Trustee or any Lender shall operate as a waiver thereof; nor shall any single or partial exercise of any right, power or privilege hereunder or under any other Credit Document preclude any other or further exercise thereof or the exercise of any other right, power or privilege hereunder or thereunder. The rights and remedies herein expressly provided are cumulative and not exclusive of any rights or remedies which the Loan Agent, the Collateral Trustee or any Lender would otherwise have. No notice to or demand on the Borrower in any case shall entitle the Borrower or any other Person to any other or further notice or demand in similar or other circumstances or constitute a waiver of the rights of the Loan Agent, the Collateral Trustee or the Lenders to any other or further action in any circumstances without notice or demand.</w:t>
      </w:r>
    </w:p>
    <w:p>
      <w:pPr>
        <w:spacing w:after="0" w:line="17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7.6 </w:t>
      </w:r>
      <w:r>
        <w:rPr>
          <w:rFonts w:ascii="Times New Roman" w:cs="Times New Roman" w:eastAsia="Times New Roman" w:hAnsi="Times New Roman"/>
          <w:sz w:val="22"/>
          <w:szCs w:val="22"/>
          <w:u w:val="single" w:color="auto"/>
          <w:color w:val="auto"/>
        </w:rPr>
        <w:t>Payments Pro Rata</w:t>
      </w:r>
      <w:r>
        <w:rPr>
          <w:rFonts w:ascii="Times New Roman" w:cs="Times New Roman" w:eastAsia="Times New Roman" w:hAnsi="Times New Roman"/>
          <w:sz w:val="22"/>
          <w:szCs w:val="22"/>
          <w:color w:val="auto"/>
        </w:rPr>
        <w:t>. (a) The Loan Agent agrees that promptly after its receipt of each payment from or on behalf of the Borrower in respect of any Secured Loans</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7" w:name="page348"/>
    <w:bookmarkEnd w:id="347"/>
    <w:p>
      <w:pPr>
        <w:spacing w:after="0" w:line="18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 xml:space="preserve">hereunder and pursuant to the Indenture, it shall distribute such payment to each Lender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based on its Percentage of the Secured Loans with respect to which such payment was received.</w:t>
      </w:r>
    </w:p>
    <w:p>
      <w:pPr>
        <w:spacing w:after="0" w:line="154" w:lineRule="exact"/>
        <w:rPr>
          <w:sz w:val="20"/>
          <w:szCs w:val="20"/>
          <w:color w:val="auto"/>
        </w:rPr>
      </w:pPr>
    </w:p>
    <w:p>
      <w:pPr>
        <w:jc w:val="both"/>
        <w:ind w:firstLine="1505"/>
        <w:spacing w:after="0" w:line="235" w:lineRule="auto"/>
        <w:tabs>
          <w:tab w:leader="none" w:pos="1929"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agrees that, if it should receive any amount hereunder (whether by voluntary payment, by realization upon security, by the exercise of the right of setoff or banker’s lien, by counterclaim or cross action, by the enforcement of any right under the Credit Documents, or otherwise) which is applicable to the payment of the principal of, or interest on, its Secured Loans or fees, of a sum which with respect to the related sum or sums received by other Lenders is in a greater proportion than the total of such amount then owed and due to such Lender bears to the total of such amount then owed and due to all of the Lenders immediately prior to such receipt, then such Lender shall hold such amounts in trust for the applicable Lender and return such amounts to the Loan Agent for distribution to the applicable Lender as soon as reasonably practicable.</w:t>
      </w:r>
    </w:p>
    <w:p>
      <w:pPr>
        <w:spacing w:after="0" w:line="17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7.7 </w:t>
      </w:r>
      <w:r>
        <w:rPr>
          <w:rFonts w:ascii="Times New Roman" w:cs="Times New Roman" w:eastAsia="Times New Roman" w:hAnsi="Times New Roman"/>
          <w:sz w:val="22"/>
          <w:szCs w:val="22"/>
          <w:u w:val="single" w:color="auto"/>
          <w:color w:val="auto"/>
        </w:rPr>
        <w:t>Governing Law; Submission to Jurisdiction; Venue; Waiver of Jury Trial</w:t>
      </w:r>
      <w:r>
        <w:rPr>
          <w:rFonts w:ascii="Times New Roman" w:cs="Times New Roman" w:eastAsia="Times New Roman" w:hAnsi="Times New Roman"/>
          <w:sz w:val="22"/>
          <w:szCs w:val="22"/>
          <w:color w:val="auto"/>
        </w:rPr>
        <w:t>. (a) THIS AGREEMENT SHALL BE GOVERNED BY AND CONSTRUED IN ACCORDANCE WITH THE LAW OF THE STATE OF NEW YORK.</w:t>
      </w:r>
    </w:p>
    <w:p>
      <w:pPr>
        <w:spacing w:after="0" w:line="173" w:lineRule="exact"/>
        <w:rPr>
          <w:sz w:val="20"/>
          <w:szCs w:val="20"/>
          <w:color w:val="auto"/>
        </w:rPr>
      </w:pPr>
    </w:p>
    <w:p>
      <w:pPr>
        <w:jc w:val="both"/>
        <w:ind w:firstLine="1505"/>
        <w:spacing w:after="0" w:line="233" w:lineRule="auto"/>
        <w:tabs>
          <w:tab w:leader="none" w:pos="1929"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TO THE FULLEST EXTENT PERMITTED BY LAW,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LOAN AGENT, THE COLLATERAL TRUSTEE OR ANY LENDER MAY OTHERWISE HAVE TO BRING ANY ACTION OR PROCEEDING RELATING TO THIS AGREEMENT AGAINST THE BORROWER OR ITS RESPECTIVE PROPERTIES IN THE COURTS OF ANY JURISDICTION.</w:t>
      </w:r>
    </w:p>
    <w:p>
      <w:pPr>
        <w:spacing w:after="0" w:line="177" w:lineRule="exact"/>
        <w:rPr>
          <w:rFonts w:ascii="Times New Roman" w:cs="Times New Roman" w:eastAsia="Times New Roman" w:hAnsi="Times New Roman"/>
          <w:sz w:val="22"/>
          <w:szCs w:val="22"/>
          <w:color w:val="auto"/>
        </w:rPr>
      </w:pPr>
    </w:p>
    <w:p>
      <w:pPr>
        <w:ind w:firstLine="1505"/>
        <w:spacing w:after="0" w:line="235" w:lineRule="auto"/>
        <w:tabs>
          <w:tab w:leader="none" w:pos="1929"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WAIVES, TO THE FULLEST EXTENT PERMITTED BY LAW, ANY OBJECTION WHICH IT MAY NOW OR HEREAFTER HAVE TO THE LAYING OF VENUE OF ANY SUIT, ACTION OR PROCEEDING ARISING OUT OF OR RELATING TO THIS AGREEMENT IN ANY COURT REFERRED TO IN THE PREVIOUS PARAGRAPH. EACH OF THE PARTIES HERETO HEREBY IRREVOCABLY WAIVES, TO THE FULLEST EXTENT PERMITTED BY LAW, THE DEFENSE OF AN INCONVENIENT FORUM TO THE MAINTENANCE OF SUCH ACTION OR PROCEEDING IN ANY SUCH COURT.</w:t>
      </w:r>
    </w:p>
    <w:p>
      <w:pPr>
        <w:spacing w:after="0" w:line="3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8" w:name="page349"/>
    <w:bookmarkEnd w:id="348"/>
    <w:p>
      <w:pPr>
        <w:spacing w:after="0" w:line="185" w:lineRule="exact"/>
        <w:rPr>
          <w:sz w:val="20"/>
          <w:szCs w:val="20"/>
          <w:color w:val="auto"/>
        </w:rPr>
      </w:pPr>
    </w:p>
    <w:p>
      <w:pPr>
        <w:ind w:firstLine="1505"/>
        <w:spacing w:after="0" w:line="236" w:lineRule="auto"/>
        <w:tabs>
          <w:tab w:leader="none" w:pos="1929"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(OTHER THAN THE BORROWER AND THE LOAN AGENT) TO THIS AGREEMENT IRREVOCABLY CONSENTS TO SERVICE OF PROCESS IN THE MANNER PROVIDED FOR NOTICES IN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THE BORROWER IRREVOCABLY CONSENTS TO THE SERVICE OF ANY AND ALL PROCESS IN ANY ACTION OR PROCEEDING BY THE MAILING OR DELIVERY OF COPIES OF SUCH PROCESS TO IT AT THE OFFICE OF THE PROCESS AGENT. NOTHING IN THIS AGREEMENT WILL AFFECT THE RIGHT OF ANY PARTY TO THIS AGREEMENT TO SERVE PROCESS IN ANY OTHER MANNER PERMITTED BY LAW.</w:t>
      </w:r>
    </w:p>
    <w:p>
      <w:pPr>
        <w:spacing w:after="0" w:line="181" w:lineRule="exact"/>
        <w:rPr>
          <w:rFonts w:ascii="Times New Roman" w:cs="Times New Roman" w:eastAsia="Times New Roman" w:hAnsi="Times New Roman"/>
          <w:sz w:val="22"/>
          <w:szCs w:val="22"/>
          <w:color w:val="auto"/>
        </w:rPr>
      </w:pPr>
    </w:p>
    <w:p>
      <w:pPr>
        <w:ind w:right="20" w:firstLine="1505"/>
        <w:spacing w:after="0" w:line="244" w:lineRule="auto"/>
        <w:tabs>
          <w:tab w:leader="none" w:pos="1929"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THIS AGREEMENT HEREBY WAIVES, TO THE FULLEST EXTENT PERMITTED BY APPLICABLE LAW, ANY RIGHT THAT IT MAY HAVE TO A TRIAL BY JURY IN RESPECT OF ANY PROCEEDING.</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7.8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and by the different parties hereto on separate counterparts, each of which when so executed and delivered shall be an original, but all of which shall together constitute one and the same instrument. Delivery of an executed counterpart of this Agreement by electronic means (including email or telecopy) will be effective as delivery of a manually executed counterpart of this Agreement.</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7.9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This Agreement shall become effective on the Closing Date upon satisfaction of the conditions set forth in Section 3.1 and the Indenture.</w:t>
      </w:r>
    </w:p>
    <w:p>
      <w:pPr>
        <w:spacing w:after="0" w:line="158"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1"/>
          <w:szCs w:val="21"/>
          <w:color w:val="auto"/>
        </w:rPr>
        <w:t xml:space="preserve">Section 7.10 </w:t>
      </w:r>
      <w:r>
        <w:rPr>
          <w:rFonts w:ascii="Times New Roman" w:cs="Times New Roman" w:eastAsia="Times New Roman" w:hAnsi="Times New Roman"/>
          <w:sz w:val="21"/>
          <w:szCs w:val="21"/>
          <w:u w:val="single" w:color="auto"/>
          <w:color w:val="auto"/>
        </w:rPr>
        <w:t>Headings Descriptive</w:t>
      </w:r>
      <w:r>
        <w:rPr>
          <w:rFonts w:ascii="Times New Roman" w:cs="Times New Roman" w:eastAsia="Times New Roman" w:hAnsi="Times New Roman"/>
          <w:sz w:val="21"/>
          <w:szCs w:val="21"/>
          <w:color w:val="auto"/>
        </w:rPr>
        <w:t>. The headings of the several sections and subsections of this Agreement are inserted for convenience only and shall not in any way affect the meaning or construction of any provision of this Agreement.</w:t>
      </w:r>
    </w:p>
    <w:p>
      <w:pPr>
        <w:spacing w:after="0" w:line="135" w:lineRule="exact"/>
        <w:rPr>
          <w:sz w:val="20"/>
          <w:szCs w:val="20"/>
          <w:color w:val="auto"/>
        </w:rPr>
      </w:pPr>
    </w:p>
    <w:p>
      <w:pPr>
        <w:jc w:val="both"/>
        <w:ind w:firstLine="1497"/>
        <w:spacing w:after="0" w:line="246" w:lineRule="exact"/>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Amendment or Waiver</w:t>
      </w:r>
      <w:r>
        <w:rPr>
          <w:rFonts w:ascii="Times New Roman" w:cs="Times New Roman" w:eastAsia="Times New Roman" w:hAnsi="Times New Roman"/>
          <w:sz w:val="22"/>
          <w:szCs w:val="22"/>
          <w:color w:val="auto"/>
        </w:rPr>
        <w:t xml:space="preserve">. (a) This Agreement may not be changed, waived, discharged or terminated (other than pursuant to </w:t>
      </w:r>
      <w:r>
        <w:rPr>
          <w:rFonts w:ascii="Times New Roman" w:cs="Times New Roman" w:eastAsia="Times New Roman" w:hAnsi="Times New Roman"/>
          <w:sz w:val="22"/>
          <w:szCs w:val="22"/>
          <w:u w:val="single" w:color="auto"/>
          <w:color w:val="auto"/>
        </w:rPr>
        <w:t>Section 7.22</w:t>
      </w:r>
      <w:r>
        <w:rPr>
          <w:rFonts w:ascii="Times New Roman" w:cs="Times New Roman" w:eastAsia="Times New Roman" w:hAnsi="Times New Roman"/>
          <w:sz w:val="22"/>
          <w:szCs w:val="22"/>
          <w:color w:val="auto"/>
        </w:rPr>
        <w:t xml:space="preserve">) unless the consent of the Collateral Manager has been obtained and, other than in connection with a Conforming Amendment, the consent of a Majority of the Lenders has been obtained, and such change, waiver, discharge or termination is in writing signed by the Borrower, the Loan Agent and the Collateral Trustee;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change, waiver or termination shall, without the consent of each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holds Secured Loans directly affected thereby in the case of the following clause (i)), (i) extend any time fixed for the payment of any principal of the Secured Loans, or reduce the rate or extend the time of payment of interest (other than as a result of waiving the applicability of any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default increase in interest rates) or fees thereon, or reduce the principal amount thereof, or change the currency of payment thereof, (ii) release all or substantially all of the Assets (in each case, except as expressly provided in the Credit Documents), (iii) amend, modify or waive any provision of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or clause (a) of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(iv) reduce the percentage specified in the definition of Majority, (v) consent to the assignment or transfer by either of the Borrower of any of their rights and obligations under this Agreement (except as permitted by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(vi) waive any prepayment required pursuant to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or (vii) amend, modify or waive any provision of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For the avoidance of doubt, no consent of the Lenders shall be required in connection with a Conforming Amendment other than to the extent required pursuant to Article VIII of the Indenture. Each Lender hereby directs and authorizes the Collateral Trustee and the Loan Agent to enter into any such Conforming Amendment. Neither</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9" w:name="page350"/>
    <w:bookmarkEnd w:id="349"/>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Collateral Trustee nor the Loan Agent shall be obligated to enter into any amendment or supplement that, as determined by it, adversely affects its duties, obligations, liabilities or protections under the Credit Documents.</w:t>
      </w:r>
    </w:p>
    <w:p>
      <w:pPr>
        <w:spacing w:after="0" w:line="158" w:lineRule="exact"/>
        <w:rPr>
          <w:sz w:val="20"/>
          <w:szCs w:val="20"/>
          <w:color w:val="auto"/>
        </w:rPr>
      </w:pPr>
    </w:p>
    <w:p>
      <w:pPr>
        <w:jc w:val="both"/>
        <w:ind w:firstLine="1505"/>
        <w:spacing w:after="0" w:line="244" w:lineRule="auto"/>
        <w:tabs>
          <w:tab w:leader="none" w:pos="1929"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hereof and Section 2.13 of the Indenture and subject to the satisfaction of the conditions specified therein, a Conforming Amendment to this Agreement shall be made for the purpose of facilitating the incurrence of any Additional Loans.</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may be made to this Agreement that would create an inconsistency with Section 5.1, Article VI or Article VII of the Indenture unless a contemporaneous and equivalent amendment is made to Section 5.1, Article VI or Article VII, as applicable, of the Indenture in accordance with the terms thereof.</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4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amendment to this Agreement (other than a Conforming Amendment to reflect any changes to the Indenture) that has a material adverse effect on any Class of Debt shall (x) except as set forth in clause (y), require the consent of a Majority of such Class of Debt and (y) if such amendment has a material adverse effect on any Class of Debt and is an amendment of the type listed under any clause of Section 8.2 of the Indenture requiring the consent of 100% of the Holders of such Class, require consent of 100% of such Holders. Not later than 10 Business Days prior to the execution of any proposed amendment, the Loan Agent, at the request and expense of the Borrower, shall deliver to the Lenders, the Collateral Trustee (who shall forward to the Holders of the Notes), the Collateral Manager and the Rating Agency a copy of such amendment. The Loan Agent and the Collateral Trustee shall be entitled to receive and shall be fully protected in relying upon an Opinion of Counsel stating that the execution of such amendment is authorized or permitted by this Agreement and that all conditions precedent thereto have been satisfied. With respect to any amendment permitted by this Agreement the consent to which is expressly required from all or a Majority of each, or any specified, Class of Debt materially and adversely affected thereby, the Loan Agent and the Collateral Trustee shall be entitled to receive and conclusively rely upon an Opinion of Counsel or Officer’s certificate of the Collateral Manager or the Borrower as to whether such amendment will have a material adverse effect on any Class of Debt.</w:t>
      </w:r>
    </w:p>
    <w:p>
      <w:pPr>
        <w:spacing w:after="0" w:line="183" w:lineRule="exact"/>
        <w:rPr>
          <w:rFonts w:ascii="Times New Roman" w:cs="Times New Roman" w:eastAsia="Times New Roman" w:hAnsi="Times New Roman"/>
          <w:sz w:val="21"/>
          <w:szCs w:val="21"/>
          <w:color w:val="auto"/>
        </w:rPr>
      </w:pPr>
    </w:p>
    <w:p>
      <w:pPr>
        <w:jc w:val="both"/>
        <w:ind w:firstLine="1505"/>
        <w:spacing w:after="0" w:line="249" w:lineRule="auto"/>
        <w:tabs>
          <w:tab w:leader="none" w:pos="1929" w:val="left"/>
        </w:tabs>
        <w:numPr>
          <w:ilvl w:val="0"/>
          <w:numId w:val="4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such waiver and any such amendment, supplement or modification pursuant to this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shall apply equally to each of the Lenders and shall be binding upon the Borrower, the Lenders, the Loan Agent, the Collateral Trustee and all future holders of the Secured Loans. In the case of any waiver, the Borrower, the Lenders, the Collateral Trustee and the Loan Agent shall be restored to their former position and rights hereunder and under the other Credit Documents, and any Default or Event of Default waived shall be deemed to be cured and not continuing, to the extent so provided herein; but no such waiver shall extend to any subsequent or other Default or Event of Default, or impair any right consequent thereon.</w:t>
      </w:r>
    </w:p>
    <w:p>
      <w:pPr>
        <w:spacing w:after="0" w:line="17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7.12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indemnities set forth herein, including in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shall survive the termination of this Agreement, the making and repayment of the Secured Loans and the resignation and/or removal of the Loan Agent and the Collateral Trustee.</w:t>
      </w:r>
    </w:p>
    <w:p>
      <w:pPr>
        <w:spacing w:after="0" w:line="3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7.13 </w:t>
      </w:r>
      <w:r>
        <w:rPr>
          <w:rFonts w:ascii="Times New Roman" w:cs="Times New Roman" w:eastAsia="Times New Roman" w:hAnsi="Times New Roman"/>
          <w:sz w:val="22"/>
          <w:szCs w:val="22"/>
          <w:u w:val="single" w:color="auto"/>
          <w:color w:val="auto"/>
        </w:rPr>
        <w:t>Domicile of Lender</w:t>
      </w:r>
      <w:r>
        <w:rPr>
          <w:rFonts w:ascii="Times New Roman" w:cs="Times New Roman" w:eastAsia="Times New Roman" w:hAnsi="Times New Roman"/>
          <w:sz w:val="22"/>
          <w:szCs w:val="22"/>
          <w:color w:val="auto"/>
        </w:rPr>
        <w:t xml:space="preserve">. Subject to the limitations of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each Lender may assign and carry its Secured Loans at, to or for the account of any branch office, Subsidiary or Affiliate of such Lender.</w:t>
      </w:r>
    </w:p>
    <w:p>
      <w:pPr>
        <w:spacing w:after="0" w:line="158"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7.14 </w:t>
      </w:r>
      <w:r>
        <w:rPr>
          <w:rFonts w:ascii="Times New Roman" w:cs="Times New Roman" w:eastAsia="Times New Roman" w:hAnsi="Times New Roman"/>
          <w:sz w:val="22"/>
          <w:szCs w:val="22"/>
          <w:u w:val="single" w:color="auto"/>
          <w:color w:val="auto"/>
        </w:rPr>
        <w:t>Lenders May Hold Notes</w:t>
      </w:r>
      <w:r>
        <w:rPr>
          <w:rFonts w:ascii="Times New Roman" w:cs="Times New Roman" w:eastAsia="Times New Roman" w:hAnsi="Times New Roman"/>
          <w:sz w:val="22"/>
          <w:szCs w:val="22"/>
          <w:color w:val="auto"/>
        </w:rPr>
        <w:t>. The parties hereto acknowledge that the Lenders may also hold Notes under the Indenture. If a Lender holds Notes under the Indenture it shall have all rights under the Indenture as a Holder of Notes of the applicable Classes.</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7.15 </w:t>
      </w:r>
      <w:r>
        <w:rPr>
          <w:rFonts w:ascii="Times New Roman" w:cs="Times New Roman" w:eastAsia="Times New Roman" w:hAnsi="Times New Roman"/>
          <w:sz w:val="22"/>
          <w:szCs w:val="22"/>
          <w:u w:val="single" w:color="auto"/>
          <w:color w:val="auto"/>
        </w:rPr>
        <w:t>Loan Register; Participant Register</w:t>
      </w:r>
      <w:r>
        <w:rPr>
          <w:rFonts w:ascii="Times New Roman" w:cs="Times New Roman" w:eastAsia="Times New Roman" w:hAnsi="Times New Roman"/>
          <w:sz w:val="22"/>
          <w:szCs w:val="22"/>
          <w:color w:val="auto"/>
        </w:rPr>
        <w:t>. (a) The Borrower hereby appoints the Loan Agent to maintain the loan register (the “</w:t>
      </w:r>
      <w:r>
        <w:rPr>
          <w:rFonts w:ascii="Times New Roman" w:cs="Times New Roman" w:eastAsia="Times New Roman" w:hAnsi="Times New Roman"/>
          <w:sz w:val="22"/>
          <w:szCs w:val="22"/>
          <w:u w:val="single" w:color="auto"/>
          <w:color w:val="auto"/>
        </w:rPr>
        <w:t>Loan Register</w:t>
      </w:r>
      <w:r>
        <w:rPr>
          <w:rFonts w:ascii="Times New Roman" w:cs="Times New Roman" w:eastAsia="Times New Roman" w:hAnsi="Times New Roman"/>
          <w:sz w:val="22"/>
          <w:szCs w:val="22"/>
          <w:color w:val="auto"/>
        </w:rPr>
        <w:t>”) at one of its offices in the United States on which it shall record the names and addresses of each Lender, the Initial Loans and any Additional Loans (and assignments, principal amounts and stated interest thereof) made by each such persons and each repayment in respect of the principal amount of such Secured Loans.</w:t>
      </w:r>
    </w:p>
    <w:p>
      <w:pPr>
        <w:spacing w:after="0" w:line="180" w:lineRule="exact"/>
        <w:rPr>
          <w:sz w:val="20"/>
          <w:szCs w:val="20"/>
          <w:color w:val="auto"/>
        </w:rPr>
      </w:pPr>
    </w:p>
    <w:p>
      <w:pPr>
        <w:jc w:val="both"/>
        <w:ind w:firstLine="1505"/>
        <w:spacing w:after="0" w:line="233" w:lineRule="auto"/>
        <w:tabs>
          <w:tab w:leader="none" w:pos="1929"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Failure to make any such recordation, or any error in such recordation shall not affect the Borrower’s obligations in respect of such Secured Loans. With respect to any Lender, the assignment of the rights to the principal of, and interest on, any Secured Loan made by such Lender shall not be effective until such assignment is recorded on the Loan Register with respect to ownership of such Secured Loan as provided in this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xml:space="preserve"> and prior to such recordation all amounts owing to the assignor with respect to such Secured Loan shall remain owing to the assignor. The Initial Loans made by the Initial Lenders on the Closing Date shall be registered on the Loan Register by the Loan Agent. The registration of an assignment of all or part of any Secured Loan shall be recorded on the Loan Register only upon the acceptance by the Loan Agent of a properly executed and delivered Assignment Agreement pursuant to </w:t>
      </w:r>
      <w:r>
        <w:rPr>
          <w:rFonts w:ascii="Times New Roman" w:cs="Times New Roman" w:eastAsia="Times New Roman" w:hAnsi="Times New Roman"/>
          <w:sz w:val="22"/>
          <w:szCs w:val="22"/>
          <w:u w:val="single" w:color="auto"/>
          <w:color w:val="auto"/>
        </w:rPr>
        <w:t>Section 7.4(d)</w:t>
      </w:r>
      <w:r>
        <w:rPr>
          <w:rFonts w:ascii="Times New Roman" w:cs="Times New Roman" w:eastAsia="Times New Roman" w:hAnsi="Times New Roman"/>
          <w:sz w:val="22"/>
          <w:szCs w:val="22"/>
          <w:color w:val="auto"/>
        </w:rPr>
        <w:t>. The entries in the Loan Register shall be conclusive absent manifest error, and the Borrower, the Collateral Trustee and the Loan Agent shall treat each Person whose name is recorded in the Loan Register as the owner of such Secured Loan for all purposes of this Agreement notwithstanding any notice to the contrary.</w:t>
      </w:r>
    </w:p>
    <w:p>
      <w:pPr>
        <w:spacing w:after="0" w:line="18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Upon reasonable request, the Loan Agent will provide to any Lender evidence that such Lender and its Secured Loans are recorded on the Loan Register.</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The Loan Agent will provide to the Borrower, the Collateral Trustee or the Collateral Manager a complete list of Lenders (other than a Lender that instructs the Loan Agent in writing otherwise) at any time upon receipt by the Loan Agent of written notice from the Borrower, the Collateral Trustee or the Collateral Manager five (5) Business Days prior.</w:t>
      </w:r>
    </w:p>
    <w:p>
      <w:pPr>
        <w:spacing w:after="0" w:line="173" w:lineRule="exact"/>
        <w:rPr>
          <w:sz w:val="20"/>
          <w:szCs w:val="20"/>
          <w:color w:val="auto"/>
        </w:rPr>
      </w:pPr>
    </w:p>
    <w:p>
      <w:pPr>
        <w:jc w:val="both"/>
        <w:ind w:firstLine="1505"/>
        <w:spacing w:after="0" w:line="256" w:lineRule="exact"/>
        <w:tabs>
          <w:tab w:leader="none" w:pos="1929"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that sells a participation shall, acting solely for this purpose as an agent of the Borrower, maintain a register on which it enters the name and address of each participant and the principal amounts (and stated interest) of each participant’s interest in Secured Loans or other obligations under the Credit Documents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(including the identity of any participant or any information relating to a participant’s interest in any Secured Loans or other obligations under any Credit Document) to any Person except to the extent that such disclosure is necessary to establish that such Secured Loan or other obligation is in registered form under Section 5f.103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1(c) of the United States Treasury Regulations. The</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1" w:name="page352"/>
    <w:bookmarkEnd w:id="351"/>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Loan Agent and Collateral Trustee (in their capacities as Loan Agent and Collateral Trustee) shall have no responsibility for maintaining a Participant Register.</w:t>
      </w:r>
    </w:p>
    <w:p>
      <w:pPr>
        <w:spacing w:after="0" w:line="180"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7.16</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7.17 </w:t>
      </w:r>
      <w:r>
        <w:rPr>
          <w:rFonts w:ascii="Times New Roman" w:cs="Times New Roman" w:eastAsia="Times New Roman" w:hAnsi="Times New Roman"/>
          <w:sz w:val="22"/>
          <w:szCs w:val="22"/>
          <w:u w:val="single" w:color="auto"/>
          <w:color w:val="auto"/>
        </w:rPr>
        <w:t>Lender Representations, etc.</w:t>
      </w:r>
      <w:r>
        <w:rPr>
          <w:rFonts w:ascii="Times New Roman" w:cs="Times New Roman" w:eastAsia="Times New Roman" w:hAnsi="Times New Roman"/>
          <w:sz w:val="22"/>
          <w:szCs w:val="22"/>
          <w:color w:val="auto"/>
        </w:rPr>
        <w:t xml:space="preserve"> By executing this Agreement, whether on the date hereof or pursuant to an assignment permitted hereunder, each Lender represents, warrants and covenants as follows:</w:t>
      </w:r>
    </w:p>
    <w:p>
      <w:pPr>
        <w:spacing w:after="0" w:line="158" w:lineRule="exact"/>
        <w:rPr>
          <w:sz w:val="20"/>
          <w:szCs w:val="20"/>
          <w:color w:val="auto"/>
        </w:rPr>
      </w:pPr>
    </w:p>
    <w:p>
      <w:pPr>
        <w:jc w:val="both"/>
        <w:ind w:left="760" w:firstLine="1015"/>
        <w:spacing w:after="0" w:line="238" w:lineRule="auto"/>
        <w:tabs>
          <w:tab w:leader="none" w:pos="2210"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is a commercial bank, insurance company, fund or other financial institution that is a Qualified Institutional Buyer and a Qualified Purchaser;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it understands that by entering into the transactions contemplated hereby it is making a loan under a commercial credit facility and that by making the foregoing representation no Lender is characterizing the transactions contemplated herein as the making of an investment in “securities” as defined in the Securities Act.</w:t>
      </w:r>
    </w:p>
    <w:p>
      <w:pPr>
        <w:spacing w:after="0" w:line="176" w:lineRule="exact"/>
        <w:rPr>
          <w:rFonts w:ascii="Times New Roman" w:cs="Times New Roman" w:eastAsia="Times New Roman" w:hAnsi="Times New Roman"/>
          <w:sz w:val="22"/>
          <w:szCs w:val="22"/>
          <w:color w:val="auto"/>
        </w:rPr>
      </w:pPr>
    </w:p>
    <w:p>
      <w:pPr>
        <w:jc w:val="both"/>
        <w:ind w:left="760" w:firstLine="1015"/>
        <w:spacing w:after="0" w:line="233" w:lineRule="auto"/>
        <w:tabs>
          <w:tab w:leader="none" w:pos="2210"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its lending under the Secured Loan: (A) none of the Transaction Parties or any of their respective Affiliates is acting as a fiduciary or financial or investment advisor for it; (B) it is not relying (for purposes of making any investment decision or otherwise) upon any advice, counsel or representations (whether written or oral) of the Transaction Parties or any of their respective Affiliates; (C) it has consulted with its own legal, regulatory, tax, business, investment, financial and accounting advisors to the extent it has deemed necessary and has made its own investment decisions (including decisions regarding the suitability of any transaction pursuant to this Agreement and the Indenture) based upon its own judgment and upon any advice from such advisors as it has deemed necessary and not upon any view expressed by the Transaction Parties or any of their respective Affiliates; (D) it has read and understands this Agreement and the Indenture; and (E) it is a sophisticated investor and is acquiring an interest in such Secured Loan with a full understanding of all of the terms, conditions and risks thereof, and is capable of and willing to assume those risks.</w:t>
      </w:r>
    </w:p>
    <w:p>
      <w:pPr>
        <w:spacing w:after="0" w:line="187" w:lineRule="exact"/>
        <w:rPr>
          <w:rFonts w:ascii="Times New Roman" w:cs="Times New Roman" w:eastAsia="Times New Roman" w:hAnsi="Times New Roman"/>
          <w:sz w:val="22"/>
          <w:szCs w:val="22"/>
          <w:color w:val="auto"/>
        </w:rPr>
      </w:pPr>
    </w:p>
    <w:p>
      <w:pPr>
        <w:jc w:val="both"/>
        <w:ind w:left="760" w:firstLine="1015"/>
        <w:spacing w:after="0" w:line="235" w:lineRule="auto"/>
        <w:tabs>
          <w:tab w:leader="none" w:pos="2210"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On each day it is a Lender, (x) if it is, or is acting on behalf of, a Benefit Plan Investor, its acquisition, holding and disposition of its interest in the Secured Loans do not and will not constitute or result in a non-exempt prohibited transaction under Section 406 of ERISA or Section 4975 of the Code and (y) if it is a governmental, church, non-U.S. or other plan which is subject to any Other Plan Law, its acquisition, holding and disposition of such Secured Loans or interest therein do not and will not constitute or result in a non-exempt violation of any Other Plan Law. It understands that the representations made in this clause (iii)(A) will be deemed made on each day from the date of its acquisition through and including the date it disposes of such interest.</w:t>
      </w:r>
    </w:p>
    <w:p>
      <w:pPr>
        <w:spacing w:after="0" w:line="183" w:lineRule="exact"/>
        <w:rPr>
          <w:rFonts w:ascii="Times New Roman" w:cs="Times New Roman" w:eastAsia="Times New Roman" w:hAnsi="Times New Roman"/>
          <w:sz w:val="22"/>
          <w:szCs w:val="22"/>
          <w:color w:val="auto"/>
        </w:rPr>
      </w:pPr>
    </w:p>
    <w:p>
      <w:pPr>
        <w:jc w:val="both"/>
        <w:ind w:left="1500" w:right="20" w:firstLine="754"/>
        <w:spacing w:after="0" w:line="244" w:lineRule="auto"/>
        <w:tabs>
          <w:tab w:leader="none" w:pos="2681" w:val="left"/>
        </w:tabs>
        <w:numPr>
          <w:ilvl w:val="1"/>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Lender is a “Benefit Plan Investor”, it will be deemed to represent and warrant that (i) none of the Transaction Parties or any of their affiliates, has provided any investment advice within the meaning of Section 3(21)</w:t>
      </w:r>
    </w:p>
    <w:p>
      <w:pPr>
        <w:spacing w:after="0" w:line="3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2" w:name="page353"/>
    <w:bookmarkEnd w:id="352"/>
    <w:p>
      <w:pPr>
        <w:spacing w:after="0" w:line="185" w:lineRule="exact"/>
        <w:rPr>
          <w:sz w:val="20"/>
          <w:szCs w:val="20"/>
          <w:color w:val="auto"/>
        </w:rPr>
      </w:pPr>
    </w:p>
    <w:p>
      <w:pPr>
        <w:jc w:val="both"/>
        <w:ind w:left="1500"/>
        <w:spacing w:after="0" w:line="261" w:lineRule="auto"/>
        <w:rPr>
          <w:sz w:val="20"/>
          <w:szCs w:val="20"/>
          <w:color w:val="auto"/>
        </w:rPr>
      </w:pPr>
      <w:r>
        <w:rPr>
          <w:rFonts w:ascii="Times New Roman" w:cs="Times New Roman" w:eastAsia="Times New Roman" w:hAnsi="Times New Roman"/>
          <w:sz w:val="21"/>
          <w:szCs w:val="21"/>
          <w:color w:val="auto"/>
        </w:rPr>
        <w:t>of ERISA to the Benefit Plan Investor, or to any fiduciary or other person investing the assets of the Benefit Plan Investor (“</w:t>
      </w:r>
      <w:r>
        <w:rPr>
          <w:rFonts w:ascii="Times New Roman" w:cs="Times New Roman" w:eastAsia="Times New Roman" w:hAnsi="Times New Roman"/>
          <w:sz w:val="21"/>
          <w:szCs w:val="21"/>
          <w:u w:val="single" w:color="auto"/>
          <w:color w:val="auto"/>
        </w:rPr>
        <w:t>Fiduciary</w:t>
      </w:r>
      <w:r>
        <w:rPr>
          <w:rFonts w:ascii="Times New Roman" w:cs="Times New Roman" w:eastAsia="Times New Roman" w:hAnsi="Times New Roman"/>
          <w:sz w:val="21"/>
          <w:szCs w:val="21"/>
          <w:color w:val="auto"/>
        </w:rPr>
        <w:t>”) in connection with its acquisition and holding of its interest in the Secured Loans, and (ii) the Fiduciary is exercising its own independent judgment in evaluating its extending the Secured Loans.</w:t>
      </w:r>
    </w:p>
    <w:p>
      <w:pPr>
        <w:spacing w:after="0" w:line="157" w:lineRule="exact"/>
        <w:rPr>
          <w:sz w:val="20"/>
          <w:szCs w:val="20"/>
          <w:color w:val="auto"/>
        </w:rPr>
      </w:pPr>
    </w:p>
    <w:p>
      <w:pPr>
        <w:jc w:val="both"/>
        <w:ind w:left="1500" w:firstLine="754"/>
        <w:spacing w:after="0" w:line="235" w:lineRule="auto"/>
        <w:tabs>
          <w:tab w:leader="none" w:pos="2681" w:val="left"/>
        </w:tabs>
        <w:numPr>
          <w:ilvl w:val="1"/>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understands that if the Borrower determines that any of the representations, warranties or covenants made by a Lender in paragraphs (A) and (B) above are false or misleading, such Lender will be required by the Borrower to sell or otherwise transfer its Secured Loans to an eligible purchaser (selected by the Borrower) at a price to be agreed between the Borrower (exercising its sole discretion) and such eligible purchaser at the time of sale, subject to the transfer restrictions set out herein and in the Indenture. It understands that the Borrower shall be entitled to deduct from the sale or transfer price an amount equal to all the expenses and costs incurred and any loss suffered by the Borrower as a result of such forced transfer and such Lender will receive the balance, if any.</w:t>
      </w:r>
    </w:p>
    <w:p>
      <w:pPr>
        <w:spacing w:after="0" w:line="178" w:lineRule="exact"/>
        <w:rPr>
          <w:rFonts w:ascii="Times New Roman" w:cs="Times New Roman" w:eastAsia="Times New Roman" w:hAnsi="Times New Roman"/>
          <w:sz w:val="22"/>
          <w:szCs w:val="22"/>
          <w:color w:val="auto"/>
        </w:rPr>
      </w:pPr>
    </w:p>
    <w:p>
      <w:pPr>
        <w:ind w:left="760" w:right="20" w:firstLine="1015"/>
        <w:spacing w:after="0" w:line="258" w:lineRule="auto"/>
        <w:tabs>
          <w:tab w:leader="none" w:pos="2210" w:val="left"/>
        </w:tabs>
        <w:numPr>
          <w:ilvl w:val="0"/>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understands that the Borrower has not been registered under the Investment Company Act, and that the Borrower is exempt from registration as such by virtue of Section 3(c)(7) of the Investment Company Act.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Each Lender understands that the Borrower, the Loan Agent, the Collateral Trustee, the Collateral Administrator, the Collateral Manager and each of their respective counsel will rely upon the accuracy and truth of the foregoing representations, and it hereby consents to such reliance.</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 xml:space="preserve">Section 7.18 </w:t>
      </w:r>
      <w:r>
        <w:rPr>
          <w:rFonts w:ascii="Times New Roman" w:cs="Times New Roman" w:eastAsia="Times New Roman" w:hAnsi="Times New Roman"/>
          <w:sz w:val="21"/>
          <w:szCs w:val="21"/>
          <w:u w:val="single" w:color="auto"/>
          <w:color w:val="auto"/>
        </w:rPr>
        <w:t>No Petition; Non-Recourse Obligations</w:t>
      </w:r>
      <w:r>
        <w:rPr>
          <w:rFonts w:ascii="Times New Roman" w:cs="Times New Roman" w:eastAsia="Times New Roman" w:hAnsi="Times New Roman"/>
          <w:sz w:val="21"/>
          <w:szCs w:val="21"/>
          <w:color w:val="auto"/>
        </w:rPr>
        <w:t xml:space="preserve">. (a) The Collateral Trustee, the Loan Agent and each Lender or Holder or beneficial owner of an interest herein hereby covenants and agrees that it shall not institute against, or join any other Person in instituting against, the Borrower until one year (or if longer, the then applicable preference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one day after all Debt has been paid in full, any bankruptcy, reorganization, arrangement, insolvency or liquidation proceedings, or other similar proceedings under any federal or state bankruptcy or similar law. The Collateral Trustee, the Loan Agent and each Lender or Holder or beneficial owner of an interest herein acknowledges and agrees that if it files or causes the filing of a petition under United States federal or state bankruptcy law or any other similar law against the Borrower prior to the expiration of the period specified in the preceding sentence, any claim that it has against the Borrower (including under all Secured Debt of any Class held by it) or with respect to any Collateral Obligations (including any proceeds thereof) will, notwithstanding anything to the contrary in the Priority of Payments and notwithstanding any objection to, or rescission of, such filing, be fully subordinate in right of payment to the claims of each Holder or beneficial owner of any Secured Debt that does not seek to cause any such filing with such subordination being effective until all Secured Debt held by each Holder or beneficial owner that does not seek to cause any such filing is paid in full in accordance with the Priority of Payments (after giving effect to such subordination). This agreement will constitute a “subordination agreement” within the meaning of Section 510(a) of the Bankruptcy Code. The Borrower will direct the Collateral Trustee to segregate payments and take other reasonable steps to effect the foregoing.</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3" w:name="page354"/>
    <w:bookmarkEnd w:id="353"/>
    <w:p>
      <w:pPr>
        <w:spacing w:after="0" w:line="185" w:lineRule="exact"/>
        <w:rPr>
          <w:sz w:val="20"/>
          <w:szCs w:val="20"/>
          <w:color w:val="auto"/>
        </w:rPr>
      </w:pPr>
    </w:p>
    <w:p>
      <w:pPr>
        <w:jc w:val="both"/>
        <w:ind w:firstLine="1505"/>
        <w:spacing w:after="0" w:line="233" w:lineRule="auto"/>
        <w:tabs>
          <w:tab w:leader="none" w:pos="1929"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 Agent, the Collateral Trustee and each Lender agrees that the obligations of the Borrower under the Secured Loans and this Agreement are limited recourse obligations of the Borrower, payable solely from the Assets in accordance with the terms of the Credit Documents, and, following repayment and realization of the Assets and application of the proceeds thereof in accordance with the Indenture, any claims of the Loan Agent or the Lenders and obligations of the Borrower hereunder shall be extinguished and shall not thereafter revive. No recourse shall be had for the payment of any amount owing in respect of the Secured Loans against any member, shareholder, owner, employee, officer, director, manager, partner, general partner, authorized person, advisor, agent or incorporator or organizer of the Borrower or the Collateral Manager or their respective successors or assigns for any amounts payable under the Secured Loans, this Agreement or the Indenture. It is understood that the foregoing provisions of this </w:t>
      </w:r>
      <w:r>
        <w:rPr>
          <w:rFonts w:ascii="Times New Roman" w:cs="Times New Roman" w:eastAsia="Times New Roman" w:hAnsi="Times New Roman"/>
          <w:sz w:val="22"/>
          <w:szCs w:val="22"/>
          <w:u w:val="single" w:color="auto"/>
          <w:color w:val="auto"/>
        </w:rPr>
        <w:t>Section 7.18(b)</w:t>
      </w:r>
      <w:r>
        <w:rPr>
          <w:rFonts w:ascii="Times New Roman" w:cs="Times New Roman" w:eastAsia="Times New Roman" w:hAnsi="Times New Roman"/>
          <w:sz w:val="22"/>
          <w:szCs w:val="22"/>
          <w:color w:val="auto"/>
        </w:rPr>
        <w:t xml:space="preserve"> shall not (i) prevent recourse to the Assets for the sums due or to become due under any security, instrument or agreement which is part of the Assets or (ii) constitute a waiver, release or discharge of any indebtedness or obligation evidenced by the Secured Loans until the Assets have been realized, whereupon any outstanding indebtedness or obligation shall be extinguished and shall not thereafter revive.</w:t>
      </w:r>
    </w:p>
    <w:p>
      <w:pPr>
        <w:spacing w:after="0" w:line="184"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Section 7.18</w:t>
      </w:r>
      <w:r>
        <w:rPr>
          <w:rFonts w:ascii="Times New Roman" w:cs="Times New Roman" w:eastAsia="Times New Roman" w:hAnsi="Times New Roman"/>
          <w:sz w:val="21"/>
          <w:szCs w:val="21"/>
          <w:color w:val="auto"/>
        </w:rPr>
        <w:t xml:space="preserve"> shall survive the termination of this Agreement and the payment of all amounts payable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hereunder.</w:t>
      </w:r>
    </w:p>
    <w:p>
      <w:pPr>
        <w:spacing w:after="0" w:line="182"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7.19 </w:t>
      </w:r>
      <w:r>
        <w:rPr>
          <w:rFonts w:ascii="Times New Roman" w:cs="Times New Roman" w:eastAsia="Times New Roman" w:hAnsi="Times New Roman"/>
          <w:sz w:val="22"/>
          <w:szCs w:val="22"/>
          <w:u w:val="single" w:color="auto"/>
          <w:color w:val="auto"/>
        </w:rPr>
        <w:t>Acknowledgment</w:t>
      </w:r>
      <w:r>
        <w:rPr>
          <w:rFonts w:ascii="Times New Roman" w:cs="Times New Roman" w:eastAsia="Times New Roman" w:hAnsi="Times New Roman"/>
          <w:sz w:val="22"/>
          <w:szCs w:val="22"/>
          <w:color w:val="auto"/>
        </w:rPr>
        <w:t>. The Borrower hereby acknowledges that none of the parties hereto has any fiduciary relationship with or fiduciary duty to the Borrower pursuant to the terms of this Agreement, and the relationship between the Collateral Trustee, the Lenders and the Loan Agent on the one hand, and the Borrower, on the other hand, in connection herewith is solely that of debtor and creditor.</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7.20 </w:t>
      </w:r>
      <w:r>
        <w:rPr>
          <w:rFonts w:ascii="Times New Roman" w:cs="Times New Roman" w:eastAsia="Times New Roman" w:hAnsi="Times New Roman"/>
          <w:sz w:val="22"/>
          <w:szCs w:val="22"/>
          <w:u w:val="single" w:color="auto"/>
          <w:color w:val="auto"/>
        </w:rPr>
        <w:t>Limitation on Suits</w:t>
      </w:r>
      <w:r>
        <w:rPr>
          <w:rFonts w:ascii="Times New Roman" w:cs="Times New Roman" w:eastAsia="Times New Roman" w:hAnsi="Times New Roman"/>
          <w:sz w:val="22"/>
          <w:szCs w:val="22"/>
          <w:color w:val="auto"/>
        </w:rPr>
        <w:t>. No Lender shall have any right to institute any Proceedings, judicial or otherwise, with respect to this Agreement or the Indenture except as provided in Section 5.8 of the Indenture.</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7.21 </w:t>
      </w:r>
      <w:r>
        <w:rPr>
          <w:rFonts w:ascii="Times New Roman" w:cs="Times New Roman" w:eastAsia="Times New Roman" w:hAnsi="Times New Roman"/>
          <w:sz w:val="22"/>
          <w:szCs w:val="22"/>
          <w:u w:val="single" w:color="auto"/>
          <w:color w:val="auto"/>
        </w:rPr>
        <w:t>Unconditional Rights of Lenders to Receive Principal and Interest</w:t>
      </w:r>
      <w:r>
        <w:rPr>
          <w:rFonts w:ascii="Times New Roman" w:cs="Times New Roman" w:eastAsia="Times New Roman" w:hAnsi="Times New Roman"/>
          <w:sz w:val="22"/>
          <w:szCs w:val="22"/>
          <w:color w:val="auto"/>
        </w:rPr>
        <w:t xml:space="preserve">. Notwithstanding any other provision in this Agreement, the Lenders shall have the right, which is absolute and unconditional, to receive payment of the principal of and interest on the Secured Loans as such principal and interest become due and payable in accordance with the Indenture and this Agreement, including the Priority of Payments and </w:t>
      </w:r>
      <w:r>
        <w:rPr>
          <w:rFonts w:ascii="Times New Roman" w:cs="Times New Roman" w:eastAsia="Times New Roman" w:hAnsi="Times New Roman"/>
          <w:sz w:val="22"/>
          <w:szCs w:val="22"/>
          <w:u w:val="single" w:color="auto"/>
          <w:color w:val="auto"/>
        </w:rPr>
        <w:t>Section 2.7(b)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hereof, and, subject to the provisions of </w:t>
      </w:r>
      <w:r>
        <w:rPr>
          <w:rFonts w:ascii="Times New Roman" w:cs="Times New Roman" w:eastAsia="Times New Roman" w:hAnsi="Times New Roman"/>
          <w:sz w:val="22"/>
          <w:szCs w:val="22"/>
          <w:u w:val="single" w:color="auto"/>
          <w:color w:val="auto"/>
        </w:rPr>
        <w:t>Section 7.20</w:t>
      </w:r>
      <w:r>
        <w:rPr>
          <w:rFonts w:ascii="Times New Roman" w:cs="Times New Roman" w:eastAsia="Times New Roman" w:hAnsi="Times New Roman"/>
          <w:sz w:val="22"/>
          <w:szCs w:val="22"/>
          <w:color w:val="auto"/>
        </w:rPr>
        <w:t>, to institute proceedings for the enforcement of any such payment, and such right shall not be impaired without the consent of such Lender.</w:t>
      </w:r>
    </w:p>
    <w:p>
      <w:pPr>
        <w:spacing w:after="0" w:line="18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7.22 </w:t>
      </w:r>
      <w:r>
        <w:rPr>
          <w:rFonts w:ascii="Times New Roman" w:cs="Times New Roman" w:eastAsia="Times New Roman" w:hAnsi="Times New Roman"/>
          <w:sz w:val="22"/>
          <w:szCs w:val="22"/>
          <w:u w:val="single" w:color="auto"/>
          <w:color w:val="auto"/>
        </w:rPr>
        <w:t>Termination of Agreement</w:t>
      </w:r>
      <w:r>
        <w:rPr>
          <w:rFonts w:ascii="Times New Roman" w:cs="Times New Roman" w:eastAsia="Times New Roman" w:hAnsi="Times New Roman"/>
          <w:sz w:val="22"/>
          <w:szCs w:val="22"/>
          <w:color w:val="auto"/>
        </w:rPr>
        <w:t>. Without prejudice to any provision of the Indenture, this Agreement and all rights and obligations hereunder, other than those expressly specified as surviving the termination of this Agreement and the repayment of the Secured Loans and those set forth in Section 4.1 of the Indenture with respect to the Lenders, the Secured Loans or the Loan Agent, shall terminate (i) at such time that all of the Secured Loans are repaid in full in accordance with the terms herein or (ii) upon the final distribution of all proceeds of any liquidation of the Assets pursuant to Article V of the Indenture.</w:t>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4" w:name="page355"/>
    <w:bookmarkEnd w:id="354"/>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7.23 </w:t>
      </w:r>
      <w:r>
        <w:rPr>
          <w:rFonts w:ascii="Times New Roman" w:cs="Times New Roman" w:eastAsia="Times New Roman" w:hAnsi="Times New Roman"/>
          <w:sz w:val="22"/>
          <w:szCs w:val="22"/>
          <w:u w:val="single" w:color="auto"/>
          <w:color w:val="auto"/>
        </w:rPr>
        <w:t>Separability</w:t>
      </w:r>
      <w:r>
        <w:rPr>
          <w:rFonts w:ascii="Times New Roman" w:cs="Times New Roman" w:eastAsia="Times New Roman" w:hAnsi="Times New Roman"/>
          <w:sz w:val="22"/>
          <w:szCs w:val="22"/>
          <w:color w:val="auto"/>
        </w:rPr>
        <w:t>. In case any provision in this Agreement or the Secured Loans shall be invalid, illegal or unenforceable, the validity, legality, and enforceability of the remaining provisions shall not in any way be affected or impaired thereby.</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7.24 </w:t>
      </w:r>
      <w:r>
        <w:rPr>
          <w:rFonts w:ascii="Times New Roman" w:cs="Times New Roman" w:eastAsia="Times New Roman" w:hAnsi="Times New Roman"/>
          <w:sz w:val="22"/>
          <w:szCs w:val="22"/>
          <w:u w:val="single" w:color="auto"/>
          <w:color w:val="auto"/>
        </w:rPr>
        <w:t>CUSIP Global Service Loan Identifier</w:t>
      </w:r>
      <w:r>
        <w:rPr>
          <w:rFonts w:ascii="Times New Roman" w:cs="Times New Roman" w:eastAsia="Times New Roman" w:hAnsi="Times New Roman"/>
          <w:sz w:val="22"/>
          <w:szCs w:val="22"/>
          <w:color w:val="auto"/>
        </w:rPr>
        <w:t>. Prior to date of the Initial Loan, the Borrower shall obtain Rule 144A and Regulation S CUSIP Global Service Loan Identifiers applicable to this Agreement from the CUSIP Service Bureau.</w:t>
      </w:r>
    </w:p>
    <w:p>
      <w:pPr>
        <w:spacing w:after="0" w:line="17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7.25 </w:t>
      </w: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Each account established pursuant to this Agreement will remain at all times (a) with a federal or state depository institution having combined capital and surplus of at least U.S.$200,000,000 (which may be the Collateral Trustee) that has a long term issuer rating from S&amp;P of at least “A” and a short-term issuer rating from S&amp;P of at least “A-1” (or a long-term issuer rating of at least “A+” by S&amp;P if such institution has no short-term issuer rating) or (b) in segregated trust accounts with the corporate trust department of a federal or state-chartered depository institution (which may be the Collateral Trustee) subject to regulations regarding fiduciary funds on deposit similar to Title 12 of the Code of Federal Regulation Section 9.10(b), which depository institution has (x) a long-term issuer rating from S&amp;P of at least “BBB+” and (y) to the extent any related trust account is holding cash, satisfies the ratings requirements specified in clause (a) above. If at any time the ratings of a financial institution maintaining any accounts fail to meet the required ratings set forth above, the Borrower will cause the assets held in such Accounts to be moved within 30 calendar days to another institution that satisfies the requirements of clauses (a) or (b) above. Notwithstanding anything herein or in the Indenture, to the extent that the Collateral Trustee and the Loan Agent are the same Person, payments to be made to the Class A-1L-B Lenders hereunder may be made directly from the Collateral Trustee to the Class A-1L-B Lenders and in such case (i) no loan account shall be required to be established and (ii) any such payments by the Collateral Trustee to the Class A-1L-B Lenders shall be deemed to have been made by the Loan Agent for disbursement to the Class A-1L-B Lenders for all purposes hereunder.</w:t>
      </w:r>
    </w:p>
    <w:p>
      <w:pPr>
        <w:spacing w:after="0" w:line="17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7.26 </w:t>
      </w:r>
      <w:r>
        <w:rPr>
          <w:rFonts w:ascii="Times New Roman" w:cs="Times New Roman" w:eastAsia="Times New Roman" w:hAnsi="Times New Roman"/>
          <w:sz w:val="22"/>
          <w:szCs w:val="22"/>
          <w:u w:val="single" w:color="auto"/>
          <w:color w:val="auto"/>
        </w:rPr>
        <w:t>Acknowledgement Regarding Any Supported QFCs</w:t>
      </w:r>
      <w:r>
        <w:rPr>
          <w:rFonts w:ascii="Times New Roman" w:cs="Times New Roman" w:eastAsia="Times New Roman" w:hAnsi="Times New Roman"/>
          <w:sz w:val="22"/>
          <w:szCs w:val="22"/>
          <w:color w:val="auto"/>
        </w:rPr>
        <w:t>. To the extent that the Credit Documents provide support, through a guarantee or otherwise, for Swap Contracts or any other agreement or instrument that is a QFC (such support, “</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78" w:lineRule="exact"/>
        <w:rPr>
          <w:sz w:val="20"/>
          <w:szCs w:val="20"/>
          <w:color w:val="auto"/>
        </w:rPr>
      </w:pPr>
    </w:p>
    <w:p>
      <w:pPr>
        <w:jc w:val="both"/>
        <w:ind w:firstLine="1505"/>
        <w:spacing w:after="0" w:line="238" w:lineRule="auto"/>
        <w:tabs>
          <w:tab w:leader="none" w:pos="1929"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5" w:name="page356"/>
    <w:bookmarkEnd w:id="355"/>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w:t>
      </w:r>
    </w:p>
    <w:p>
      <w:pPr>
        <w:spacing w:after="0" w:line="183"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 xml:space="preserve">As used in this </w:t>
      </w:r>
      <w:r>
        <w:rPr>
          <w:rFonts w:ascii="Times New Roman" w:cs="Times New Roman" w:eastAsia="Times New Roman" w:hAnsi="Times New Roman"/>
          <w:sz w:val="21"/>
          <w:szCs w:val="21"/>
          <w:u w:val="single" w:color="auto"/>
          <w:color w:val="auto"/>
        </w:rPr>
        <w:t>Section 7.26</w:t>
      </w:r>
      <w:r>
        <w:rPr>
          <w:rFonts w:ascii="Times New Roman" w:cs="Times New Roman" w:eastAsia="Times New Roman" w:hAnsi="Times New Roman"/>
          <w:sz w:val="21"/>
          <w:szCs w:val="21"/>
          <w:color w:val="auto"/>
        </w:rPr>
        <w:t>, the following terms have the following meanings:</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06" w:lineRule="exact"/>
        <w:rPr>
          <w:sz w:val="20"/>
          <w:szCs w:val="20"/>
          <w:color w:val="auto"/>
        </w:rPr>
      </w:pPr>
    </w:p>
    <w:p>
      <w:pPr>
        <w:ind w:left="1940" w:hanging="435"/>
        <w:spacing w:after="0"/>
        <w:tabs>
          <w:tab w:leader="none" w:pos="1940"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 with, 12 C.F.R. § 47.3(b); or</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FSI” as that term is defined in, and interpreted in accordance with, 12 C.F.R. § 382.2(b).</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Right</w:t>
      </w:r>
      <w:r>
        <w:rPr>
          <w:rFonts w:ascii="Times New Roman" w:cs="Times New Roman" w:eastAsia="Times New Roman" w:hAnsi="Times New Roman"/>
          <w:sz w:val="21"/>
          <w:szCs w:val="21"/>
          <w:color w:val="auto"/>
        </w:rPr>
        <w:t>” has the meaning assigned to that term in, and shall be interpreted in accordance with, 12 C.F.R.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252.81, 47.2 or 382.1, as applicable.</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5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Contract</w:t>
      </w:r>
      <w:r>
        <w:rPr>
          <w:rFonts w:ascii="Times New Roman" w:cs="Times New Roman" w:eastAsia="Times New Roman" w:hAnsi="Times New Roman"/>
          <w:sz w:val="22"/>
          <w:szCs w:val="22"/>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2"/>
          <w:szCs w:val="22"/>
          <w:u w:val="single" w:color="auto"/>
          <w:color w:val="auto"/>
        </w:rPr>
        <w:t>Master Agreement</w:t>
      </w:r>
      <w:r>
        <w:rPr>
          <w:rFonts w:ascii="Times New Roman" w:cs="Times New Roman" w:eastAsia="Times New Roman" w:hAnsi="Times New Roman"/>
          <w:sz w:val="22"/>
          <w:szCs w:val="22"/>
          <w:color w:val="auto"/>
        </w:rPr>
        <w:t>”), including any such obligations or liabilities under any Master Agreement.</w:t>
      </w:r>
    </w:p>
    <w:p>
      <w:pPr>
        <w:spacing w:after="0" w:line="3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6" w:name="page357"/>
    <w:bookmarkEnd w:id="356"/>
    <w:p>
      <w:pPr>
        <w:spacing w:after="0" w:line="185"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7.27 </w:t>
      </w:r>
      <w:r>
        <w:rPr>
          <w:rFonts w:ascii="Times New Roman" w:cs="Times New Roman" w:eastAsia="Times New Roman" w:hAnsi="Times New Roman"/>
          <w:sz w:val="22"/>
          <w:szCs w:val="22"/>
          <w:u w:val="single" w:color="auto"/>
          <w:color w:val="auto"/>
        </w:rPr>
        <w:t>Acknowledgement and Consent to Bail-In of EEA Financial Institutions</w:t>
      </w:r>
      <w:r>
        <w:rPr>
          <w:rFonts w:ascii="Times New Roman" w:cs="Times New Roman" w:eastAsia="Times New Roman" w:hAnsi="Times New Roman"/>
          <w:sz w:val="22"/>
          <w:szCs w:val="22"/>
          <w:color w:val="auto"/>
        </w:rPr>
        <w:t>. 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177" w:lineRule="exact"/>
        <w:rPr>
          <w:sz w:val="20"/>
          <w:szCs w:val="20"/>
          <w:color w:val="auto"/>
        </w:rPr>
      </w:pPr>
    </w:p>
    <w:p>
      <w:pPr>
        <w:ind w:right="20" w:firstLine="1505"/>
        <w:spacing w:after="0" w:line="282" w:lineRule="auto"/>
        <w:tabs>
          <w:tab w:leader="none" w:pos="1929" w:val="left"/>
        </w:tabs>
        <w:numPr>
          <w:ilvl w:val="0"/>
          <w:numId w:val="4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4"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06" w:lineRule="exact"/>
        <w:rPr>
          <w:rFonts w:ascii="Times New Roman" w:cs="Times New Roman" w:eastAsia="Times New Roman" w:hAnsi="Times New Roman"/>
          <w:sz w:val="22"/>
          <w:szCs w:val="22"/>
          <w:color w:val="auto"/>
        </w:rPr>
      </w:pPr>
    </w:p>
    <w:p>
      <w:pPr>
        <w:ind w:left="2200" w:hanging="425"/>
        <w:spacing w:after="0"/>
        <w:tabs>
          <w:tab w:leader="none" w:pos="2200" w:val="left"/>
        </w:tabs>
        <w:numPr>
          <w:ilvl w:val="1"/>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6" w:lineRule="exact"/>
        <w:rPr>
          <w:rFonts w:ascii="Times New Roman" w:cs="Times New Roman" w:eastAsia="Times New Roman" w:hAnsi="Times New Roman"/>
          <w:sz w:val="22"/>
          <w:szCs w:val="22"/>
          <w:color w:val="auto"/>
        </w:rPr>
      </w:pPr>
    </w:p>
    <w:p>
      <w:pPr>
        <w:jc w:val="both"/>
        <w:ind w:left="760" w:firstLine="1015"/>
        <w:spacing w:after="0" w:line="239" w:lineRule="auto"/>
        <w:tabs>
          <w:tab w:leader="none" w:pos="2210" w:val="left"/>
        </w:tabs>
        <w:numPr>
          <w:ilvl w:val="1"/>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80" w:lineRule="exact"/>
        <w:rPr>
          <w:rFonts w:ascii="Times New Roman" w:cs="Times New Roman" w:eastAsia="Times New Roman" w:hAnsi="Times New Roman"/>
          <w:sz w:val="22"/>
          <w:szCs w:val="22"/>
          <w:color w:val="auto"/>
        </w:rPr>
      </w:pPr>
    </w:p>
    <w:p>
      <w:pPr>
        <w:ind w:left="760" w:right="40" w:firstLine="1015"/>
        <w:spacing w:after="0" w:line="258" w:lineRule="auto"/>
        <w:tabs>
          <w:tab w:leader="none" w:pos="2210" w:val="left"/>
        </w:tabs>
        <w:numPr>
          <w:ilvl w:val="1"/>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any EEA Resolution Authority.</w:t>
      </w:r>
    </w:p>
    <w:p>
      <w:pPr>
        <w:spacing w:after="0" w:line="158"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7.28</w:t>
      </w:r>
      <w:r>
        <w:rPr>
          <w:sz w:val="20"/>
          <w:szCs w:val="20"/>
          <w:color w:val="auto"/>
        </w:rPr>
        <w:tab/>
      </w:r>
      <w:r>
        <w:rPr>
          <w:rFonts w:ascii="Times New Roman" w:cs="Times New Roman" w:eastAsia="Times New Roman" w:hAnsi="Times New Roman"/>
          <w:sz w:val="21"/>
          <w:szCs w:val="21"/>
          <w:u w:val="single" w:color="auto"/>
          <w:color w:val="auto"/>
        </w:rPr>
        <w:t>Conflict of Interest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8" w:lineRule="auto"/>
        <w:tabs>
          <w:tab w:leader="none" w:pos="1570"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Lender shall not be subject to any limitation whatsoever in the exercise of any rights or remedies available to it under any of the Credit Documents or any other agreements or instruments that govern the Secured Loans by virtue of the ownership by it or any parent, subsidiary or Affiliate of the Initial Lender of any equity interest any of them may acquire in the Borrower, and the Borrower hereby irrevocably waives the right to raise any defense or take any action on the basis of the foregoing with respect to the Initial Lender’s exercise of any such rights or remedies.</w:t>
      </w:r>
    </w:p>
    <w:p>
      <w:pPr>
        <w:spacing w:after="0" w:line="176" w:lineRule="exact"/>
        <w:rPr>
          <w:rFonts w:ascii="Times New Roman" w:cs="Times New Roman" w:eastAsia="Times New Roman" w:hAnsi="Times New Roman"/>
          <w:sz w:val="22"/>
          <w:szCs w:val="22"/>
          <w:color w:val="auto"/>
        </w:rPr>
      </w:pPr>
    </w:p>
    <w:p>
      <w:pPr>
        <w:jc w:val="both"/>
        <w:ind w:firstLine="757"/>
        <w:spacing w:after="0" w:line="234" w:lineRule="auto"/>
        <w:tabs>
          <w:tab w:leader="none" w:pos="1473"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Lender and its Affiliates (collectively, the “</w:t>
      </w:r>
      <w:r>
        <w:rPr>
          <w:rFonts w:ascii="Times New Roman" w:cs="Times New Roman" w:eastAsia="Times New Roman" w:hAnsi="Times New Roman"/>
          <w:sz w:val="22"/>
          <w:szCs w:val="22"/>
          <w:u w:val="single" w:color="auto"/>
          <w:color w:val="auto"/>
        </w:rPr>
        <w:t>State Street Group</w:t>
      </w:r>
      <w:r>
        <w:rPr>
          <w:rFonts w:ascii="Times New Roman" w:cs="Times New Roman" w:eastAsia="Times New Roman" w:hAnsi="Times New Roman"/>
          <w:sz w:val="22"/>
          <w:szCs w:val="22"/>
          <w:color w:val="auto"/>
        </w:rPr>
        <w:t>”) may provide to the Borrower and its Affiliates (collectively, the “</w:t>
      </w:r>
      <w:r>
        <w:rPr>
          <w:rFonts w:ascii="Times New Roman" w:cs="Times New Roman" w:eastAsia="Times New Roman" w:hAnsi="Times New Roman"/>
          <w:sz w:val="22"/>
          <w:szCs w:val="22"/>
          <w:u w:val="single" w:color="auto"/>
          <w:color w:val="auto"/>
        </w:rPr>
        <w:t>Borrower Group</w:t>
      </w:r>
      <w:r>
        <w:rPr>
          <w:rFonts w:ascii="Times New Roman" w:cs="Times New Roman" w:eastAsia="Times New Roman" w:hAnsi="Times New Roman"/>
          <w:sz w:val="22"/>
          <w:szCs w:val="22"/>
          <w:color w:val="auto"/>
        </w:rPr>
        <w:t>”) a number of services other than those described in the Credit Documents, including, without limitation, transition management, agency securities lending, enhanced custody, principal and agency foreign exchange services, currency management, futures clearing, electronic trading, derivatives, custody, accounting, administration, trustee, and investment advisory services (each a “</w:t>
      </w:r>
      <w:r>
        <w:rPr>
          <w:rFonts w:ascii="Times New Roman" w:cs="Times New Roman" w:eastAsia="Times New Roman" w:hAnsi="Times New Roman"/>
          <w:sz w:val="22"/>
          <w:szCs w:val="22"/>
          <w:u w:val="single" w:color="auto"/>
          <w:color w:val="auto"/>
        </w:rPr>
        <w:t>Non-Lending Service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Non-Lending Services</w:t>
      </w:r>
      <w:r>
        <w:rPr>
          <w:rFonts w:ascii="Times New Roman" w:cs="Times New Roman" w:eastAsia="Times New Roman" w:hAnsi="Times New Roman"/>
          <w:sz w:val="22"/>
          <w:szCs w:val="22"/>
          <w:color w:val="auto"/>
        </w:rPr>
        <w:t>”). Nothing in the agreements or other arrangements between any member of the Borrower Group and any member of the State Street Group with respect to any Non-Lending Service, including, without limitation, any custody, trustee or investment advisory services that may be provided to such member of the Borrower Group, will be deemed to modify the terms or conditions of, or the relationship in which the parties act under, the Credit Documents. Similarly, the rights that any member of the Borrower Group</w:t>
      </w:r>
    </w:p>
    <w:p>
      <w:pPr>
        <w:spacing w:after="0" w:line="3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7" w:name="page358"/>
    <w:bookmarkEnd w:id="357"/>
    <w:p>
      <w:pPr>
        <w:jc w:val="both"/>
        <w:spacing w:after="0" w:line="244" w:lineRule="auto"/>
        <w:rPr>
          <w:sz w:val="20"/>
          <w:szCs w:val="20"/>
          <w:color w:val="auto"/>
        </w:rPr>
      </w:pPr>
      <w:r>
        <w:rPr>
          <w:rFonts w:ascii="Times New Roman" w:cs="Times New Roman" w:eastAsia="Times New Roman" w:hAnsi="Times New Roman"/>
          <w:sz w:val="22"/>
          <w:szCs w:val="22"/>
          <w:color w:val="auto"/>
        </w:rPr>
        <w:t>may have under the Credit Documents will not modify the terms or conditions of, or the relationship in which the parties act under, the contractual arrangements such member of the Borrower Group has entered into with any member of the State Street Group in respect of any Non-Lending Service.</w:t>
      </w:r>
    </w:p>
    <w:p>
      <w:pPr>
        <w:spacing w:after="0" w:line="173" w:lineRule="exact"/>
        <w:rPr>
          <w:sz w:val="20"/>
          <w:szCs w:val="20"/>
          <w:color w:val="auto"/>
        </w:rPr>
      </w:pPr>
    </w:p>
    <w:p>
      <w:pPr>
        <w:jc w:val="both"/>
        <w:ind w:left="760" w:firstLine="745"/>
        <w:spacing w:after="0" w:line="235" w:lineRule="auto"/>
        <w:tabs>
          <w:tab w:leader="none" w:pos="2214"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relationship between the Borrower and the Initial Lender under this Agreement and the other Credit Documents is one of debtor and creditor. Without limiting the generality of the foregoing, the status of a member of the State Street Group as a fiduciary, trustee, custodian or agent to a member of the Borrower Group under any contractual arrangement or service relationship relating to any Non-Lending Service will not imply or create a similar relationship or related obligation with respect to the transaction described in the Credit Documents. Neither the Initial Lender nor any other member of the State Street Group offers its lending services (including, without limitation, the transaction described in the Credit Documents) as a fiduciary, trustee or custodian.</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326"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 of the State Street Group, each in its capacity as a provider of Non-Lending Services, may charge fees, including transaction-based or volume-based fees, as may be agreed to by members of the Borrower Group. None of the fees charged by members of the State Street Group in connection with the provision of Non-Lending Services is, or should be considered to be, fees related to the Secured Loans.</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2430"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set forth in the Credit Documents, as compensation for its lending services, the Initial Lender charges various fees and interest to the Borrower. The amount of fees and interest charged by members of the State Street Group to any third party (such as the Borrower) will depend on a number of factors, including State Street Group’s other commercial dealings with such third party, and may vary materially from the fees and interest charged to other third parties. Neither the Initial Lender nor any other member of the State Street Group has any obligation to provide the Borrower or any other member of the Borrower Group with the lowest or “best” pricing or other terms for any commercial lending service (including the Secured Loans). Borrower may be able to obtain more favorable terms for the lending transaction contemplated by the Credit Documents from financial institutions other than the State Street Group.</w:t>
      </w:r>
    </w:p>
    <w:p>
      <w:pPr>
        <w:spacing w:after="0" w:line="183" w:lineRule="exact"/>
        <w:rPr>
          <w:rFonts w:ascii="Times New Roman" w:cs="Times New Roman" w:eastAsia="Times New Roman" w:hAnsi="Times New Roman"/>
          <w:sz w:val="22"/>
          <w:szCs w:val="22"/>
          <w:color w:val="auto"/>
        </w:rPr>
      </w:pPr>
    </w:p>
    <w:p>
      <w:pPr>
        <w:ind w:left="51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8" w:name="page359"/>
    <w:bookmarkEnd w:id="358"/>
    <w:p>
      <w:pPr>
        <w:spacing w:after="0" w:line="185"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by their respective officers thereunto duly authorized as of the day and year first above written.</w:t>
      </w:r>
    </w:p>
    <w:p>
      <w:pPr>
        <w:spacing w:after="0" w:line="37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PENNANTPARK CLO 11, LLC, as Borrower</w:t>
      </w: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PennantPark Investment Advisers, LLC, its Designated Manager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Jeffrey S. Sion</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Jeffrey S. Sion</w:t>
      </w:r>
    </w:p>
    <w:p>
      <w:pPr>
        <w:ind w:left="52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39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WESTERN ALLIANCE TRUST COMPANY, N.A.,</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as Loan Agent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80"/>
        <w:spacing w:after="0"/>
        <w:tabs>
          <w:tab w:leader="none" w:pos="5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Michael J. Baker</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Michael J. Baker</w:t>
      </w:r>
    </w:p>
    <w:p>
      <w:pPr>
        <w:ind w:left="52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39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WESTERN ALLIANCE TRUST COMPANY, N.A.,</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as Collateral Trustee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80"/>
        <w:spacing w:after="0"/>
        <w:tabs>
          <w:tab w:leader="none" w:pos="5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Michael J. Baker</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Michael J. Baker</w:t>
      </w:r>
    </w:p>
    <w:p>
      <w:pPr>
        <w:ind w:left="52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9" w:name="page360"/>
    <w:bookmarkEnd w:id="359"/>
    <w:p>
      <w:pPr>
        <w:spacing w:after="0" w:line="185"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by their respective officers thereunto duly authorized as of the day and year first above written.</w:t>
      </w:r>
    </w:p>
    <w:p>
      <w:pPr>
        <w:spacing w:after="0" w:line="37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STATE STREET BANK AND TRUST COMPANY,</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as Initial Lender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Jiaqi Wei</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Jiaqi Wei</w:t>
      </w:r>
    </w:p>
    <w:p>
      <w:pPr>
        <w:ind w:left="52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0" w:name="page361"/>
    <w:bookmarkEnd w:id="360"/>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X</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DEFINITIONS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defined terms used herein shall have the respective meanings set forth herein.</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Loans</w:t>
      </w:r>
      <w:r>
        <w:rPr>
          <w:rFonts w:ascii="Times New Roman" w:cs="Times New Roman" w:eastAsia="Times New Roman" w:hAnsi="Times New Roman"/>
          <w:sz w:val="22"/>
          <w:szCs w:val="22"/>
          <w:color w:val="auto"/>
        </w:rPr>
        <w:t xml:space="preserve">” means any additional Loans incurred in accordance with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hereof and Section 2.13 of the Indenture.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means 1.49%.</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Lender</w:t>
      </w:r>
      <w:r>
        <w:rPr>
          <w:rFonts w:ascii="Times New Roman" w:cs="Times New Roman" w:eastAsia="Times New Roman" w:hAnsi="Times New Roman"/>
          <w:sz w:val="22"/>
          <w:szCs w:val="22"/>
          <w:color w:val="auto"/>
        </w:rPr>
        <w:t xml:space="preserve">” means a commercial bank, insurance company, fund or other financial institution that makes each of the representations set forth in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Agreement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7.4(d)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Order</w:t>
      </w:r>
      <w:r>
        <w:rPr>
          <w:rFonts w:ascii="Times New Roman" w:cs="Times New Roman" w:eastAsia="Times New Roman" w:hAnsi="Times New Roman"/>
          <w:sz w:val="22"/>
          <w:szCs w:val="22"/>
          <w:color w:val="auto"/>
        </w:rPr>
        <w:t xml:space="preserve">” shall have the meaning assigned to “Issuer Order” in the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references therein to “this Indenture” shall be read to mean “the Indenture or the applicable Credit Agreement.”</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the Class A-1L-B Loans made by all Lenders on the Closing Date in accordance with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Calculation Agent</w:t>
      </w:r>
      <w:r>
        <w:rPr>
          <w:rFonts w:ascii="Times New Roman" w:cs="Times New Roman" w:eastAsia="Times New Roman" w:hAnsi="Times New Roman"/>
          <w:sz w:val="22"/>
          <w:szCs w:val="22"/>
          <w:color w:val="auto"/>
        </w:rPr>
        <w:t>” means the calculation agent under this Agreement and under the other Credit Documents and any successor thereto in such capacity.</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Ann. 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means, such funds denominated in currency of the United States of America as at the time shall be legal tender for payment of all public and private debts, including funds standing to the credit of an account.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A-1L-B Loan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means the Indenture, the Securities Account Control Agreement and any other agreement, instrument or document executed and delivered by or on behalf of the Borrower in connection with the foregoing or pursuant to which a lien is granted in accordance with the terms of the Indenture as security for any of the Secured Loans.</w:t>
      </w:r>
    </w:p>
    <w:p>
      <w:pPr>
        <w:spacing w:after="0" w:line="17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Trustee</w:t>
      </w:r>
      <w:r>
        <w:rPr>
          <w:rFonts w:ascii="Times New Roman" w:cs="Times New Roman" w:eastAsia="Times New Roman" w:hAnsi="Times New Roman"/>
          <w:sz w:val="22"/>
          <w:szCs w:val="22"/>
          <w:color w:val="auto"/>
        </w:rPr>
        <w:t>” means the Bank, in its capacity as collateral trustee under this Agreement, the Indenture and the other Credit Documents, and any successor thereto in such capacity.</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Conforming Amendment</w:t>
      </w:r>
      <w:r>
        <w:rPr>
          <w:rFonts w:ascii="Times New Roman" w:cs="Times New Roman" w:eastAsia="Times New Roman" w:hAnsi="Times New Roman"/>
          <w:sz w:val="22"/>
          <w:szCs w:val="22"/>
          <w:color w:val="auto"/>
        </w:rPr>
        <w:t>” means (a) an amendment to this Agreement to make corresponding changes to this Agreement to reflect any changes to the Indenture effected pursuant to Article VIII of the Indenture and (b) amendments to remove conflicts or inconsistencies with the Indenture as determined by the Collateral Manager.</w:t>
      </w:r>
    </w:p>
    <w:p>
      <w:pPr>
        <w:spacing w:after="0" w:line="17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Documents</w:t>
      </w:r>
      <w:r>
        <w:rPr>
          <w:rFonts w:ascii="Times New Roman" w:cs="Times New Roman" w:eastAsia="Times New Roman" w:hAnsi="Times New Roman"/>
          <w:sz w:val="22"/>
          <w:szCs w:val="22"/>
          <w:color w:val="auto"/>
        </w:rPr>
        <w:t>” means this Agreement, the Collateral Documents and any other agreement, instrument or document executed and delivered by or on behalf of the Borrower in connection with the foregoing.</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w:t>
      </w:r>
      <w:r>
        <w:rPr>
          <w:rFonts w:ascii="Times New Roman" w:cs="Times New Roman" w:eastAsia="Times New Roman" w:hAnsi="Times New Roman"/>
          <w:sz w:val="22"/>
          <w:szCs w:val="22"/>
          <w:color w:val="auto"/>
        </w:rPr>
        <w:t>” means the Secured Loans, the Class A-1L-A Loans and each Class of Notes.</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of Default or any occurrence that is, or with notice or lapse of time or both would become, an Event of Default.</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a dollar or other equivalent unit in such coin or currency of the United States of America as at the time shall be legal tender for all debts, public and private.</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w:t>
      </w:r>
    </w:p>
    <w:p>
      <w:pPr>
        <w:spacing w:after="0" w:line="3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Ann. X-2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2" w:name="page363"/>
    <w:bookmarkEnd w:id="362"/>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 Compliance</w:t>
      </w:r>
      <w:r>
        <w:rPr>
          <w:rFonts w:ascii="Times New Roman" w:cs="Times New Roman" w:eastAsia="Times New Roman" w:hAnsi="Times New Roman"/>
          <w:sz w:val="22"/>
          <w:szCs w:val="22"/>
          <w:color w:val="auto"/>
        </w:rPr>
        <w:t>” means compliance with FATCA.</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effect from time to time in the United States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means that certain Indenture and Security Agreement, dated as of February 20, 2025, between the Borrower and the Collateral Trustee, as the same may be amended, modified or supplemented from time to time pursuant to the terms thereof.</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Lender</w:t>
      </w:r>
      <w:r>
        <w:rPr>
          <w:rFonts w:ascii="Times New Roman" w:cs="Times New Roman" w:eastAsia="Times New Roman" w:hAnsi="Times New Roman"/>
          <w:sz w:val="22"/>
          <w:szCs w:val="22"/>
          <w:color w:val="auto"/>
        </w:rPr>
        <w:t>” means each Lender executing this Agreement on the Closing Date.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Loans</w:t>
      </w:r>
      <w:r>
        <w:rPr>
          <w:rFonts w:ascii="Times New Roman" w:cs="Times New Roman" w:eastAsia="Times New Roman" w:hAnsi="Times New Roman"/>
          <w:sz w:val="22"/>
          <w:szCs w:val="22"/>
          <w:color w:val="auto"/>
        </w:rPr>
        <w:t>” means each Class A-1L-B Loan made on the Closing Date.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Principal Amount</w:t>
      </w:r>
      <w:r>
        <w:rPr>
          <w:rFonts w:ascii="Times New Roman" w:cs="Times New Roman" w:eastAsia="Times New Roman" w:hAnsi="Times New Roman"/>
          <w:sz w:val="22"/>
          <w:szCs w:val="22"/>
          <w:color w:val="auto"/>
        </w:rPr>
        <w:t xml:space="preserve">” means the amount specified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xml:space="preserve">” means any of the creditors that are parties to this Agreement and have agreed to make the Class A-1L-B Loans, including each Initial Lender and each Person which becomes an assignee pursuant to </w:t>
      </w:r>
      <w:r>
        <w:rPr>
          <w:rFonts w:ascii="Times New Roman" w:cs="Times New Roman" w:eastAsia="Times New Roman" w:hAnsi="Times New Roman"/>
          <w:sz w:val="22"/>
          <w:szCs w:val="22"/>
          <w:u w:val="single" w:color="auto"/>
          <w:color w:val="auto"/>
        </w:rPr>
        <w:t>Section 7.4(c)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Agent</w:t>
      </w:r>
      <w:r>
        <w:rPr>
          <w:rFonts w:ascii="Times New Roman" w:cs="Times New Roman" w:eastAsia="Times New Roman" w:hAnsi="Times New Roman"/>
          <w:sz w:val="22"/>
          <w:szCs w:val="22"/>
          <w:color w:val="auto"/>
        </w:rPr>
        <w:t>” means the Bank, in its capacity as loan agent for the Lenders under this Agreement and under the other Credit Documents and any successor thereto in such capacity.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Register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Majority</w:t>
      </w:r>
      <w:r>
        <w:rPr>
          <w:rFonts w:ascii="Times New Roman" w:cs="Times New Roman" w:eastAsia="Times New Roman" w:hAnsi="Times New Roman"/>
          <w:sz w:val="22"/>
          <w:szCs w:val="22"/>
          <w:color w:val="auto"/>
        </w:rPr>
        <w:t>” is defined in the Indenture.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Percentage</w:t>
      </w:r>
      <w:r>
        <w:rPr>
          <w:rFonts w:ascii="Times New Roman" w:cs="Times New Roman" w:eastAsia="Times New Roman" w:hAnsi="Times New Roman"/>
          <w:sz w:val="21"/>
          <w:szCs w:val="21"/>
          <w:color w:val="auto"/>
        </w:rPr>
        <w:t xml:space="preserve">” of any Lender means, at any time, the percentage which the Aggregate Outstanding Amount of the Secured Loans of such Lender is of the Aggregate Outstanding Amount of all Secured Loans (including as modified by an amendment hereto in connection with the borrowing of Additional Loans pursuant to </w:t>
      </w:r>
      <w:r>
        <w:rPr>
          <w:rFonts w:ascii="Times New Roman" w:cs="Times New Roman" w:eastAsia="Times New Roman" w:hAnsi="Times New Roman"/>
          <w:sz w:val="21"/>
          <w:szCs w:val="21"/>
          <w:u w:val="single" w:color="auto"/>
          <w:color w:val="auto"/>
        </w:rPr>
        <w:t>Section 2.2(b)</w:t>
      </w:r>
      <w:r>
        <w:rPr>
          <w:rFonts w:ascii="Times New Roman" w:cs="Times New Roman" w:eastAsia="Times New Roman" w:hAnsi="Times New Roman"/>
          <w:sz w:val="21"/>
          <w:szCs w:val="21"/>
          <w:color w:val="auto"/>
        </w:rPr>
        <w:t xml:space="preserve">) and in all cases as changed from time to time as a consequence of Assignment Agreements pursuant to </w:t>
      </w:r>
      <w:r>
        <w:rPr>
          <w:rFonts w:ascii="Times New Roman" w:cs="Times New Roman" w:eastAsia="Times New Roman" w:hAnsi="Times New Roman"/>
          <w:sz w:val="21"/>
          <w:szCs w:val="21"/>
          <w:u w:val="single" w:color="auto"/>
          <w:color w:val="auto"/>
        </w:rPr>
        <w:t>Section 7.4(c)</w:t>
      </w:r>
      <w:r>
        <w:rPr>
          <w:rFonts w:ascii="Times New Roman" w:cs="Times New Roman" w:eastAsia="Times New Roman" w:hAnsi="Times New Roman"/>
          <w:sz w:val="21"/>
          <w:szCs w:val="21"/>
          <w:color w:val="auto"/>
        </w:rPr>
        <w:t xml:space="preserve"> and as reflected in the Loan Register.</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is defined in the Indenture.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7.26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w:t>
      </w:r>
      <w:r>
        <w:rPr>
          <w:rFonts w:ascii="Times New Roman" w:cs="Times New Roman" w:eastAsia="Times New Roman" w:hAnsi="Times New Roman"/>
          <w:sz w:val="22"/>
          <w:szCs w:val="22"/>
          <w:color w:val="auto"/>
        </w:rPr>
        <w:t>” is defined in the Indenture.</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4.16</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Ann. X-3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3" w:name="page364"/>
    <w:bookmarkEnd w:id="363"/>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13 Banking Entity</w:t>
      </w:r>
      <w:r>
        <w:rPr>
          <w:rFonts w:ascii="Times New Roman" w:cs="Times New Roman" w:eastAsia="Times New Roman" w:hAnsi="Times New Roman"/>
          <w:sz w:val="22"/>
          <w:szCs w:val="22"/>
          <w:color w:val="auto"/>
        </w:rPr>
        <w:t>” means an entity that is defined as a “banking entity” under the Volcker Rule regulations (Section __.2(c)).</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Loan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Item</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2.7(b)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at any time, with respect to any Person (the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any corporation, association, partnership, limited liability company or other business entity (a) of which securities or other ownership interests representing more than 50% of the ordinary voting power to elect the board of directors, general partner, or comparable body of such corporation, association, limited liability company or other business entity or, in the case of a partnership, ownership interests representing more than 50% of the interests of such partnership (irrespective of whether at the time securities or other ownership interests of any other class or classes of such corporation, association, partnership, limited liability company or other business entity shall or might have voting power solely upon the occurrence of any contingency) are, at such time owned directly or indirectly by the parent, by one or more Subsidiaries of the parent or by the parent and one or more Subsidiaries of the parent and</w:t>
      </w:r>
    </w:p>
    <w:p>
      <w:pPr>
        <w:spacing w:after="0" w:line="4" w:lineRule="exact"/>
        <w:rPr>
          <w:sz w:val="20"/>
          <w:szCs w:val="20"/>
          <w:color w:val="auto"/>
        </w:rPr>
      </w:pPr>
    </w:p>
    <w:p>
      <w:pPr>
        <w:ind w:left="1500" w:right="3700" w:hanging="1492"/>
        <w:spacing w:after="0" w:line="424" w:lineRule="auto"/>
        <w:tabs>
          <w:tab w:leader="none" w:pos="308"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also required at such time under GAAP to be consolidated with the parent. “</w:t>
      </w:r>
      <w:r>
        <w:rPr>
          <w:rFonts w:ascii="Times New Roman" w:cs="Times New Roman" w:eastAsia="Times New Roman" w:hAnsi="Times New Roman"/>
          <w:sz w:val="22"/>
          <w:szCs w:val="22"/>
          <w:u w:val="single" w:color="auto"/>
          <w:color w:val="auto"/>
        </w:rPr>
        <w:t>Successor Agent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6.8(a)</w:t>
      </w:r>
      <w:r>
        <w:rPr>
          <w:rFonts w:ascii="Times New Roman" w:cs="Times New Roman" w:eastAsia="Times New Roman" w:hAnsi="Times New Roman"/>
          <w:sz w:val="22"/>
          <w:szCs w:val="22"/>
          <w:color w:val="auto"/>
        </w:rPr>
        <w:t>.</w:t>
      </w: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7.26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Contract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7.26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present or future tax, levy, impost, duty, charge, assessment, deduction, withholding or fee of any nature (including interest, penalties and additions thereto) that is imposed by any government or other taxing authority other than a stamp, registration, documentation or similar tax.</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 Regime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7.26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means the United States of America, its 50 States, the District of Columbia and the Commonwealth of Puerto Rico.</w:t>
      </w:r>
    </w:p>
    <w:p>
      <w:pPr>
        <w:spacing w:after="0" w:line="158" w:lineRule="exact"/>
        <w:rPr>
          <w:sz w:val="20"/>
          <w:szCs w:val="20"/>
          <w:color w:val="auto"/>
        </w:rPr>
      </w:pPr>
    </w:p>
    <w:p>
      <w:pPr>
        <w:jc w:val="both"/>
        <w:ind w:firstLine="1497"/>
        <w:spacing w:after="0" w:line="285"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Volcker Rule</w:t>
      </w:r>
      <w:r>
        <w:rPr>
          <w:rFonts w:ascii="Times New Roman" w:cs="Times New Roman" w:eastAsia="Times New Roman" w:hAnsi="Times New Roman"/>
          <w:sz w:val="22"/>
          <w:szCs w:val="22"/>
          <w:color w:val="auto"/>
        </w:rPr>
        <w:t>” means the final Volcker Rule published on December 10, 2013 under Section 619 of the Dodd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Frank Act, as amended from time to time.</w:t>
      </w:r>
    </w:p>
    <w:p>
      <w:pPr>
        <w:spacing w:after="0" w:line="3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Ann. X-4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185"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Ann. X-5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5" w:name="page366"/>
    <w:bookmarkEnd w:id="365"/>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ASSIGNMENT AGREEMENT</w:t>
      </w:r>
    </w:p>
    <w:p>
      <w:pPr>
        <w:spacing w:after="0" w:line="182"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Reference is hereby made to that certain Class A-1L-B credit agreement, dated as of February 20, 2025 (as amended, modified or supplemented from time to time, the “</w:t>
      </w:r>
      <w:r>
        <w:rPr>
          <w:rFonts w:ascii="Times New Roman" w:cs="Times New Roman" w:eastAsia="Times New Roman" w:hAnsi="Times New Roman"/>
          <w:sz w:val="22"/>
          <w:szCs w:val="22"/>
          <w:u w:val="single" w:color="auto"/>
          <w:color w:val="auto"/>
        </w:rPr>
        <w:t>Class A-1L-B Credit Agreement</w:t>
      </w:r>
      <w:r>
        <w:rPr>
          <w:rFonts w:ascii="Times New Roman" w:cs="Times New Roman" w:eastAsia="Times New Roman" w:hAnsi="Times New Roman"/>
          <w:sz w:val="22"/>
          <w:szCs w:val="22"/>
          <w:color w:val="auto"/>
        </w:rPr>
        <w:t>”), among PennantPark CLO 11, LLC, a Delaware limited liability company, as the borrower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party thereto and Western Alliance Trust Company, N.A., a national banking association, as loan agent (the “</w:t>
      </w:r>
      <w:r>
        <w:rPr>
          <w:rFonts w:ascii="Times New Roman" w:cs="Times New Roman" w:eastAsia="Times New Roman" w:hAnsi="Times New Roman"/>
          <w:sz w:val="22"/>
          <w:szCs w:val="22"/>
          <w:u w:val="single" w:color="auto"/>
          <w:color w:val="auto"/>
        </w:rPr>
        <w:t>Loan Agent</w:t>
      </w:r>
      <w:r>
        <w:rPr>
          <w:rFonts w:ascii="Times New Roman" w:cs="Times New Roman" w:eastAsia="Times New Roman" w:hAnsi="Times New Roman"/>
          <w:sz w:val="22"/>
          <w:szCs w:val="22"/>
          <w:color w:val="auto"/>
        </w:rPr>
        <w:t>”) and as collateral trustee (together with any successor under the Indenture, the “</w:t>
      </w:r>
      <w:r>
        <w:rPr>
          <w:rFonts w:ascii="Times New Roman" w:cs="Times New Roman" w:eastAsia="Times New Roman" w:hAnsi="Times New Roman"/>
          <w:sz w:val="22"/>
          <w:szCs w:val="22"/>
          <w:u w:val="single" w:color="auto"/>
          <w:color w:val="auto"/>
        </w:rPr>
        <w:t>Collateral Trustee</w:t>
      </w:r>
      <w:r>
        <w:rPr>
          <w:rFonts w:ascii="Times New Roman" w:cs="Times New Roman" w:eastAsia="Times New Roman" w:hAnsi="Times New Roman"/>
          <w:sz w:val="22"/>
          <w:szCs w:val="22"/>
          <w:color w:val="auto"/>
        </w:rPr>
        <w:t>”), relating to the Secured Loans made thereunder and secured under the Indenture and Security Agreement, dated as of February 20, 2025 (as modified and supplemented and in effect from time to time,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entered into by the Borrower and the Collateral Trustee. Terms used but not defined herein have the respective meanings given to such terms in (or incorporated by reference in) the Class A-1L-B Credit Agreement.</w:t>
      </w:r>
    </w:p>
    <w:p>
      <w:pPr>
        <w:spacing w:after="0" w:line="17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The Assignor named on the signature pages hereof (the “</w:t>
      </w: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 hereby sells and assigns to the Assignee named on the signature pages hereof (the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and the Assignee hereby purchases and assumes from the Assignor, effective as of the Assignment Date set forth below, the interests set forth below (the “</w:t>
      </w:r>
      <w:r>
        <w:rPr>
          <w:rFonts w:ascii="Times New Roman" w:cs="Times New Roman" w:eastAsia="Times New Roman" w:hAnsi="Times New Roman"/>
          <w:sz w:val="22"/>
          <w:szCs w:val="22"/>
          <w:u w:val="single" w:color="auto"/>
          <w:color w:val="auto"/>
        </w:rPr>
        <w:t>Assigned Interest</w:t>
      </w:r>
      <w:r>
        <w:rPr>
          <w:rFonts w:ascii="Times New Roman" w:cs="Times New Roman" w:eastAsia="Times New Roman" w:hAnsi="Times New Roman"/>
          <w:sz w:val="22"/>
          <w:szCs w:val="22"/>
          <w:color w:val="auto"/>
        </w:rPr>
        <w:t>”) in the Assignor’s rights and obligations under the Class A-1L-B Credit Agreement, including, without limitation, the interests set forth below in the Secured Loan of (and the outstanding principal amount specified below of) the Assignor on the Assignment Date. The Assignee hereby acknowledges receipt of a copy of the Class A-1L-B Credit Agreement and the Indenture. From and after the Assignment Date (A) the Assignee shall be a party to and be bound by the provisions of the Class A-1L-B Credit Agreement and, to the extent of the Assigned Interest, have the rights and obligations of a Lender thereunder and (B) the Assignor shall, to the extent of the Assigned Interest, relinquish its rights and be released from its obligations under the Class A-1L-B Credit Agreement. The Assignor hereby represents and warrants to the Assignee that, as of the Assignment Date, the Assignor owns the Assigned Interest free and clear of any lien or other encumbrance. The Assignee hereby makes to the Assignor, the Borrower, the Collateral Manager and the Collateral Trustee all of the representations and warranties set forth in Section 7.17 of the Class A-1L-B Credit Agreement. The Assignee hereby represents and warrants to the Loan Agent and the Borrower that such assignee is an Approved Lender.</w:t>
      </w:r>
    </w:p>
    <w:p>
      <w:pPr>
        <w:spacing w:after="0" w:line="3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Exh.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6" w:name="page367"/>
    <w:bookmarkEnd w:id="366"/>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Assignment Agreement shall be governed by, and construed in accordance with, the law of the State of New York.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 Name of Assignor: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 Name of Assignee: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Assignee’s Address for Notices: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Fax No.: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Details of electronic messaging system: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Payment Instructions: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Federal Taxpayer ID No. of Assignee: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 of Assignment (“</w:t>
      </w:r>
      <w:r>
        <w:rPr>
          <w:rFonts w:ascii="Times New Roman" w:cs="Times New Roman" w:eastAsia="Times New Roman" w:hAnsi="Times New Roman"/>
          <w:sz w:val="22"/>
          <w:szCs w:val="22"/>
          <w:u w:val="single" w:color="auto"/>
          <w:color w:val="auto"/>
        </w:rPr>
        <w:t>Assignment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Amount Assigned</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Amount Retained</w:t>
            </w:r>
          </w:p>
        </w:tc>
        <w:tc>
          <w:tcPr>
            <w:tcW w:w="0" w:type="dxa"/>
            <w:vAlign w:val="bottom"/>
          </w:tcPr>
          <w:p>
            <w:pPr>
              <w:spacing w:after="0"/>
              <w:rPr>
                <w:sz w:val="1"/>
                <w:szCs w:val="1"/>
                <w:color w:val="auto"/>
              </w:rPr>
            </w:pPr>
          </w:p>
        </w:tc>
      </w:tr>
      <w:tr>
        <w:trPr>
          <w:trHeight w:val="287"/>
        </w:trPr>
        <w:tc>
          <w:tcPr>
            <w:tcW w:w="3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2"/>
                <w:szCs w:val="22"/>
                <w:color w:val="auto"/>
              </w:rPr>
              <w:t>Outstanding Principal</w:t>
            </w:r>
          </w:p>
        </w:tc>
        <w:tc>
          <w:tcPr>
            <w:tcW w:w="18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(U.S.$)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(U.S.$)</w:t>
            </w:r>
          </w:p>
        </w:tc>
        <w:tc>
          <w:tcPr>
            <w:tcW w:w="0" w:type="dxa"/>
            <w:vAlign w:val="bottom"/>
          </w:tcPr>
          <w:p>
            <w:pPr>
              <w:spacing w:after="0"/>
              <w:rPr>
                <w:sz w:val="1"/>
                <w:szCs w:val="1"/>
                <w:color w:val="auto"/>
              </w:rPr>
            </w:pPr>
          </w:p>
        </w:tc>
      </w:tr>
      <w:tr>
        <w:trPr>
          <w:trHeight w:val="210"/>
        </w:trPr>
        <w:tc>
          <w:tcPr>
            <w:tcW w:w="3780" w:type="dxa"/>
            <w:vAlign w:val="bottom"/>
            <w:gridSpan w:val="3"/>
            <w:vMerge w:val="continue"/>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7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Amount of Class A-1L-B Loan:</w:t>
            </w:r>
          </w:p>
        </w:tc>
        <w:tc>
          <w:tcPr>
            <w:tcW w:w="1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w:t>
            </w:r>
          </w:p>
        </w:tc>
        <w:tc>
          <w:tcPr>
            <w:tcW w:w="2860" w:type="dxa"/>
            <w:vAlign w:val="bottom"/>
            <w:gridSpan w:val="5"/>
          </w:tcPr>
          <w:p>
            <w:pPr>
              <w:ind w:left="700"/>
              <w:spacing w:after="0"/>
              <w:rPr>
                <w:sz w:val="20"/>
                <w:szCs w:val="20"/>
                <w:color w:val="auto"/>
              </w:rPr>
            </w:pPr>
            <w:r>
              <w:rPr>
                <w:rFonts w:ascii="Times New Roman" w:cs="Times New Roman" w:eastAsia="Times New Roman" w:hAnsi="Times New Roman"/>
                <w:sz w:val="22"/>
                <w:szCs w:val="22"/>
                <w:color w:val="auto"/>
              </w:rPr>
              <w:t>[  ]</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i w:val="1"/>
                <w:iCs w:val="1"/>
                <w:color w:val="auto"/>
              </w:rPr>
              <w:t>The terms set forth above are hereby agreed to:</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7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[Name of Assignor], as Assignor</w:t>
            </w:r>
          </w:p>
        </w:tc>
        <w:tc>
          <w:tcPr>
            <w:tcW w:w="1800" w:type="dxa"/>
            <w:vAlign w:val="bottom"/>
          </w:tcPr>
          <w:p>
            <w:pPr>
              <w:spacing w:after="0"/>
              <w:rPr>
                <w:sz w:val="24"/>
                <w:szCs w:val="24"/>
                <w:color w:val="auto"/>
              </w:rPr>
            </w:pPr>
          </w:p>
        </w:tc>
        <w:tc>
          <w:tcPr>
            <w:tcW w:w="302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w w:val="97"/>
              </w:rPr>
              <w:t>[Name of Assignee], as Assignee</w:t>
            </w:r>
          </w:p>
        </w:tc>
        <w:tc>
          <w:tcPr>
            <w:tcW w:w="0" w:type="dxa"/>
            <w:vAlign w:val="bottom"/>
          </w:tcPr>
          <w:p>
            <w:pPr>
              <w:spacing w:after="0"/>
              <w:rPr>
                <w:sz w:val="1"/>
                <w:szCs w:val="1"/>
                <w:color w:val="auto"/>
              </w:rPr>
            </w:pPr>
          </w:p>
        </w:tc>
      </w:tr>
      <w:tr>
        <w:trPr>
          <w:trHeight w:val="623"/>
        </w:trPr>
        <w:tc>
          <w:tcPr>
            <w:tcW w:w="5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By:</w:t>
            </w:r>
          </w:p>
        </w:tc>
        <w:tc>
          <w:tcPr>
            <w:tcW w:w="420" w:type="dxa"/>
            <w:vAlign w:val="bottom"/>
            <w:tcBorders>
              <w:bottom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By:</w:t>
            </w:r>
          </w:p>
        </w:tc>
        <w:tc>
          <w:tcPr>
            <w:tcW w:w="420" w:type="dxa"/>
            <w:vAlign w:val="bottom"/>
            <w:tcBorders>
              <w:bottom w:val="single" w:sz="8" w:color="auto"/>
            </w:tcBorders>
            <w:gridSpan w:val="2"/>
          </w:tcPr>
          <w:p>
            <w:pPr>
              <w:spacing w:after="0"/>
              <w:rPr>
                <w:sz w:val="24"/>
                <w:szCs w:val="24"/>
                <w:color w:val="auto"/>
              </w:rPr>
            </w:pPr>
          </w:p>
        </w:tc>
        <w:tc>
          <w:tcPr>
            <w:tcW w:w="20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60" w:type="dxa"/>
            <w:vAlign w:val="bottom"/>
            <w:gridSpan w:val="2"/>
          </w:tcPr>
          <w:p>
            <w:pPr>
              <w:ind w:left="28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28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20" w:type="dxa"/>
            <w:vAlign w:val="bottom"/>
            <w:gridSpan w:val="6"/>
          </w:tcPr>
          <w:p>
            <w:pPr>
              <w:ind w:left="32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0" w:type="dxa"/>
            <w:vAlign w:val="bottom"/>
          </w:tcPr>
          <w:p>
            <w:pPr>
              <w:spacing w:after="0"/>
              <w:rPr>
                <w:sz w:val="1"/>
                <w:szCs w:val="1"/>
                <w:color w:val="auto"/>
              </w:rPr>
            </w:pPr>
          </w:p>
        </w:tc>
      </w:tr>
      <w:tr>
        <w:trPr>
          <w:trHeight w:val="282"/>
        </w:trPr>
        <w:tc>
          <w:tcPr>
            <w:tcW w:w="378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Title:</w:t>
            </w:r>
          </w:p>
        </w:tc>
        <w:tc>
          <w:tcPr>
            <w:tcW w:w="1800" w:type="dxa"/>
            <w:vAlign w:val="bottom"/>
          </w:tcPr>
          <w:p>
            <w:pPr>
              <w:spacing w:after="0"/>
              <w:rPr>
                <w:sz w:val="24"/>
                <w:szCs w:val="24"/>
                <w:color w:val="auto"/>
              </w:rPr>
            </w:pPr>
          </w:p>
        </w:tc>
        <w:tc>
          <w:tcPr>
            <w:tcW w:w="3020" w:type="dxa"/>
            <w:vAlign w:val="bottom"/>
            <w:gridSpan w:val="6"/>
          </w:tcPr>
          <w:p>
            <w:pPr>
              <w:ind w:left="320"/>
              <w:spacing w:after="0"/>
              <w:rPr>
                <w:sz w:val="20"/>
                <w:szCs w:val="20"/>
                <w:color w:val="auto"/>
              </w:rPr>
            </w:pPr>
            <w:r>
              <w:rPr>
                <w:rFonts w:ascii="Times New Roman" w:cs="Times New Roman" w:eastAsia="Times New Roman" w:hAnsi="Times New Roman"/>
                <w:sz w:val="22"/>
                <w:szCs w:val="22"/>
                <w:color w:val="auto"/>
              </w:rPr>
              <w:t>Title:</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Consented to by: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PENNANT PARK CLO 11,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Borrower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PennantPark Investment Advisers, LLC, its Designated Manager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-13970</wp:posOffset>
            </wp:positionV>
            <wp:extent cx="2743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22"/>
          <w:szCs w:val="22"/>
          <w:color w:val="auto"/>
        </w:rPr>
        <w:t>Name:</w:t>
      </w:r>
    </w:p>
    <w:p>
      <w:pPr>
        <w:ind w:left="380"/>
        <w:spacing w:after="0"/>
        <w:rPr>
          <w:sz w:val="20"/>
          <w:szCs w:val="20"/>
          <w:color w:val="auto"/>
        </w:rPr>
      </w:pPr>
      <w:r>
        <w:rPr>
          <w:rFonts w:ascii="Times New Roman" w:cs="Times New Roman" w:eastAsia="Times New Roman" w:hAnsi="Times New Roman"/>
          <w:sz w:val="22"/>
          <w:szCs w:val="22"/>
          <w:color w:val="auto"/>
        </w:rPr>
        <w:t>Title:</w:t>
      </w:r>
    </w:p>
    <w:p>
      <w:pPr>
        <w:spacing w:after="0" w:line="3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Exh.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440" w:right="1219" w:bottom="1440" w:gutter="0" w:footer="0" w:header="0"/>
        </w:sectPr>
      </w:pPr>
    </w:p>
    <w:bookmarkStart w:id="367" w:name="page368"/>
    <w:bookmarkEnd w:id="367"/>
    <w:p>
      <w:pPr>
        <w:spacing w:after="0" w:line="18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cc:</w:t>
      </w:r>
      <w:r>
        <w:rPr>
          <w:sz w:val="20"/>
          <w:szCs w:val="20"/>
          <w:color w:val="auto"/>
        </w:rPr>
        <w:tab/>
      </w:r>
      <w:r>
        <w:rPr>
          <w:rFonts w:ascii="Times New Roman" w:cs="Times New Roman" w:eastAsia="Times New Roman" w:hAnsi="Times New Roman"/>
          <w:sz w:val="21"/>
          <w:szCs w:val="21"/>
          <w:color w:val="auto"/>
        </w:rPr>
        <w:t>Western Alliance Trust Company, N.A,</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as Loan Agent</w:t>
      </w:r>
    </w:p>
    <w:p>
      <w:pPr>
        <w:ind w:left="760"/>
        <w:spacing w:after="0" w:line="230" w:lineRule="auto"/>
        <w:rPr>
          <w:sz w:val="20"/>
          <w:szCs w:val="20"/>
          <w:color w:val="auto"/>
        </w:rPr>
      </w:pPr>
      <w:r>
        <w:rPr>
          <w:rFonts w:ascii="Times New Roman" w:cs="Times New Roman" w:eastAsia="Times New Roman" w:hAnsi="Times New Roman"/>
          <w:sz w:val="22"/>
          <w:szCs w:val="22"/>
          <w:color w:val="auto"/>
        </w:rPr>
        <w:t>One East Washington Street</w:t>
      </w:r>
    </w:p>
    <w:p>
      <w:pPr>
        <w:ind w:left="760"/>
        <w:spacing w:after="0" w:line="231" w:lineRule="auto"/>
        <w:rPr>
          <w:sz w:val="20"/>
          <w:szCs w:val="20"/>
          <w:color w:val="auto"/>
        </w:rPr>
      </w:pPr>
      <w:r>
        <w:rPr>
          <w:rFonts w:ascii="Times New Roman" w:cs="Times New Roman" w:eastAsia="Times New Roman" w:hAnsi="Times New Roman"/>
          <w:sz w:val="22"/>
          <w:szCs w:val="22"/>
          <w:color w:val="auto"/>
        </w:rPr>
        <w:t>Suite 1400, Phoenix, AZ 85004</w:t>
      </w:r>
    </w:p>
    <w:p>
      <w:pPr>
        <w:ind w:left="760"/>
        <w:spacing w:after="0" w:line="230" w:lineRule="auto"/>
        <w:rPr>
          <w:sz w:val="20"/>
          <w:szCs w:val="20"/>
          <w:color w:val="auto"/>
        </w:rPr>
      </w:pPr>
      <w:r>
        <w:rPr>
          <w:rFonts w:ascii="Times New Roman" w:cs="Times New Roman" w:eastAsia="Times New Roman" w:hAnsi="Times New Roman"/>
          <w:sz w:val="22"/>
          <w:szCs w:val="22"/>
          <w:color w:val="auto"/>
        </w:rPr>
        <w:t>Attention: Corporate Trust – PennantPark CLO 11, LLC</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Email: PennantParkCLO11LLC@westernalliancetrust.com</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Exh.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68" w:name="page369"/>
    <w:bookmarkEnd w:id="368"/>
    <w:tbl>
      <w:tblPr>
        <w:tblLayout w:type="fixed"/>
        <w:tblInd w:w="1490" w:type="dxa"/>
        <w:tblCellMar>
          <w:top w:w="0" w:type="dxa"/>
          <w:left w:w="0" w:type="dxa"/>
          <w:bottom w:w="0" w:type="dxa"/>
          <w:right w:w="0" w:type="dxa"/>
        </w:tblCellMar>
      </w:tblPr>
      <w:tr>
        <w:trPr>
          <w:trHeight w:val="282"/>
        </w:trPr>
        <w:tc>
          <w:tcPr>
            <w:tcW w:w="1960" w:type="dxa"/>
            <w:vAlign w:val="bottom"/>
          </w:tcPr>
          <w:p>
            <w:pPr>
              <w:spacing w:after="0"/>
              <w:rPr>
                <w:sz w:val="24"/>
                <w:szCs w:val="24"/>
                <w:color w:val="auto"/>
              </w:rPr>
            </w:pPr>
          </w:p>
        </w:tc>
        <w:tc>
          <w:tcPr>
            <w:tcW w:w="3220" w:type="dxa"/>
            <w:vAlign w:val="bottom"/>
          </w:tcPr>
          <w:p>
            <w:pPr>
              <w:jc w:val="center"/>
              <w:ind w:left="1038"/>
              <w:spacing w:after="0"/>
              <w:rPr>
                <w:sz w:val="20"/>
                <w:szCs w:val="20"/>
                <w:color w:val="auto"/>
              </w:rPr>
            </w:pPr>
            <w:r>
              <w:rPr>
                <w:rFonts w:ascii="Times New Roman" w:cs="Times New Roman" w:eastAsia="Times New Roman" w:hAnsi="Times New Roman"/>
                <w:sz w:val="22"/>
                <w:szCs w:val="22"/>
                <w:color w:val="auto"/>
                <w:w w:val="97"/>
              </w:rPr>
              <w:t>SCHEDULE 1</w:t>
            </w: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86"/>
        </w:trPr>
        <w:tc>
          <w:tcPr>
            <w:tcW w:w="1960" w:type="dxa"/>
            <w:vAlign w:val="bottom"/>
          </w:tcPr>
          <w:p>
            <w:pPr>
              <w:spacing w:after="0"/>
              <w:rPr>
                <w:sz w:val="24"/>
                <w:szCs w:val="24"/>
                <w:color w:val="auto"/>
              </w:rPr>
            </w:pPr>
          </w:p>
        </w:tc>
        <w:tc>
          <w:tcPr>
            <w:tcW w:w="3220" w:type="dxa"/>
            <w:vAlign w:val="bottom"/>
          </w:tcPr>
          <w:p>
            <w:pPr>
              <w:jc w:val="center"/>
              <w:ind w:left="1058"/>
              <w:spacing w:after="0"/>
              <w:rPr>
                <w:sz w:val="20"/>
                <w:szCs w:val="20"/>
                <w:color w:val="auto"/>
              </w:rPr>
            </w:pPr>
            <w:r>
              <w:rPr>
                <w:rFonts w:ascii="Times New Roman" w:cs="Times New Roman" w:eastAsia="Times New Roman" w:hAnsi="Times New Roman"/>
                <w:sz w:val="22"/>
                <w:szCs w:val="22"/>
                <w:color w:val="auto"/>
                <w:w w:val="98"/>
              </w:rPr>
              <w:t>INITIAL LENDERS</w:t>
            </w: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1"/>
        </w:trPr>
        <w:tc>
          <w:tcPr>
            <w:tcW w:w="19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r>
      <w:tr>
        <w:trPr>
          <w:trHeight w:val="406"/>
        </w:trPr>
        <w:tc>
          <w:tcPr>
            <w:tcW w:w="19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Notice Information</w:t>
            </w:r>
          </w:p>
        </w:tc>
        <w:tc>
          <w:tcPr>
            <w:tcW w:w="32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7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Initial Principal</w:t>
            </w:r>
          </w:p>
        </w:tc>
      </w:tr>
      <w:tr>
        <w:trPr>
          <w:trHeight w:val="235"/>
        </w:trPr>
        <w:tc>
          <w:tcPr>
            <w:tcW w:w="19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Payment Information</w:t>
            </w:r>
          </w:p>
        </w:tc>
        <w:tc>
          <w:tcPr>
            <w:tcW w:w="32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Amount (U.S.$)</w:t>
            </w:r>
          </w:p>
        </w:tc>
      </w:tr>
      <w:tr>
        <w:trPr>
          <w:trHeight w:val="302"/>
        </w:trPr>
        <w:tc>
          <w:tcPr>
            <w:tcW w:w="518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State Street Bank and Trust Company</w:t>
            </w:r>
          </w:p>
        </w:tc>
        <w:tc>
          <w:tcPr>
            <w:tcW w:w="340" w:type="dxa"/>
            <w:vAlign w:val="bottom"/>
            <w:tcBorders>
              <w:right w:val="single" w:sz="8" w:color="auto"/>
            </w:tcBorders>
          </w:tcPr>
          <w:p>
            <w:pPr>
              <w:spacing w:after="0"/>
              <w:rPr>
                <w:sz w:val="24"/>
                <w:szCs w:val="24"/>
                <w:color w:val="auto"/>
              </w:rPr>
            </w:pPr>
          </w:p>
        </w:tc>
        <w:tc>
          <w:tcPr>
            <w:tcW w:w="2780" w:type="dxa"/>
            <w:vAlign w:val="bottom"/>
            <w:tcBorders>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45,000,000</w:t>
            </w:r>
          </w:p>
        </w:tc>
      </w:tr>
      <w:tr>
        <w:trPr>
          <w:trHeight w:val="216"/>
        </w:trPr>
        <w:tc>
          <w:tcPr>
            <w:tcW w:w="518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One Congress Street OCB2302</w:t>
            </w:r>
          </w:p>
        </w:tc>
        <w:tc>
          <w:tcPr>
            <w:tcW w:w="34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r>
      <w:tr>
        <w:trPr>
          <w:trHeight w:val="216"/>
        </w:trPr>
        <w:tc>
          <w:tcPr>
            <w:tcW w:w="19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Boston, MA 02114-2016</w:t>
            </w:r>
          </w:p>
        </w:tc>
        <w:tc>
          <w:tcPr>
            <w:tcW w:w="3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r>
      <w:tr>
        <w:trPr>
          <w:trHeight w:val="216"/>
        </w:trPr>
        <w:tc>
          <w:tcPr>
            <w:tcW w:w="518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Attention: John Doherty / Jiaqi Wei</w:t>
            </w:r>
          </w:p>
        </w:tc>
        <w:tc>
          <w:tcPr>
            <w:tcW w:w="34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r>
      <w:tr>
        <w:trPr>
          <w:trHeight w:val="216"/>
        </w:trPr>
        <w:tc>
          <w:tcPr>
            <w:tcW w:w="518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Phone: (617) 662-0913 / (617) 537-0497</w:t>
            </w:r>
          </w:p>
        </w:tc>
        <w:tc>
          <w:tcPr>
            <w:tcW w:w="34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r>
      <w:tr>
        <w:trPr>
          <w:trHeight w:val="216"/>
        </w:trPr>
        <w:tc>
          <w:tcPr>
            <w:tcW w:w="19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w:t>
            </w: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jdoherty@statestreet.com</w:t>
            </w:r>
          </w:p>
        </w:tc>
        <w:tc>
          <w:tcPr>
            <w:tcW w:w="3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tcBorders>
              <w:right w:val="single" w:sz="8" w:color="auto"/>
            </w:tcBorders>
          </w:tcPr>
          <w:p>
            <w:pPr>
              <w:spacing w:after="0"/>
              <w:rPr>
                <w:sz w:val="18"/>
                <w:szCs w:val="18"/>
                <w:color w:val="auto"/>
              </w:rPr>
            </w:pPr>
          </w:p>
        </w:tc>
      </w:tr>
      <w:tr>
        <w:trPr>
          <w:trHeight w:val="216"/>
        </w:trPr>
        <w:tc>
          <w:tcPr>
            <w:tcW w:w="518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jwei5@statestreet.comsplynch@statestreet.com</w:t>
            </w:r>
          </w:p>
        </w:tc>
        <w:tc>
          <w:tcPr>
            <w:tcW w:w="3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tcBorders>
              <w:right w:val="single" w:sz="8" w:color="auto"/>
            </w:tcBorders>
          </w:tcPr>
          <w:p>
            <w:pPr>
              <w:spacing w:after="0"/>
              <w:rPr>
                <w:sz w:val="18"/>
                <w:szCs w:val="18"/>
                <w:color w:val="auto"/>
              </w:rPr>
            </w:pPr>
          </w:p>
        </w:tc>
      </w:tr>
      <w:tr>
        <w:trPr>
          <w:trHeight w:val="234"/>
        </w:trPr>
        <w:tc>
          <w:tcPr>
            <w:tcW w:w="518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gcf_clopc@statestreet.com</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r>
      <w:tr>
        <w:trPr>
          <w:trHeight w:val="2160"/>
        </w:trPr>
        <w:tc>
          <w:tcPr>
            <w:tcW w:w="1960" w:type="dxa"/>
            <w:vAlign w:val="bottom"/>
            <w:tcBorders>
              <w:left w:val="single" w:sz="8" w:color="auto"/>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r>
    </w:tbl>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 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369" w:name="page370"/>
    <w:bookmarkEnd w:id="369"/>
    <w:p>
      <w:pPr>
        <w:jc w:val="center"/>
        <w:ind w:right="-1100"/>
        <w:spacing w:after="0"/>
        <w:rPr>
          <w:sz w:val="20"/>
          <w:szCs w:val="20"/>
          <w:color w:val="auto"/>
        </w:rPr>
      </w:pPr>
      <w:r>
        <w:rPr>
          <w:rFonts w:ascii="Times New Roman" w:cs="Times New Roman" w:eastAsia="Times New Roman" w:hAnsi="Times New Roman"/>
          <w:sz w:val="22"/>
          <w:szCs w:val="22"/>
          <w:color w:val="auto"/>
        </w:rPr>
        <w:t>SCHEDULE 2</w:t>
      </w:r>
    </w:p>
    <w:p>
      <w:pPr>
        <w:spacing w:after="0" w:line="233" w:lineRule="exact"/>
        <w:rPr>
          <w:sz w:val="20"/>
          <w:szCs w:val="20"/>
          <w:color w:val="auto"/>
        </w:rPr>
      </w:pPr>
    </w:p>
    <w:p>
      <w:pPr>
        <w:jc w:val="right"/>
        <w:ind w:right="3179"/>
        <w:spacing w:after="0"/>
        <w:rPr>
          <w:sz w:val="20"/>
          <w:szCs w:val="20"/>
          <w:color w:val="auto"/>
        </w:rPr>
      </w:pPr>
      <w:r>
        <w:rPr>
          <w:rFonts w:ascii="Times New Roman" w:cs="Times New Roman" w:eastAsia="Times New Roman" w:hAnsi="Times New Roman"/>
          <w:sz w:val="22"/>
          <w:szCs w:val="22"/>
          <w:color w:val="auto"/>
        </w:rPr>
        <w:t>ADDRESSES FOR NOTICES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If to the Collateral Trustee:</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Western Alliance Trust Company, N.A.</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One East Washington Street</w:t>
      </w:r>
    </w:p>
    <w:p>
      <w:pPr>
        <w:ind w:left="1500"/>
        <w:spacing w:after="0" w:line="230" w:lineRule="auto"/>
        <w:rPr>
          <w:sz w:val="20"/>
          <w:szCs w:val="20"/>
          <w:color w:val="auto"/>
        </w:rPr>
      </w:pPr>
      <w:r>
        <w:rPr>
          <w:rFonts w:ascii="Times New Roman" w:cs="Times New Roman" w:eastAsia="Times New Roman" w:hAnsi="Times New Roman"/>
          <w:sz w:val="22"/>
          <w:szCs w:val="22"/>
          <w:color w:val="auto"/>
        </w:rPr>
        <w:t>Suite 1400, Phoenix, AZ 85004</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Attention: Corporate Trust – PennantPark CLO 11, LLC</w:t>
      </w:r>
    </w:p>
    <w:p>
      <w:pPr>
        <w:ind w:left="1500"/>
        <w:spacing w:after="0"/>
        <w:rPr>
          <w:sz w:val="20"/>
          <w:szCs w:val="20"/>
          <w:color w:val="auto"/>
        </w:rPr>
      </w:pPr>
      <w:r>
        <w:rPr>
          <w:rFonts w:ascii="Times New Roman" w:cs="Times New Roman" w:eastAsia="Times New Roman" w:hAnsi="Times New Roman"/>
          <w:sz w:val="22"/>
          <w:szCs w:val="22"/>
          <w:color w:val="auto"/>
        </w:rPr>
        <w:t>Email: PennantParkCLO11LLC@westernalliancetrust.com</w:t>
      </w:r>
    </w:p>
    <w:p>
      <w:pPr>
        <w:spacing w:after="0" w:line="20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If to the Borrower:</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PennantPark CLO 11, LLC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c/o PennantPark Investment Administration, LLC</w:t>
      </w:r>
    </w:p>
    <w:p>
      <w:pPr>
        <w:ind w:left="1500"/>
        <w:spacing w:after="0" w:line="230" w:lineRule="auto"/>
        <w:rPr>
          <w:sz w:val="20"/>
          <w:szCs w:val="20"/>
          <w:color w:val="auto"/>
        </w:rPr>
      </w:pPr>
      <w:r>
        <w:rPr>
          <w:rFonts w:ascii="Times New Roman" w:cs="Times New Roman" w:eastAsia="Times New Roman" w:hAnsi="Times New Roman"/>
          <w:sz w:val="22"/>
          <w:szCs w:val="22"/>
          <w:color w:val="auto"/>
        </w:rPr>
        <w:t>1691 Michigan Avenue, Suite 500</w:t>
      </w:r>
    </w:p>
    <w:p>
      <w:pPr>
        <w:ind w:left="1500"/>
        <w:spacing w:after="0" w:line="231" w:lineRule="auto"/>
        <w:rPr>
          <w:sz w:val="20"/>
          <w:szCs w:val="20"/>
          <w:color w:val="auto"/>
        </w:rPr>
      </w:pPr>
      <w:r>
        <w:rPr>
          <w:rFonts w:ascii="Times New Roman" w:cs="Times New Roman" w:eastAsia="Times New Roman" w:hAnsi="Times New Roman"/>
          <w:sz w:val="22"/>
          <w:szCs w:val="22"/>
          <w:color w:val="auto"/>
        </w:rPr>
        <w:t>Miami Beach, Florida 33139</w:t>
      </w:r>
    </w:p>
    <w:p>
      <w:pPr>
        <w:ind w:left="1500"/>
        <w:spacing w:after="0" w:line="230" w:lineRule="auto"/>
        <w:rPr>
          <w:sz w:val="20"/>
          <w:szCs w:val="20"/>
          <w:color w:val="auto"/>
        </w:rPr>
      </w:pPr>
      <w:r>
        <w:rPr>
          <w:rFonts w:ascii="Times New Roman" w:cs="Times New Roman" w:eastAsia="Times New Roman" w:hAnsi="Times New Roman"/>
          <w:sz w:val="22"/>
          <w:szCs w:val="22"/>
          <w:color w:val="auto"/>
        </w:rPr>
        <w:t>Attention: PennantPark Liability Management</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Email: plm@pennantpark.com</w:t>
      </w:r>
    </w:p>
    <w:p>
      <w:pPr>
        <w:spacing w:after="0" w:line="31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If to the Collateral Manager:</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PennantPark Investment Administration, LLC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1691 Michigan Avenue, Suite 500</w:t>
      </w:r>
    </w:p>
    <w:p>
      <w:pPr>
        <w:ind w:left="1500"/>
        <w:spacing w:after="0" w:line="230" w:lineRule="auto"/>
        <w:rPr>
          <w:sz w:val="20"/>
          <w:szCs w:val="20"/>
          <w:color w:val="auto"/>
        </w:rPr>
      </w:pPr>
      <w:r>
        <w:rPr>
          <w:rFonts w:ascii="Times New Roman" w:cs="Times New Roman" w:eastAsia="Times New Roman" w:hAnsi="Times New Roman"/>
          <w:sz w:val="22"/>
          <w:szCs w:val="22"/>
          <w:color w:val="auto"/>
        </w:rPr>
        <w:t>Miami Beach, Florida 33139</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Attention: PennantPark Liability Management</w:t>
      </w:r>
    </w:p>
    <w:p>
      <w:pPr>
        <w:ind w:left="1500"/>
        <w:spacing w:after="0"/>
        <w:rPr>
          <w:sz w:val="20"/>
          <w:szCs w:val="20"/>
          <w:color w:val="auto"/>
        </w:rPr>
      </w:pPr>
      <w:r>
        <w:rPr>
          <w:rFonts w:ascii="Times New Roman" w:cs="Times New Roman" w:eastAsia="Times New Roman" w:hAnsi="Times New Roman"/>
          <w:sz w:val="22"/>
          <w:szCs w:val="22"/>
          <w:color w:val="auto"/>
        </w:rPr>
        <w:t>Email: plm@pennantpark.com</w:t>
      </w:r>
    </w:p>
    <w:p>
      <w:pPr>
        <w:spacing w:after="0" w:line="20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If to the Loan Agent:</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Western Alliance Trust Company, N.A., as Loan Agent</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One East Washington Street</w:t>
      </w:r>
    </w:p>
    <w:p>
      <w:pPr>
        <w:ind w:left="1500"/>
        <w:spacing w:after="0" w:line="230" w:lineRule="auto"/>
        <w:rPr>
          <w:sz w:val="20"/>
          <w:szCs w:val="20"/>
          <w:color w:val="auto"/>
        </w:rPr>
      </w:pPr>
      <w:r>
        <w:rPr>
          <w:rFonts w:ascii="Times New Roman" w:cs="Times New Roman" w:eastAsia="Times New Roman" w:hAnsi="Times New Roman"/>
          <w:sz w:val="22"/>
          <w:szCs w:val="22"/>
          <w:color w:val="auto"/>
        </w:rPr>
        <w:t>Suite 1400, Phoenix, AZ 85004</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Attention: Corporate Trust – PennantPark CLO 11, LLC</w:t>
      </w:r>
    </w:p>
    <w:p>
      <w:pPr>
        <w:ind w:left="1500"/>
        <w:spacing w:after="0"/>
        <w:rPr>
          <w:sz w:val="20"/>
          <w:szCs w:val="20"/>
          <w:color w:val="auto"/>
        </w:rPr>
      </w:pPr>
      <w:r>
        <w:rPr>
          <w:rFonts w:ascii="Times New Roman" w:cs="Times New Roman" w:eastAsia="Times New Roman" w:hAnsi="Times New Roman"/>
          <w:sz w:val="22"/>
          <w:szCs w:val="22"/>
          <w:color w:val="auto"/>
        </w:rPr>
        <w:t>Email: PennantParkCLO11LLC@westernalliancetrust.com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 2 - 1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18"/>
          <w:szCs w:val="18"/>
          <w:color w:val="auto"/>
        </w:rPr>
        <w:t>Exhibit 99.4</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1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COLLATERAL MANAGEMENT AGREEMENT</w:t>
      </w:r>
    </w:p>
    <w:p>
      <w:pPr>
        <w:spacing w:after="0" w:line="200" w:lineRule="exact"/>
        <w:rPr>
          <w:sz w:val="20"/>
          <w:szCs w:val="20"/>
          <w:color w:val="auto"/>
        </w:rPr>
      </w:pPr>
    </w:p>
    <w:p>
      <w:pPr>
        <w:spacing w:after="0" w:line="22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dated as of February 20, 2025</w:t>
      </w:r>
    </w:p>
    <w:p>
      <w:pPr>
        <w:spacing w:after="0" w:line="200" w:lineRule="exact"/>
        <w:rPr>
          <w:sz w:val="20"/>
          <w:szCs w:val="20"/>
          <w:color w:val="auto"/>
        </w:rPr>
      </w:pPr>
    </w:p>
    <w:p>
      <w:pPr>
        <w:spacing w:after="0" w:line="22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by and between</w:t>
      </w:r>
    </w:p>
    <w:p>
      <w:pPr>
        <w:spacing w:after="0" w:line="200" w:lineRule="exact"/>
        <w:rPr>
          <w:sz w:val="20"/>
          <w:szCs w:val="20"/>
          <w:color w:val="auto"/>
        </w:rPr>
      </w:pPr>
    </w:p>
    <w:p>
      <w:pPr>
        <w:spacing w:after="0" w:line="2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PENNANTPARK CLO 11, LLC,</w:t>
      </w:r>
    </w:p>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Issuer</w:t>
      </w:r>
    </w:p>
    <w:p>
      <w:pPr>
        <w:spacing w:after="0" w:line="39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PENNANTPARK INVESTMENT ADVISERS, LLC,</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Collateral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1423035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371" w:name="page372"/>
    <w:bookmarkEnd w:id="371"/>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6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661"/>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DEFINITIONS.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GENERAL DUTIES AND AUTHORITY OF THE COLLATERAL MANAGER.</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PURCHASE AND SALE TRANSACTIONS; BROKERAGE.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4.</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ADDITIONAL ACTIVITIES OF THE COLLATERAL MANAGER.</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CONFLICTS OF INTEREST.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6.</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RECORDS; CONFIDENTIALITY.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7.</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OBLIGATIONS OF COLLATERAL MANAGER.</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8.</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COMPENSATION.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BENEFIT OF THE AGREEMENT.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10.</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LIMITS OF COLLATERAL MANAGER RESPONSIBILITY.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 PARTNERSHIP OR JOINT VENTURE.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TERM; TERMINATION.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DELEGATION; ASSIGNMENTS.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14.</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REMOVAL FOR CAUSE.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15.</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OBLIGATIONS OF RESIGNING OR REMOVED COLLATERAL MANAGER.</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16.</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17.</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LIMITED RECOURSE; NO PETITION.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18.</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19.</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BINDING NATURE OF AGREEMENT; SUCCESSORS AND ASSIGNS.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20.</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ENTIRE AGREEMENT; AMENDMENT.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21.</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GOVERNING LAW.</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22.</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SUBMISSION TO JURISDICTION.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3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23.</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WAIVER OF JURY TRIAL.</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24.</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CONFLICT WITH THE INDENTURE.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25.</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SUBORDINATION.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26.</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INDULGENCES NOT WAIVERS.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27.</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COSTS AND EXPENSES.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28.</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THIRD PARTY BENEFICIARY.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29.</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TITLES NOT TO AFFECT INTERPRETATION.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30.</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EXECUTION IN COUNTERPARTS.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31.</w:t>
            </w:r>
          </w:p>
        </w:tc>
        <w:tc>
          <w:tcPr>
            <w:tcW w:w="8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PROVISIONS SEPARABLE; NUMBER AND GENDER.</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bl>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632460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0" w:right="359" w:bottom="1440" w:gutter="0" w:footer="0" w:header="0"/>
        </w:sectPr>
      </w:pPr>
    </w:p>
    <w:bookmarkStart w:id="372" w:name="page373"/>
    <w:bookmarkEnd w:id="372"/>
    <w:p>
      <w:pPr>
        <w:jc w:val="center"/>
        <w:spacing w:after="0"/>
        <w:rPr>
          <w:sz w:val="20"/>
          <w:szCs w:val="20"/>
          <w:color w:val="auto"/>
        </w:rPr>
      </w:pPr>
      <w:r>
        <w:rPr>
          <w:rFonts w:ascii="Times New Roman" w:cs="Times New Roman" w:eastAsia="Times New Roman" w:hAnsi="Times New Roman"/>
          <w:sz w:val="22"/>
          <w:szCs w:val="22"/>
          <w:u w:val="single" w:color="auto"/>
          <w:color w:val="auto"/>
        </w:rPr>
        <w:t>COLLATERAL MANAGEMENT AGREEMENT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COLLATERAL MANAGEMENT AGREEMENT (as amended, supplemented or otherwise modified from time to time,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February 20, 2025, is entered into by and between PENNANTPARK CLO 11, LLC, a Delaware limited liability company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and PENNANTPARK INVESTMENT ADVISERS, LLC, (“</w:t>
      </w:r>
      <w:r>
        <w:rPr>
          <w:rFonts w:ascii="Times New Roman" w:cs="Times New Roman" w:eastAsia="Times New Roman" w:hAnsi="Times New Roman"/>
          <w:sz w:val="22"/>
          <w:szCs w:val="22"/>
          <w:u w:val="single" w:color="auto"/>
          <w:color w:val="auto"/>
        </w:rPr>
        <w:t>PennantPark</w:t>
      </w:r>
      <w:r>
        <w:rPr>
          <w:rFonts w:ascii="Times New Roman" w:cs="Times New Roman" w:eastAsia="Times New Roman" w:hAnsi="Times New Roman"/>
          <w:sz w:val="22"/>
          <w:szCs w:val="22"/>
          <w:color w:val="auto"/>
        </w:rPr>
        <w:t>”) a Delaware limited liability company, as collateral manager (together with its successors and permitted assigns, in such capacity, the “</w:t>
      </w:r>
      <w:r>
        <w:rPr>
          <w:rFonts w:ascii="Times New Roman" w:cs="Times New Roman" w:eastAsia="Times New Roman" w:hAnsi="Times New Roman"/>
          <w:sz w:val="22"/>
          <w:szCs w:val="22"/>
          <w:u w:val="single" w:color="auto"/>
          <w:color w:val="auto"/>
        </w:rPr>
        <w:t>Collateral Manager</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WITNESSETH:</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WHEREAS, the Debt will be issued or incurred, as applicable, pursuant to (i) an Indenture and Security Agreement, to be dated on or about the date hereof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among the Issuer and Western Alliance Trust Company, N.A., as collateral trustee (in such capacity, the “</w:t>
      </w:r>
      <w:r>
        <w:rPr>
          <w:rFonts w:ascii="Times New Roman" w:cs="Times New Roman" w:eastAsia="Times New Roman" w:hAnsi="Times New Roman"/>
          <w:sz w:val="22"/>
          <w:szCs w:val="22"/>
          <w:u w:val="single" w:color="auto"/>
          <w:color w:val="auto"/>
        </w:rPr>
        <w:t>Collateral Trustee</w:t>
      </w:r>
      <w:r>
        <w:rPr>
          <w:rFonts w:ascii="Times New Roman" w:cs="Times New Roman" w:eastAsia="Times New Roman" w:hAnsi="Times New Roman"/>
          <w:sz w:val="22"/>
          <w:szCs w:val="22"/>
          <w:color w:val="auto"/>
        </w:rPr>
        <w:t>”), (ii) a Class A-1L-A Credit Agreement to be dated on or about the date hereof (the “</w:t>
      </w:r>
      <w:r>
        <w:rPr>
          <w:rFonts w:ascii="Times New Roman" w:cs="Times New Roman" w:eastAsia="Times New Roman" w:hAnsi="Times New Roman"/>
          <w:sz w:val="22"/>
          <w:szCs w:val="22"/>
          <w:u w:val="single" w:color="auto"/>
          <w:color w:val="auto"/>
        </w:rPr>
        <w:t>Class A-1L-A Credit Agreement</w:t>
      </w:r>
      <w:r>
        <w:rPr>
          <w:rFonts w:ascii="Times New Roman" w:cs="Times New Roman" w:eastAsia="Times New Roman" w:hAnsi="Times New Roman"/>
          <w:sz w:val="22"/>
          <w:szCs w:val="22"/>
          <w:color w:val="auto"/>
        </w:rPr>
        <w:t>”), among the Issuer, as borrower, various financial institutions and other persons, as lenders, Western Alliance Trust Company, N.A, as loan agent (in such capacity, the “</w:t>
      </w:r>
      <w:r>
        <w:rPr>
          <w:rFonts w:ascii="Times New Roman" w:cs="Times New Roman" w:eastAsia="Times New Roman" w:hAnsi="Times New Roman"/>
          <w:sz w:val="22"/>
          <w:szCs w:val="22"/>
          <w:u w:val="single" w:color="auto"/>
          <w:color w:val="auto"/>
        </w:rPr>
        <w:t>Loan Agent</w:t>
      </w:r>
      <w:r>
        <w:rPr>
          <w:rFonts w:ascii="Times New Roman" w:cs="Times New Roman" w:eastAsia="Times New Roman" w:hAnsi="Times New Roman"/>
          <w:sz w:val="22"/>
          <w:szCs w:val="22"/>
          <w:color w:val="auto"/>
        </w:rPr>
        <w:t>”) and the Collateral Trustee and (iii) a Class A-1L-B Credit Agreement to be dated on or about the date hereof (the “</w:t>
      </w:r>
      <w:r>
        <w:rPr>
          <w:rFonts w:ascii="Times New Roman" w:cs="Times New Roman" w:eastAsia="Times New Roman" w:hAnsi="Times New Roman"/>
          <w:sz w:val="22"/>
          <w:szCs w:val="22"/>
          <w:u w:val="single" w:color="auto"/>
          <w:color w:val="auto"/>
        </w:rPr>
        <w:t>Class A-1L-B Credit Agreement</w:t>
      </w:r>
      <w:r>
        <w:rPr>
          <w:rFonts w:ascii="Times New Roman" w:cs="Times New Roman" w:eastAsia="Times New Roman" w:hAnsi="Times New Roman"/>
          <w:sz w:val="22"/>
          <w:szCs w:val="22"/>
          <w:color w:val="auto"/>
        </w:rPr>
        <w:t>” and, together with the Class A-1L-A Credit Agreement, the “</w:t>
      </w:r>
      <w:r>
        <w:rPr>
          <w:rFonts w:ascii="Times New Roman" w:cs="Times New Roman" w:eastAsia="Times New Roman" w:hAnsi="Times New Roman"/>
          <w:sz w:val="22"/>
          <w:szCs w:val="22"/>
          <w:u w:val="single" w:color="auto"/>
          <w:color w:val="auto"/>
        </w:rPr>
        <w:t>Credit Agreements</w:t>
      </w:r>
      <w:r>
        <w:rPr>
          <w:rFonts w:ascii="Times New Roman" w:cs="Times New Roman" w:eastAsia="Times New Roman" w:hAnsi="Times New Roman"/>
          <w:sz w:val="22"/>
          <w:szCs w:val="22"/>
          <w:color w:val="auto"/>
        </w:rPr>
        <w:t>”), among the Issuer, as borrower, various financial institutions and other persons, as lenders, the Loan Agent and the Collateral Trustee;</w:t>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Issuer intends to pledge all Collateral Obligations and the other Assets, all as set forth in the Indenture, to the Collateral Trustee as security for the Issuer’s obligations under the Indenture and the Credit Agreements;</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Issuer desires to appoint PennantPark as the Collateral Manager to provide the services described herein and PennantPark desires to accept such appointment;</w:t>
      </w:r>
    </w:p>
    <w:p>
      <w:pPr>
        <w:spacing w:after="0" w:line="15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WHEREAS, the Indenture authorizes the Issuer to enter into this Agreement, pursuant to which the Collateral Manager agrees to perform, on behalf of the Issuer, certain investment management duties with respect to the acquisition, administration and disposition of Assets in the manner and on the terms set forth herein and to perform such additional duties as are consistent with the terms of this Agreement and the Indenture as the Issuer may from time to time reasonably request; and</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Collateral Manager has the capacity to provide the services required hereby and is prepared to perform such services upon the terms and subject to the conditions set forth herein.</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agreements herein set forth and of other good and valuable consideration, the receipt and sufficiency of which are hereby acknowledged, the parties hereto agree as follows:</w:t>
      </w:r>
    </w:p>
    <w:p>
      <w:pPr>
        <w:spacing w:after="0" w:line="158" w:lineRule="exact"/>
        <w:rPr>
          <w:sz w:val="20"/>
          <w:szCs w:val="20"/>
          <w:color w:val="auto"/>
        </w:rPr>
      </w:pPr>
    </w:p>
    <w:p>
      <w:pPr>
        <w:ind w:left="440" w:hanging="432"/>
        <w:spacing w:after="0"/>
        <w:tabs>
          <w:tab w:leader="none" w:pos="440"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3" w:name="page374"/>
    <w:bookmarkEnd w:id="373"/>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Service Provider</w:t>
      </w:r>
      <w:r>
        <w:rPr>
          <w:rFonts w:ascii="Times New Roman" w:cs="Times New Roman" w:eastAsia="Times New Roman" w:hAnsi="Times New Roman"/>
          <w:sz w:val="22"/>
          <w:szCs w:val="22"/>
          <w:color w:val="auto"/>
        </w:rPr>
        <w:t>” shall mean PennantPark Investment Administration, LLC, a Delaware limited liability company.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Advisers Act</w:t>
      </w:r>
      <w:r>
        <w:rPr>
          <w:rFonts w:ascii="Times New Roman" w:cs="Times New Roman" w:eastAsia="Times New Roman" w:hAnsi="Times New Roman"/>
          <w:sz w:val="22"/>
          <w:szCs w:val="22"/>
          <w:color w:val="auto"/>
        </w:rPr>
        <w:t>” shall mean the Investment Advisers Act of 1940, as amended.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 Transaction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Collateral Management Fee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have the meaning set forth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Client</w:t>
      </w:r>
      <w:r>
        <w:rPr>
          <w:rFonts w:ascii="Times New Roman" w:cs="Times New Roman" w:eastAsia="Times New Roman" w:hAnsi="Times New Roman"/>
          <w:sz w:val="22"/>
          <w:szCs w:val="22"/>
          <w:color w:val="auto"/>
        </w:rPr>
        <w:t>” shall mean, with respect to any specified Person, any Person or account for which the specified Person provides investment management services or investment advice.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Management Fee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Management Fee Shortfall Amount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Manager</w:t>
      </w:r>
      <w:r>
        <w:rPr>
          <w:rFonts w:ascii="Times New Roman" w:cs="Times New Roman" w:eastAsia="Times New Roman" w:hAnsi="Times New Roman"/>
          <w:sz w:val="22"/>
          <w:szCs w:val="22"/>
          <w:color w:val="auto"/>
        </w:rPr>
        <w:t>” shall have the meaning set forth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Manager Breaches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Manager Information</w:t>
      </w:r>
      <w:r>
        <w:rPr>
          <w:rFonts w:ascii="Times New Roman" w:cs="Times New Roman" w:eastAsia="Times New Roman" w:hAnsi="Times New Roman"/>
          <w:sz w:val="22"/>
          <w:szCs w:val="22"/>
          <w:color w:val="auto"/>
        </w:rPr>
        <w:t>” shall mean the Collateral Manager Offering Circular Information and any information in any amendment or supplement to the Final Offering Circular that supplements or amends any of the Collateral Manager Offering Circular Information.</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Manager Notes</w:t>
      </w:r>
      <w:r>
        <w:rPr>
          <w:rFonts w:ascii="Times New Roman" w:cs="Times New Roman" w:eastAsia="Times New Roman" w:hAnsi="Times New Roman"/>
          <w:sz w:val="22"/>
          <w:szCs w:val="22"/>
          <w:color w:val="auto"/>
        </w:rPr>
        <w:t>” shall mean any Notes owned by the Collateral Manager, the Administrative Service Provider, an Affiliate thereof, or any account, fund, client or portfolio established and controlled by the Collateral Manager, the Administrative Service Provider or an Affiliate thereof or for which the Collateral Manager, the Administrative Service Provider or an Affiliate thereof acts as the investment adviser or with respect to which the Collateral Manager, the Administrative Service Provider or an Affiliate thereof exercises discretionary control thereover.</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Manager Offering Circular Information</w:t>
      </w:r>
      <w:r>
        <w:rPr>
          <w:rFonts w:ascii="Times New Roman" w:cs="Times New Roman" w:eastAsia="Times New Roman" w:hAnsi="Times New Roman"/>
          <w:sz w:val="22"/>
          <w:szCs w:val="22"/>
          <w:color w:val="auto"/>
        </w:rPr>
        <w:t>” shall mean the information in the Final Offering Circular set forth under the headings “Summary of Terms—Collateral Manager,” “Risk Factors— Risks Relating to the Collateral Manager and the Administrative Service Provider”, “Risk Factors—Risks Relating to Certain Conflicts of Interest—Certain conflicts of interest relating to the Collateral Manager and its Affiliates”, “Risk Factors—Risks Relating to Certain Conflicts of Interest—Conflicts related to obligations that the Collateral Manager, its Affiliates or its personnel have to other clients,” “The Collateral Manager” and “The Transferor” (in each case, together with the subheadings thereunder).</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Manager Related Persons</w:t>
      </w:r>
      <w:r>
        <w:rPr>
          <w:rFonts w:ascii="Times New Roman" w:cs="Times New Roman" w:eastAsia="Times New Roman" w:hAnsi="Times New Roman"/>
          <w:sz w:val="22"/>
          <w:szCs w:val="22"/>
          <w:color w:val="auto"/>
        </w:rPr>
        <w:t>” shall mean the Collateral Manager, its Affiliates and their respective officers, directors, shareholders, members, managers, partners and employees.</w:t>
      </w:r>
    </w:p>
    <w:p>
      <w:pPr>
        <w:spacing w:after="0" w:line="3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4" w:name="page375"/>
    <w:bookmarkEnd w:id="374"/>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Manager Standard</w:t>
      </w:r>
      <w:r>
        <w:rPr>
          <w:rFonts w:ascii="Times New Roman" w:cs="Times New Roman" w:eastAsia="Times New Roman" w:hAnsi="Times New Roman"/>
          <w:sz w:val="22"/>
          <w:szCs w:val="22"/>
          <w:color w:val="auto"/>
        </w:rPr>
        <w:t xml:space="preserve">” shall mean the standard of care set forth in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Cumulative Deferred Management Fee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Current Deferred Management Fee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Trustee</w:t>
      </w:r>
      <w:r>
        <w:rPr>
          <w:rFonts w:ascii="Times New Roman" w:cs="Times New Roman" w:eastAsia="Times New Roman" w:hAnsi="Times New Roman"/>
          <w:sz w:val="22"/>
          <w:szCs w:val="22"/>
          <w:color w:val="auto"/>
        </w:rPr>
        <w:t>” shall have the meaning set forth in the recitals 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10(b)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Basis Amount</w:t>
      </w:r>
      <w:r>
        <w:rPr>
          <w:rFonts w:ascii="Times New Roman" w:cs="Times New Roman" w:eastAsia="Times New Roman" w:hAnsi="Times New Roman"/>
          <w:sz w:val="22"/>
          <w:szCs w:val="22"/>
          <w:color w:val="auto"/>
        </w:rPr>
        <w:t>” shall mean, as of any date of determination, the sum of (a) the Collateral Principal Amount, (b) the Aggregate Principal Balance of all Defaulted Obligations and (c) without duplication, the aggregate amount of all Principal Financed Accrued Interest and Principal Financed Capitalized Interest.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Offering Circular</w:t>
      </w:r>
      <w:r>
        <w:rPr>
          <w:rFonts w:ascii="Times New Roman" w:cs="Times New Roman" w:eastAsia="Times New Roman" w:hAnsi="Times New Roman"/>
          <w:sz w:val="22"/>
          <w:szCs w:val="22"/>
          <w:color w:val="auto"/>
        </w:rPr>
        <w:t>” shall mean the final offering circular with respect to the Notes dated February 18, 2025.</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10(b)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shall have the meaning set forth in the recitals hereto.</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w:t>
      </w:r>
      <w:r>
        <w:rPr>
          <w:rFonts w:ascii="Times New Roman" w:cs="Times New Roman" w:eastAsia="Times New Roman" w:hAnsi="Times New Roman"/>
          <w:sz w:val="22"/>
          <w:szCs w:val="22"/>
          <w:color w:val="auto"/>
        </w:rPr>
        <w:t>” shall mean, as to any Person, any other Person (including, in the case of an accountant or lawyer, a firm of accountants or lawyers, and any member thereof, or an investment bank and any member thereof) who (i) does not have and is not committed to acquire any material direct or any material indirect financial interest in such Person or in any Affiliate of such Person, and (ii) is not connected with such Person as an officer, employee, promoter, underwriter, voting trustee, partner, manager, director or Person performing similar functions. “Independent” when used with respect to any accountant may include an accountant who audits the books of such Person if in addition to satisfying the criteria set forth above, the accountant is independent with respect to such Person within the meaning of Rule 101 of the Code of Professional Conduct of the American Institute of Certified Public Accountants. For purposes of this definition, no special member, manager, director or independent review party of any Person will fail to be Independent solely because such Person acts as an independent special member, independent manager, independent director or independent review party thereof or of any such Person’s Affiliates. Any pricing service, certified public accountant or legal counsel that is required to be Independent of another Person under the Indenture must satisfy the criteria above with respect to the Issuer, the Collateral Manager and their Affiliates.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Review Party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Instrument of Acceptance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12(c)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Internal Policies</w:t>
      </w:r>
      <w:r>
        <w:rPr>
          <w:rFonts w:ascii="Times New Roman" w:cs="Times New Roman" w:eastAsia="Times New Roman" w:hAnsi="Times New Roman"/>
          <w:sz w:val="22"/>
          <w:szCs w:val="22"/>
          <w:color w:val="auto"/>
        </w:rPr>
        <w:t>” shall mean the applicable internal policies and procedures of the Collateral Manager (as such policies and procedures may change from time to time in the sole discretion of the Collateral Manager).</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shall have the meaning set forth in the preamble.</w:t>
      </w:r>
    </w:p>
    <w:p>
      <w:pPr>
        <w:spacing w:after="0" w:line="3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5" w:name="page376"/>
    <w:bookmarkEnd w:id="375"/>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Agent</w:t>
      </w:r>
      <w:r>
        <w:rPr>
          <w:rFonts w:ascii="Times New Roman" w:cs="Times New Roman" w:eastAsia="Times New Roman" w:hAnsi="Times New Roman"/>
          <w:sz w:val="22"/>
          <w:szCs w:val="22"/>
          <w:color w:val="auto"/>
        </w:rPr>
        <w:t>” shall have the meaning set forth in the recitals 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10(b)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shall mean, with respect to any event or circumstance, a material adverse effect on (a) the business, financial condition (other than the performance of the Assets) or operations of the Issuer, taken as a whole, (b) the validity or enforceability of the Indenture or this Agreement or (c) the existence, perfection, priority or enforceability of the Collateral Trustee’s lien on the Assets.</w:t>
      </w:r>
    </w:p>
    <w:p>
      <w:pPr>
        <w:spacing w:after="0" w:line="180" w:lineRule="exact"/>
        <w:rPr>
          <w:sz w:val="20"/>
          <w:szCs w:val="20"/>
          <w:color w:val="auto"/>
        </w:rPr>
      </w:pPr>
    </w:p>
    <w:p>
      <w:pPr>
        <w:jc w:val="both"/>
        <w:ind w:firstLine="803"/>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Instruments</w:t>
      </w:r>
      <w:r>
        <w:rPr>
          <w:rFonts w:ascii="Times New Roman" w:cs="Times New Roman" w:eastAsia="Times New Roman" w:hAnsi="Times New Roman"/>
          <w:sz w:val="22"/>
          <w:szCs w:val="22"/>
          <w:color w:val="auto"/>
        </w:rPr>
        <w:t>” shall mean the memorandum and articles of association or certificate of incorporation and bylaws (or the comparable documents for the applicable jurisdiction), in the case of a corporation, or the certificate of partnership and partnership agreement (or the comparable documents for the applicable jurisdiction), in the case of a partnership, or the certificate of formation and limited liability company agreement (or the comparable documents for the applicable jurisdiction), in the case of a limited liability company.</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w:t>
      </w:r>
      <w:r>
        <w:rPr>
          <w:rFonts w:ascii="Times New Roman" w:cs="Times New Roman" w:eastAsia="Times New Roman" w:hAnsi="Times New Roman"/>
          <w:sz w:val="22"/>
          <w:szCs w:val="22"/>
          <w:color w:val="auto"/>
        </w:rPr>
        <w:t>” shall mean, with respect to any Person, any direct or indirect shareholder, member, partner or other equity or beneficial owner thereof.</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PennantPark</w:t>
      </w:r>
      <w:r>
        <w:rPr>
          <w:rFonts w:ascii="Times New Roman" w:cs="Times New Roman" w:eastAsia="Times New Roman" w:hAnsi="Times New Roman"/>
          <w:sz w:val="22"/>
          <w:szCs w:val="22"/>
          <w:color w:val="auto"/>
        </w:rPr>
        <w:t>” shall have the meaning set forth in the preamble.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Registered Investment Adviser</w:t>
      </w:r>
      <w:r>
        <w:rPr>
          <w:rFonts w:ascii="Times New Roman" w:cs="Times New Roman" w:eastAsia="Times New Roman" w:hAnsi="Times New Roman"/>
          <w:sz w:val="22"/>
          <w:szCs w:val="22"/>
          <w:color w:val="auto"/>
        </w:rPr>
        <w:t>” shall mean a Person duly registered as an investment adviser (including, for the avoidance of doubt, any Person that is a relying adviser of a Person that has registered as an investment adviser under the Advisers Act) in accordance with and pursuant to Section 203 of the Advisers Act.</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Person</w:t>
      </w:r>
      <w:r>
        <w:rPr>
          <w:rFonts w:ascii="Times New Roman" w:cs="Times New Roman" w:eastAsia="Times New Roman" w:hAnsi="Times New Roman"/>
          <w:sz w:val="22"/>
          <w:szCs w:val="22"/>
          <w:color w:val="auto"/>
        </w:rPr>
        <w:t>” shall mean, with respect to any Person, the owners of the equity interests therein, directors, officers, employees, shared personnel, managers, agents and professional advisors thereof.</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shall mean, with respect to any Person, any duly authorized director, officer or manager of such Person with direct responsibility for the administration of the applicable agreement and also, with respect to a particular matter, any other duly authorized director, officer or manager of such Person to whom such matter is referred because of such director’s, officer’s or manager’s knowledge of and familiarity with the particular subject. Each party may receive and accept a certification of the authority of any other party as conclusive evidence of the authority of any Person to act, and such certification may be considered as in full force and effect until receipt by such other party of written notice to the contrary.</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28(e)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Statement of Cause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Supermajority</w:t>
      </w:r>
      <w:r>
        <w:rPr>
          <w:rFonts w:ascii="Times New Roman" w:cs="Times New Roman" w:eastAsia="Times New Roman" w:hAnsi="Times New Roman"/>
          <w:sz w:val="22"/>
          <w:szCs w:val="22"/>
          <w:color w:val="auto"/>
        </w:rPr>
        <w:t>” shall mean, with respect to the Debt or any Class thereof, the Holders of more than two-thirds of the Aggregate Outstanding Amount of such Class, as the case may be.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Notice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14(a)</w:t>
      </w:r>
      <w:r>
        <w:rPr>
          <w:rFonts w:ascii="Times New Roman" w:cs="Times New Roman" w:eastAsia="Times New Roman" w:hAnsi="Times New Roman"/>
          <w:sz w:val="22"/>
          <w:szCs w:val="22"/>
          <w:color w:val="auto"/>
        </w:rPr>
        <w:t>.</w:t>
      </w:r>
    </w:p>
    <w:p>
      <w:pPr>
        <w:spacing w:after="0" w:line="3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6" w:name="page377"/>
    <w:bookmarkEnd w:id="376"/>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shall mean any action taken by the Collateral Manager on behalf of the Issuer with respect to the Assets, including, without limitation, (i) selecting the Collateral Obligations and Eligible Investments to be acquired, sold, terminated or otherwise disposed of by the Issuer, (ii) investing and reinvesting the Assets, (iii) amending, waiving and/or taking any other action relating to managing the Assets and (iv) instructing the Collateral Trustee and the Custodian with respect to any acquisition, disposition or tender of, or Offer with respect to, a Collateral Obligation, Equity Security, Eligible Investment or other Assets received in respect thereof in the open market or otherwise by the Issuer.</w:t>
      </w:r>
    </w:p>
    <w:p>
      <w:pPr>
        <w:spacing w:after="0" w:line="181" w:lineRule="exact"/>
        <w:rPr>
          <w:sz w:val="20"/>
          <w:szCs w:val="20"/>
          <w:color w:val="auto"/>
        </w:rPr>
      </w:pPr>
    </w:p>
    <w:p>
      <w:pPr>
        <w:jc w:val="both"/>
        <w:ind w:firstLine="757"/>
        <w:spacing w:after="0" w:line="233" w:lineRule="auto"/>
        <w:tabs>
          <w:tab w:leader="none" w:pos="1181" w:val="left"/>
        </w:tabs>
        <w:numPr>
          <w:ilvl w:val="2"/>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but not otherwise defined herein shall have the respective meanings assigned thereto in the Indenture. The following rules apply to the use of defined terms and the interpretation of this Agreement: (i) the singular includes the plural and the plural includes the singular; (ii) “or” is not exclusive (unless preceded by “either”) and “include” and “including” are not limiting; (iii) unless the context otherwise requires, references to agreements shall be deemed to mean and include such agreements as the same may be amended, supplemented and otherwise modified from time to time; (iv) a reference to a law includes any amendment or modification to such law and any rules or regulations issued thereunder or any law enacted in substitution or replacement therefor; (v) a reference to a Person includes its successors and assigns; (vi) a reference to a Section without further reference is to the relevant Section of this Agreement; (vii) the headings of the Sections and subsections are for convenience and shall not affect the meaning of this Agreement; (viii) “writing”, “written” and comparable terms refer to printing, typing, photocopying and any other means of reproducing words in a visible form (including telefacsimile and electronic mail); (ix) “hereof”, “herein”, “hereunder” and comparable terms refer to the entire instrument in which such terms are used and not to any particular article, section or other subdivision thereof or attachment thereto; and (x) references to any gender include any other gender, masculine, feminine or neuter, as the context requires.</w:t>
      </w:r>
    </w:p>
    <w:p>
      <w:pPr>
        <w:spacing w:after="0" w:line="182"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Duties and Authority of the Collateral Manager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2"/>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PennantPark is hereby appointed as Collateral Manager of the Issuer for the purpose of performing certain investment management functions, including, without limitation, by supervising and directing the investment and reinvestment of the Collateral Obligations and Eligible Investments and by performing certain administrative and advisory functions on behalf of the Issuer in accordance with the applicable provisions of this Agreement, the Collateral Administration Agreement, the Master Loan Sale Agreement, the Indenture and the Credit Agreements, and PennantPark hereby accepts such appointment. The Collateral Manager will perform its obligations hereunder and under the Indenture with reasonable care and in good faith, (i) using a degree of skill and attention no less than that which the Collateral Manager exercises with respect to comparable assets that it may manage for itself directly or for Clients, and (ii) in accordance with the Collateral Manager’s existing practices and procedures with respect to investing in assets of the nature and character of the Assets;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the Collateral Manager be (i) liable for any loss or damages resulting from any failure to satisfy the foregoing standard of care except to the extent such failure is determined pursuant to a final adjudication by a court of competent jurisdiction to have been incurred as a result of a Collateral Manager Breach, (ii) liable or responsible for the performance of the Assets, (iii) obligated to perform any duties other than such duties as are expressly made applicable to the Collateral Manager herein or in the Indenture (including, for the avoidance of doubt, the Master Loan Sale</w:t>
      </w:r>
    </w:p>
    <w:p>
      <w:pPr>
        <w:spacing w:after="0" w:line="341" w:lineRule="exact"/>
        <w:rPr>
          <w:rFonts w:ascii="Times New Roman" w:cs="Times New Roman" w:eastAsia="Times New Roman" w:hAnsi="Times New Roman"/>
          <w:sz w:val="22"/>
          <w:szCs w:val="22"/>
          <w:color w:val="auto"/>
        </w:rPr>
      </w:pPr>
    </w:p>
    <w:p>
      <w:pPr>
        <w:ind w:left="560" w:hanging="120"/>
        <w:spacing w:after="0"/>
        <w:tabs>
          <w:tab w:leader="none" w:pos="560" w:val="left"/>
        </w:tabs>
        <w:numPr>
          <w:ilvl w:val="1"/>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7" w:name="page378"/>
    <w:bookmarkEnd w:id="377"/>
    <w:p>
      <w:pPr>
        <w:jc w:val="both"/>
        <w:spacing w:after="0" w:line="244" w:lineRule="auto"/>
        <w:rPr>
          <w:sz w:val="20"/>
          <w:szCs w:val="20"/>
          <w:color w:val="auto"/>
        </w:rPr>
      </w:pPr>
      <w:r>
        <w:rPr>
          <w:rFonts w:ascii="Times New Roman" w:cs="Times New Roman" w:eastAsia="Times New Roman" w:hAnsi="Times New Roman"/>
          <w:sz w:val="22"/>
          <w:szCs w:val="22"/>
          <w:color w:val="auto"/>
        </w:rPr>
        <w:t>Agreement), (iv) subject to implicit obligations of any kind or (v) obligated to pursue any particular investment strategy or opportunity with respect to the Assets. To the extent not inconsistent with the foregoing, the Collateral Manager will follow its Internal Policies in performing its duties hereunder and under the Indenture.</w:t>
      </w:r>
    </w:p>
    <w:p>
      <w:pPr>
        <w:spacing w:after="0" w:line="173"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(b)</w:t>
        <w:tab/>
        <w:t>Subject to the applicable provisions of the Indenture, the Collateral Manager is hereby authorized to, among other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things:</w:t>
      </w:r>
    </w:p>
    <w:p>
      <w:pPr>
        <w:spacing w:after="0" w:line="182" w:lineRule="exact"/>
        <w:rPr>
          <w:sz w:val="20"/>
          <w:szCs w:val="20"/>
          <w:color w:val="auto"/>
        </w:rPr>
      </w:pPr>
    </w:p>
    <w:p>
      <w:pPr>
        <w:ind w:right="40" w:firstLine="1505"/>
        <w:spacing w:after="0" w:line="258" w:lineRule="auto"/>
        <w:tabs>
          <w:tab w:leader="none" w:pos="1929"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 the Collateral Obligations and Eligible Investments to be acquired, sold, terminated, tendered or otherwise disposed of by the Issuer;</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 and reinvest the Assets in accordance with the Indenture;</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instruct the Collateral Trustee with respect to any acquisition, disposition or tender of, or Offer with respect to, a Collateral Obligation, Equity Security, Eligible Investment or other Assets received in respect thereof in the open market or otherwise by the Issuer; and</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perform all other tasks and take all other actions that any of the Indenture, the Collateral Administration Agreement, the Master Loan Sale Agreement, or this Agreement specify are to be taken by the Collateral Manager;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Collateral Manager may, in its sole discretion, take any other action not inconsistent with an action that such agreements specify be taken by the Collateral Manager.</w:t>
      </w:r>
    </w:p>
    <w:p>
      <w:pPr>
        <w:spacing w:after="0" w:line="18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The Collateral Manager will not be bound to comply with any amendment or supplement to the Indenture or the Collateral Administration Agreement until it has received a copy of any such amendment or supplement from the Issuer or the Collateral Trustee and unless the Collateral Manager has consented in writing thereto (which consent may be withheld or granted in its sole discretion), prior to the execution thereof in accordance with the notice requirements set forth in the Indenture.</w:t>
      </w:r>
    </w:p>
    <w:p>
      <w:pPr>
        <w:spacing w:after="0" w:line="162"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Notwithstanding anything to the contrary in this Agreement or the Indenture, none of the services performed by the Collateral Manager shall result in or be construed as resulting in an obligation to perform any of the following: (i) the Collateral Manager acting repeatedly or continuously as an intermediary in securities or loans for the Issuer; (ii) the Collateral Manager providing investment banking services to the Issuer; (iii) the Collateral Manager having direct contact with, or actively soliciting or finding, outside investors to invest in the Issuer or (iv) the Collateral Manager authorizing or causing the disbursement of money or other assets of the Issuer, except in accordance with this Agreement, the Indenture, or any other Transaction Documents or in connection with the acquisition, sale or disposal of the Issuer’s Assets, it being understood that it is the intention of the parties that the Collateral Manager not take any action through the power of attorney granted hereby that would cause the Collateral Manager to have custody of the Issuer’s funds or securities within the meaning of Rule 206(4)-2 under the Advisers Act. Without limitation to the foregoing, in no event shall the Collateral Manager have authority to cause a disbursement (except in connection with the acquisition, sale or disposal of the Issuer’s Assets) by the Issuer except upon the approval of the Issuer’s board of directors.</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8" w:name="page379"/>
    <w:bookmarkEnd w:id="378"/>
    <w:p>
      <w:pPr>
        <w:jc w:val="both"/>
        <w:ind w:left="-440" w:firstLine="757"/>
        <w:spacing w:after="0" w:line="244" w:lineRule="auto"/>
        <w:tabs>
          <w:tab w:leader="none" w:pos="741" w:val="left"/>
        </w:tabs>
        <w:numPr>
          <w:ilvl w:val="1"/>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concerning its general duties and obligations as set forth in paragraphs (a) and (b) above and the terms of the Indenture, the Collateral Manager shall provide, and is hereby authorized to provide, the following services to, or on behalf of, the Issuer:</w:t>
      </w:r>
    </w:p>
    <w:p>
      <w:pPr>
        <w:spacing w:after="0" w:line="173" w:lineRule="exact"/>
        <w:rPr>
          <w:rFonts w:ascii="Times New Roman" w:cs="Times New Roman" w:eastAsia="Times New Roman" w:hAnsi="Times New Roman"/>
          <w:sz w:val="22"/>
          <w:szCs w:val="22"/>
          <w:color w:val="auto"/>
        </w:rPr>
      </w:pPr>
    </w:p>
    <w:p>
      <w:pPr>
        <w:jc w:val="both"/>
        <w:ind w:left="-440" w:firstLine="1505"/>
        <w:spacing w:after="0" w:line="242" w:lineRule="auto"/>
        <w:tabs>
          <w:tab w:leader="none" w:pos="1489" w:val="left"/>
        </w:tabs>
        <w:numPr>
          <w:ilvl w:val="2"/>
          <w:numId w:val="4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Manager shall perform the investment-related duties and functions (including, without limitation, the furnishing of Issuer Orders and Responsible Officer’s certificates) as are expressly required hereunder and under the Indenture with regard to acquisitions, sales, repurchases, substitutions or other dispositions of Collateral Obligations, Equity Securities, Eligible Investments and other Assets permitted to be acquired, sold or otherwise disposed of under, and subject to, the Indenture (including any proceeds received by way of Offers, workouts and restructurings or repurchases of Assets owned by the Issuer) and shall comply with the requirements in the Indenture and, with respect to repurchases or substitutions, the Master Loan Sale Agreement. The Collateral Manager shall have no obligation to perform any other duties other than as expressly specified herein, in the Indenture, in the Master Loan Sale Agreement, or in the Collateral Administration Agreement, and the Collateral Manager shall be subject to no implicit obligations of any kind. The Issuer hereby irrevocably (except as provided below) appoints the Collateral Manager as the Issuer’s true and lawful agent and attorney-in-fact (with full power of substitution) in its name, place and stead and at its expense, in connection with the performance of the Collateral Manager’s duties provided for in this Agreement and in the Indenture, including, without limitation, the following powers: (A) to give or cause to be given any necessary receipts or acquittance for amounts collected or received hereunder or thereunder; (B) to make or cause to be made all necessary transfers of the Collateral Obligations, Equity Securities and Eligible Investments in connection with any acquisition, sale, termination or other disposition made pursuant to this Agreement, the Indenture, in the Master Loan Sale Agreement or in the Collateral Administration Agreement; (C) to execute (under hand, under seal or as a deed) and deliver or cause to be executed and delivered on behalf of the Issuer all necessary or appropriate bills of sale, assignments, agreements and other instruments in connection with any such acquisition, sale, termination or other disposition; and (D) to execute (under hand, under seal or as a deed) and deliver or cause to be executed and delivered on behalf of the Issuer any consents, votes, proxies, waivers, notices, amendments, modifications, agreements, instruments, orders or other documents in connection with or pursuant to this Agreement or the Indenture and relating to any Collateral Obligation, Equity Security or Eligible Investment. The Issuer hereby ratifies and confirms all that such attorney-in-fact (or any substitute) shall lawfully do hereunder and pursuant hereto and authorizes such attorney-in-fact to exercise full discretion and act for the Issuer in the same manner and with the same force and effect as the members, managers or officers of the Issuer might or could do in respect of the performance of such services, as well as in respect of all other things the Collateral Manager deems necessary or incidental to the furtherance or conduct of such services, subject in each case to the other terms of this Agreement. The Issuer hereby authorizes such attorney-in-fact (or any substitute), in its sole discretion (but subject to applicable law), to take all actions that it considers reasonably necessary and appropriate in respect of the Assets, this Agreement, the Indenture and the other Transaction Documents. Nevertheless, if so requested by the Collateral Manager or by a purchaser of any Collateral Obligation or Eligible Investment, the Issuer shall ratify and confirm any such sale, termination or other disposition by executing and delivering to the Collateral Manager or such purchaser all proper bills of sale, assignments, releases, powers of attorney, proxies, dividends, other orders and other instruments as may reasonably be designated in any such request. Except as otherwise set forth and provided for herein, this grant of power of attorney is coupled with an interest, and it shall survive and not be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5" w:lineRule="exact"/>
        <w:rPr>
          <w:rFonts w:ascii="Times New Roman" w:cs="Times New Roman" w:eastAsia="Times New Roman" w:hAnsi="Times New Roman"/>
          <w:sz w:val="21"/>
          <w:szCs w:val="21"/>
          <w:color w:val="auto"/>
        </w:rPr>
      </w:pPr>
    </w:p>
    <w:p>
      <w:pPr>
        <w:ind w:left="120" w:hanging="120"/>
        <w:spacing w:after="0"/>
        <w:tabs>
          <w:tab w:leader="none" w:pos="120"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632460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08" w:right="339" w:bottom="1440" w:gutter="0" w:footer="0" w:header="0"/>
        </w:sectPr>
      </w:pPr>
    </w:p>
    <w:bookmarkStart w:id="379" w:name="page380"/>
    <w:bookmarkEnd w:id="379"/>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affected by the subsequent dissolution or bankruptcy of the Issuer. Notwithstanding anything herein to the contrary, the appointment herein of the Collateral Manager as the Issuer’s agent and attorney-in-fact shall automatically cease and terminate upon any termination of this Agreement or upon the effective date of the appointment of a successor Collateral Manager following the resignation of the Collateral Manager pursuant to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xml:space="preserve"> or any removal of the Collateral Manager pursuant to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Each of the Collateral Manager and the Issuer shall take such other actions, and furnish such certificates, opinions and other documents, as may be reasonably requested by the other party hereto in order to effectuate the purposes of this Agreement and to facilitate compliance with applicable laws and regulations and the terms of this Agreement and the Indenture.</w:t>
      </w:r>
    </w:p>
    <w:p>
      <w:pPr>
        <w:spacing w:after="0" w:line="170" w:lineRule="exact"/>
        <w:rPr>
          <w:sz w:val="20"/>
          <w:szCs w:val="20"/>
          <w:color w:val="auto"/>
        </w:rPr>
      </w:pPr>
    </w:p>
    <w:p>
      <w:pPr>
        <w:jc w:val="both"/>
        <w:ind w:firstLine="1505"/>
        <w:spacing w:after="0" w:line="232" w:lineRule="auto"/>
        <w:tabs>
          <w:tab w:leader="none" w:pos="1929" w:val="left"/>
        </w:tabs>
        <w:numPr>
          <w:ilvl w:val="1"/>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applicable terms of the Collateral Administration Agreement and of the Indenture, the Collateral Manager shall monitor the Assets on behalf of the Issuer on an ongoing basis and shall provide or cause to be provided to the Issuer all reports, schedules and other data as is reasonably available to the Collateral Manager that the Issuer is required to prepare and deliver or cause to be prepared and delivered under the Indenture, in such forms and containing such information required thereby, in reasonably sufficient time for such required reports, schedules and data to be reviewed and delivered by or on behalf of the Issuer to the parties entitled thereto under the Indenture. The obligation of the Collateral Manager to furnish such reports, schedules and other data is subject to the Collateral Manager’s timely receipt of necessary information, reports, schedules and other data from the Person responsible for the delivery or preparation thereof (including without limitation, Obligors of the Collateral Obligations, the Rating Agency, the Collateral Trustee, the Loan Agent, the Calculation Agent and the Collateral Administrator) and to any confidentiality restrictions with respect thereto. The Collateral Manager shall be entitled to rely upon, and shall not incur any liability for relying upon, any notice, request, certificate, consent, statement, instrument, document or other writing reasonably believed by it to be genuine and to have been signed or sent by a Person that the Collateral Manager has no reason to believe is not duly authorized. The Collateral Manager also may rely upon any statement made to it orally or by other means of communication and made by a Person the Collateral Manager has no reason to believe is not duly authorized, and shall not incur any liability for relying thereon. The Collateral Manager is entitled to rely on any other information furnished to it by third parties that it reasonably believes in good faith to be genuine.</w:t>
      </w:r>
    </w:p>
    <w:p>
      <w:pPr>
        <w:spacing w:after="0" w:line="191"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1"/>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on behalf of the Issuer, shall be responsible for obtaining, to the extent reasonably practicable and to the extent such information is readily available to it, any information concerning whether a Collateral Obligation is a Discount Obligation or has become a Defaulted Obligation, a Credit Risk Obligation, a Current Pay Obligation or a Credit Improved Obligation.</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may, subject to and in accordance with the Indenture, as agent of the Issuer and on behalf of the Issuer, direct the Collateral Trustee and the Custodian to take any of the following actions with respect to a Collateral Obligation, Equity Security or Eligible Investment, as applicable:</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or otherwise acquire such Collateral Obligation or Eligible Investment;</w:t>
      </w:r>
    </w:p>
    <w:p>
      <w:pPr>
        <w:spacing w:after="0" w:line="368" w:lineRule="exact"/>
        <w:rPr>
          <w:rFonts w:ascii="Times New Roman" w:cs="Times New Roman" w:eastAsia="Times New Roman" w:hAnsi="Times New Roman"/>
          <w:sz w:val="22"/>
          <w:szCs w:val="22"/>
          <w:color w:val="auto"/>
        </w:rPr>
      </w:pPr>
    </w:p>
    <w:p>
      <w:pPr>
        <w:ind w:left="560" w:hanging="120"/>
        <w:spacing w:after="0"/>
        <w:tabs>
          <w:tab w:leader="none" w:pos="560"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0" w:name="page381"/>
    <w:bookmarkEnd w:id="380"/>
    <w:p>
      <w:pPr>
        <w:ind w:left="2680" w:hanging="426"/>
        <w:spacing w:after="0"/>
        <w:tabs>
          <w:tab w:leader="none" w:pos="2680"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retain such Collateral Obligation, Equity Security or Eligible Investment;</w:t>
      </w:r>
    </w:p>
    <w:p>
      <w:pPr>
        <w:spacing w:after="0" w:line="20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or otherwise dispose of such Collateral Obligation, Equity Security or Eligible Investment (including any assets received by way of Offers, workouts and restructurings on assets owned by the Issuer) in the open market or otherwise;</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tender such Collateral Obligation, Equity Security or Eligible Investment;</w:t>
      </w:r>
    </w:p>
    <w:p>
      <w:pPr>
        <w:spacing w:after="0" w:line="206" w:lineRule="exact"/>
        <w:rPr>
          <w:rFonts w:ascii="Times New Roman" w:cs="Times New Roman" w:eastAsia="Times New Roman" w:hAnsi="Times New Roman"/>
          <w:sz w:val="22"/>
          <w:szCs w:val="22"/>
          <w:color w:val="auto"/>
        </w:rPr>
      </w:pPr>
    </w:p>
    <w:p>
      <w:pPr>
        <w:ind w:right="80" w:firstLine="2254"/>
        <w:spacing w:after="0" w:line="258" w:lineRule="auto"/>
        <w:tabs>
          <w:tab w:leader="none" w:pos="2678"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consent to or refuse to consent to any proposed amendment, modification, restructuring, exchange or waiver;</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retain or dispose of any securities or other property (if other than cash) received by the Issuer;</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any default with respect to any Defaulted Obligation;</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vote to accelerate the maturity of any Defaulted Obligation;</w:t>
      </w:r>
    </w:p>
    <w:p>
      <w:pPr>
        <w:spacing w:after="0" w:line="206"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a committee or group formed by creditors of an Obligor, issuer or a borrower under a Collateral Obligation, Eligible Investment or Equity Security;</w:t>
      </w:r>
    </w:p>
    <w:p>
      <w:pPr>
        <w:spacing w:after="0" w:line="158" w:lineRule="exact"/>
        <w:rPr>
          <w:rFonts w:ascii="Times New Roman" w:cs="Times New Roman" w:eastAsia="Times New Roman" w:hAnsi="Times New Roman"/>
          <w:sz w:val="22"/>
          <w:szCs w:val="22"/>
          <w:color w:val="auto"/>
        </w:rPr>
      </w:pPr>
    </w:p>
    <w:p>
      <w:pPr>
        <w:jc w:val="both"/>
        <w:ind w:firstLine="2254"/>
        <w:spacing w:after="0" w:line="236" w:lineRule="auto"/>
        <w:tabs>
          <w:tab w:leader="none" w:pos="2678"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or in connection with the payment in full of all amounts owed on the Debt and the termination without replacement of the Indenture and the Credit Agreements or in connection with any redemption of the Debt, advise the Issuer as to when, in the view of the Collateral Manager, it would be in the best interest of the Issuer to liquidate the Issuer’s investment portfolio (and, if applicable, after discharge of the Indenture and the Credit Agreements) and render such assistance as may be necessary or required by the Issuer in connection with such liquidation or any actions necessary to effectuate a redemption of the Debt;</w:t>
      </w:r>
    </w:p>
    <w:p>
      <w:pPr>
        <w:spacing w:after="0" w:line="181"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advise and assist the Issuer with respect to the valuation of the Assets, to the extent required or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by the Indenture;</w:t>
      </w:r>
    </w:p>
    <w:p>
      <w:pPr>
        <w:spacing w:after="0" w:line="182" w:lineRule="exact"/>
        <w:rPr>
          <w:rFonts w:ascii="Times New Roman" w:cs="Times New Roman" w:eastAsia="Times New Roman" w:hAnsi="Times New Roman"/>
          <w:sz w:val="22"/>
          <w:szCs w:val="22"/>
          <w:color w:val="auto"/>
        </w:rPr>
      </w:pPr>
    </w:p>
    <w:p>
      <w:pPr>
        <w:ind w:right="60" w:firstLine="2254"/>
        <w:spacing w:after="0" w:line="258" w:lineRule="auto"/>
        <w:tabs>
          <w:tab w:leader="none" w:pos="2678"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strategic and financial planning (including advice on utilization of assets), financial statements and other similar reports;</w:t>
      </w:r>
    </w:p>
    <w:p>
      <w:pPr>
        <w:spacing w:after="0" w:line="158" w:lineRule="exact"/>
        <w:rPr>
          <w:rFonts w:ascii="Times New Roman" w:cs="Times New Roman" w:eastAsia="Times New Roman" w:hAnsi="Times New Roman"/>
          <w:sz w:val="22"/>
          <w:szCs w:val="22"/>
          <w:color w:val="auto"/>
        </w:rPr>
      </w:pPr>
    </w:p>
    <w:p>
      <w:pPr>
        <w:ind w:right="60" w:firstLine="2254"/>
        <w:spacing w:after="0" w:line="258" w:lineRule="auto"/>
        <w:tabs>
          <w:tab w:leader="none" w:pos="2678"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negotiate, modify or amend any indebtedness of the Issuer as authorized by the Indenture in connection with a Refinancing (or Re-Pricing); and</w:t>
      </w:r>
    </w:p>
    <w:p>
      <w:pPr>
        <w:spacing w:after="0" w:line="158"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any other rights or remedies with respect to such Collateral Obligation, Equity Security or Eligible Investment as provided in (i) the Underlying Documents of the Obligor or issuer of such Assets or the other documents governing the terms of such Assets and (ii) the Master Loan Sale Agreement, or, in either case, take any other action consistent with the terms of this Agreement or the Indenture which the Collateral Manager reasonably determines to be in the best interests of the Issuer.</w:t>
      </w:r>
    </w:p>
    <w:p>
      <w:pPr>
        <w:spacing w:after="0" w:line="338" w:lineRule="exact"/>
        <w:rPr>
          <w:rFonts w:ascii="Times New Roman" w:cs="Times New Roman" w:eastAsia="Times New Roman" w:hAnsi="Times New Roman"/>
          <w:sz w:val="22"/>
          <w:szCs w:val="22"/>
          <w:color w:val="auto"/>
        </w:rPr>
      </w:pPr>
    </w:p>
    <w:p>
      <w:pPr>
        <w:ind w:left="560" w:hanging="120"/>
        <w:spacing w:after="0"/>
        <w:tabs>
          <w:tab w:leader="none" w:pos="560"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1" w:name="page382"/>
    <w:bookmarkEnd w:id="381"/>
    <w:p>
      <w:pPr>
        <w:ind w:left="-440" w:right="60" w:firstLine="1505"/>
        <w:spacing w:after="0" w:line="258" w:lineRule="auto"/>
        <w:tabs>
          <w:tab w:leader="none" w:pos="1489" w:val="left"/>
        </w:tabs>
        <w:numPr>
          <w:ilvl w:val="2"/>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may, upon request of the Issuer, retain accounting, tax, counsel and other professional services on behalf of the Issuer as may be needed by the Issuer.</w:t>
      </w:r>
    </w:p>
    <w:p>
      <w:pPr>
        <w:spacing w:after="0" w:line="158" w:lineRule="exact"/>
        <w:rPr>
          <w:rFonts w:ascii="Times New Roman" w:cs="Times New Roman" w:eastAsia="Times New Roman" w:hAnsi="Times New Roman"/>
          <w:sz w:val="22"/>
          <w:szCs w:val="22"/>
          <w:color w:val="auto"/>
        </w:rPr>
      </w:pPr>
    </w:p>
    <w:p>
      <w:pPr>
        <w:ind w:left="-440" w:right="20" w:firstLine="1505"/>
        <w:spacing w:after="0" w:line="258" w:lineRule="auto"/>
        <w:tabs>
          <w:tab w:leader="none" w:pos="1489" w:val="left"/>
        </w:tabs>
        <w:numPr>
          <w:ilvl w:val="2"/>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acquisition of any Collateral Obligation by the Issuer, the Collateral Manager shall prepare, on behalf of the Issuer, the information required to be delivered to the Custodian pursuant to the Indenture.</w:t>
      </w:r>
    </w:p>
    <w:p>
      <w:pPr>
        <w:spacing w:after="0" w:line="158" w:lineRule="exact"/>
        <w:rPr>
          <w:rFonts w:ascii="Times New Roman" w:cs="Times New Roman" w:eastAsia="Times New Roman" w:hAnsi="Times New Roman"/>
          <w:sz w:val="22"/>
          <w:szCs w:val="22"/>
          <w:color w:val="auto"/>
        </w:rPr>
      </w:pPr>
    </w:p>
    <w:p>
      <w:pPr>
        <w:jc w:val="both"/>
        <w:ind w:left="-440" w:firstLine="1505"/>
        <w:spacing w:after="0" w:line="239" w:lineRule="auto"/>
        <w:tabs>
          <w:tab w:leader="none" w:pos="1489" w:val="left"/>
        </w:tabs>
        <w:numPr>
          <w:ilvl w:val="2"/>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the Collateral Manager executes on behalf of the Issuer an agreement or instrument pursuant to which any security interest over any assets of the Issuer is created or released, the Collateral Manager shall promptly give written notice thereof to the Issuer and shall provide the Issuer with such information and/or copy documentation in respect thereof as the Issuer may reasonably require.</w:t>
      </w:r>
    </w:p>
    <w:p>
      <w:pPr>
        <w:spacing w:after="0" w:line="180" w:lineRule="exact"/>
        <w:rPr>
          <w:rFonts w:ascii="Times New Roman" w:cs="Times New Roman" w:eastAsia="Times New Roman" w:hAnsi="Times New Roman"/>
          <w:sz w:val="22"/>
          <w:szCs w:val="22"/>
          <w:color w:val="auto"/>
        </w:rPr>
      </w:pPr>
    </w:p>
    <w:p>
      <w:pPr>
        <w:jc w:val="both"/>
        <w:ind w:left="-440" w:firstLine="1505"/>
        <w:spacing w:after="0" w:line="239" w:lineRule="auto"/>
        <w:tabs>
          <w:tab w:leader="none" w:pos="1921" w:val="left"/>
        </w:tabs>
        <w:numPr>
          <w:ilvl w:val="2"/>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its receipt of confirmation from the Retention Holder that the Retention Holder is in compliance with the EU/UK Retention Requirement, as defined in the Retention of Net Economic Interest Letter, the Collateral Manager shall provide written confirmation to the Collateral Administrator and the Collateral Trustee, for inclusion in the Monthly Report, that the Retention Holder is in compliance with the EU/UK Retention Requirement.</w:t>
      </w:r>
    </w:p>
    <w:p>
      <w:pPr>
        <w:spacing w:after="0" w:line="180" w:lineRule="exact"/>
        <w:rPr>
          <w:rFonts w:ascii="Times New Roman" w:cs="Times New Roman" w:eastAsia="Times New Roman" w:hAnsi="Times New Roman"/>
          <w:sz w:val="22"/>
          <w:szCs w:val="22"/>
          <w:color w:val="auto"/>
        </w:rPr>
      </w:pPr>
    </w:p>
    <w:p>
      <w:pPr>
        <w:jc w:val="both"/>
        <w:ind w:left="-440" w:firstLine="757"/>
        <w:spacing w:after="0" w:line="238" w:lineRule="auto"/>
        <w:tabs>
          <w:tab w:leader="none" w:pos="741" w:val="left"/>
        </w:tabs>
        <w:numPr>
          <w:ilvl w:val="1"/>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performing its duties hereunder and when exercising its discretion and judgment in connection with any transactions involving the Assets, the Collateral Manager shall carry out any reasonable written directions of the Issuer for the purpose of the Issuer’s compliance with its Organizational Instruments and the Indenture;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directions are not inconsistent with any provision of this Agreement or the Indenture by which the Collateral Manager is bound or prohibited by applicable law.</w:t>
      </w:r>
    </w:p>
    <w:p>
      <w:pPr>
        <w:spacing w:after="0" w:line="176" w:lineRule="exact"/>
        <w:rPr>
          <w:rFonts w:ascii="Times New Roman" w:cs="Times New Roman" w:eastAsia="Times New Roman" w:hAnsi="Times New Roman"/>
          <w:sz w:val="22"/>
          <w:szCs w:val="22"/>
          <w:color w:val="auto"/>
        </w:rPr>
      </w:pPr>
    </w:p>
    <w:p>
      <w:pPr>
        <w:jc w:val="both"/>
        <w:ind w:left="-440" w:firstLine="757"/>
        <w:spacing w:after="0" w:line="233" w:lineRule="auto"/>
        <w:tabs>
          <w:tab w:leader="none" w:pos="741" w:val="left"/>
        </w:tabs>
        <w:numPr>
          <w:ilvl w:val="1"/>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providing services hereunder, the Collateral Manager may rely in good faith upon and will be fully protected and incur no liability for acting at the direction of the Issuer (where such direction has been given without direct advice from the Collateral Manager) or for relying upon advice of nationally recognized counsel, accountants or other advisers as the Collateral Manager determines, in its sole discretion, is reasonably appropriate in connection with the services provided by the Collateral Manager under this Agreement. The Collateral Manager may, without the consent of any Person, delegate to third parties (including without limitation its Affiliates) the duties assigned to the Collateral Manager under this Agreement, and employ third parties at the Issuer’s expense, including, without limitation, its Affiliates and/or Related Persons, to render advice (including investment advice), to provide services to arrange for trade execution and otherwise provide assistance to the Issuer and to perform any of its duties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Collateral Manager shall not (i) delegate investment decision-making responsibilities including, without limitation, asset selection, credit review and the negotiation and determination of the acquisition price of a Collateral Obligation, to non-Affiliates or (ii) be relieved of any of its duties hereunder regardless of the performance of any services by third parties, including Affiliates.</w:t>
      </w:r>
    </w:p>
    <w:p>
      <w:pPr>
        <w:spacing w:after="0" w:line="184" w:lineRule="exact"/>
        <w:rPr>
          <w:rFonts w:ascii="Times New Roman" w:cs="Times New Roman" w:eastAsia="Times New Roman" w:hAnsi="Times New Roman"/>
          <w:sz w:val="22"/>
          <w:szCs w:val="22"/>
          <w:color w:val="auto"/>
        </w:rPr>
      </w:pPr>
    </w:p>
    <w:p>
      <w:pPr>
        <w:jc w:val="both"/>
        <w:ind w:left="-440" w:firstLine="757"/>
        <w:spacing w:after="0" w:line="244" w:lineRule="auto"/>
        <w:tabs>
          <w:tab w:leader="none" w:pos="741" w:val="left"/>
        </w:tabs>
        <w:numPr>
          <w:ilvl w:val="1"/>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(or the Collateral Trustee at the direction of the Collateral Manager) will notify the Holders of the Debt of any modification of this Agreement that has a material adverse effect on the Issuer or the Holders or of any termination of this Agreement.</w:t>
      </w:r>
    </w:p>
    <w:p>
      <w:pPr>
        <w:spacing w:after="0" w:line="335" w:lineRule="exact"/>
        <w:rPr>
          <w:rFonts w:ascii="Times New Roman" w:cs="Times New Roman" w:eastAsia="Times New Roman" w:hAnsi="Times New Roman"/>
          <w:sz w:val="22"/>
          <w:szCs w:val="22"/>
          <w:color w:val="auto"/>
        </w:rPr>
      </w:pPr>
    </w:p>
    <w:p>
      <w:pPr>
        <w:ind w:left="120" w:hanging="120"/>
        <w:spacing w:after="0"/>
        <w:tabs>
          <w:tab w:leader="none" w:pos="120"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632460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08" w:right="339" w:bottom="1440" w:gutter="0" w:footer="0" w:header="0"/>
        </w:sectPr>
      </w:pPr>
    </w:p>
    <w:bookmarkStart w:id="382" w:name="page383"/>
    <w:bookmarkEnd w:id="382"/>
    <w:p>
      <w:pPr>
        <w:jc w:val="both"/>
        <w:ind w:left="-8" w:firstLine="757"/>
        <w:spacing w:after="0" w:line="233" w:lineRule="auto"/>
        <w:tabs>
          <w:tab w:leader="none" w:pos="1173" w:val="left"/>
        </w:tabs>
        <w:numPr>
          <w:ilvl w:val="2"/>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or in any other Transaction Document to the contrary, the Collateral Manager shall have no authority to hold (directly or indirectly), or otherwise obtain possession of, any funds or securities of the Issuer (including Collateral Obligations or Eligible Investments). The Collateral Manager agrees that any requests regarding the disbursement of any funds in any Account must be made in accordance with the Indenture or other Transaction Documents and must be sent to the Collateral Trustee and the Issuer and such request shall be made by the Collateral Manager in connection with any acquisition, sale or disposition of the Assets or otherwise upon the approval of the Issuer and will be considered only as informing the Collateral Trustee of such request. Without limiting the foregoing, the Collateral Manager shall have no authority to (i) sign checks on the Issuer’s behalf, (ii) deduct fees from any Account, (iii) withdraw funds or securities from any Account, or (iv) dispose of funds in any Account for any purpose other than pursuant to transactions authorized by the Indenture. Nothing in this clause (g) shall prohibit the Collateral Manager from issuing instructions to the Collateral Trustee or Custodian to effect or to settle any bills of sale, assignments, agreements and other instruments in connection with any acquisition, sale or other disposition of any Asset of the Issuer as permitted by the Indenture.</w:t>
      </w:r>
    </w:p>
    <w:p>
      <w:pPr>
        <w:spacing w:after="0" w:line="184" w:lineRule="exact"/>
        <w:rPr>
          <w:rFonts w:ascii="Times New Roman" w:cs="Times New Roman" w:eastAsia="Times New Roman" w:hAnsi="Times New Roman"/>
          <w:sz w:val="22"/>
          <w:szCs w:val="22"/>
          <w:color w:val="auto"/>
        </w:rPr>
      </w:pPr>
    </w:p>
    <w:p>
      <w:pPr>
        <w:ind w:left="432" w:hanging="432"/>
        <w:spacing w:after="0"/>
        <w:tabs>
          <w:tab w:leader="none" w:pos="432"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and Sale Transactions; Brokerage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 w:firstLine="757"/>
        <w:spacing w:after="0" w:line="249" w:lineRule="auto"/>
        <w:tabs>
          <w:tab w:leader="none" w:pos="1173" w:val="left"/>
        </w:tabs>
        <w:numPr>
          <w:ilvl w:val="2"/>
          <w:numId w:val="4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Manager, subject to and in accordance with the Indenture and the Master Loan Sale Agreement, as applicable, hereby agrees that it shall cause any Transaction to be conducted on terms and conditions negotiated on an arm’s-length basis (except as otherwise expressly required by the Indenture or the Master Loan Sale Agreement) and in accordance with applicable law. Except as expressly permitted under the Indenture, no Assets (other than any Delayed Drawdown Collateral Obligations or Revolving Collateral Obligations) shall be purchased if such Assets may give rise to any obligation or liability on the Issuer’s part to the Obligor or issuer thereof to take any action or make any payment other than at the Issuer’s option.</w:t>
      </w:r>
    </w:p>
    <w:p>
      <w:pPr>
        <w:spacing w:after="0" w:line="170" w:lineRule="exact"/>
        <w:rPr>
          <w:rFonts w:ascii="Times New Roman" w:cs="Times New Roman" w:eastAsia="Times New Roman" w:hAnsi="Times New Roman"/>
          <w:sz w:val="21"/>
          <w:szCs w:val="21"/>
          <w:color w:val="auto"/>
        </w:rPr>
      </w:pPr>
    </w:p>
    <w:p>
      <w:pPr>
        <w:jc w:val="both"/>
        <w:ind w:left="-8" w:firstLine="757"/>
        <w:spacing w:after="0" w:line="233" w:lineRule="auto"/>
        <w:tabs>
          <w:tab w:leader="none" w:pos="1173" w:val="left"/>
        </w:tabs>
        <w:numPr>
          <w:ilvl w:val="2"/>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will seek to obtain the best execution (but shall have no obligation to obtain the best price available) for all orders placed with respect to any Transaction, in a manner permitted by law and in a manner it believes to be in the best interests of the Issuer. Subject to the preceding sentence, the Collateral Manager may, in the allocation of business, select brokers and/or dealers with whom to effect trades on behalf of the Issuer and may open cash trading accounts with such brokers and dealers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none of the Assets may be credited to, held in or subject to the lien of the broker or dealer with respect to any such account). In addition, subject to the first sentence of this paragraph, the Collateral Manager may, in the allocation of business, take into consideration research and other brokerage services furnished to the Collateral Manager or its Affiliates by brokers and dealers which are not Affiliates of the Collateral Manager;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Collateral Manager in good faith believes that the compensation for such services rendered by such brokers and dealers complies with the requirements of Section 28(e) of the Securities Exchange Act of 1934, as amended (“</w:t>
      </w:r>
      <w:r>
        <w:rPr>
          <w:rFonts w:ascii="Times New Roman" w:cs="Times New Roman" w:eastAsia="Times New Roman" w:hAnsi="Times New Roman"/>
          <w:sz w:val="22"/>
          <w:szCs w:val="22"/>
          <w:u w:val="single" w:color="auto"/>
          <w:color w:val="auto"/>
        </w:rPr>
        <w:t>Section 28(e)</w:t>
      </w:r>
      <w:r>
        <w:rPr>
          <w:rFonts w:ascii="Times New Roman" w:cs="Times New Roman" w:eastAsia="Times New Roman" w:hAnsi="Times New Roman"/>
          <w:sz w:val="22"/>
          <w:szCs w:val="22"/>
          <w:color w:val="auto"/>
        </w:rPr>
        <w:t>”), or in the case of principal or fixed income transactions for which the “safe harbor” of Section 28(e) is not available, the amount of the spread charged is reasonable in relation to the value of the research and other brokerage services provided. Such services may be used by the Collateral Manager in connection with its other advisory activities or investment operations. The Collateral Manager may aggregate sales and purchase orders placed with respect to the Assets with similar orders being made simultaneously for other accounts managed by the Collateral Manager or with accounts of the</w:t>
      </w:r>
    </w:p>
    <w:p>
      <w:pPr>
        <w:spacing w:after="0" w:line="339" w:lineRule="exact"/>
        <w:rPr>
          <w:rFonts w:ascii="Times New Roman" w:cs="Times New Roman" w:eastAsia="Times New Roman" w:hAnsi="Times New Roman"/>
          <w:sz w:val="22"/>
          <w:szCs w:val="22"/>
          <w:color w:val="auto"/>
        </w:rPr>
      </w:pPr>
    </w:p>
    <w:p>
      <w:pPr>
        <w:ind w:left="552" w:hanging="120"/>
        <w:spacing w:after="0"/>
        <w:tabs>
          <w:tab w:leader="none" w:pos="552" w:val="left"/>
        </w:tabs>
        <w:numPr>
          <w:ilvl w:val="1"/>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632460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383" w:name="page384"/>
    <w:bookmarkEnd w:id="383"/>
    <w:p>
      <w:pPr>
        <w:jc w:val="both"/>
        <w:spacing w:after="0" w:line="235" w:lineRule="auto"/>
        <w:rPr>
          <w:sz w:val="20"/>
          <w:szCs w:val="20"/>
          <w:color w:val="auto"/>
        </w:rPr>
      </w:pPr>
      <w:r>
        <w:rPr>
          <w:rFonts w:ascii="Times New Roman" w:cs="Times New Roman" w:eastAsia="Times New Roman" w:hAnsi="Times New Roman"/>
          <w:sz w:val="22"/>
          <w:szCs w:val="22"/>
          <w:color w:val="auto"/>
        </w:rPr>
        <w:t>Affiliates of the Collateral Manager, if in the Collateral Manager’s reasonable judgment such aggregation shall result in an overall economic benefit to the Issuer, taking into consideration the advantageous selling or purchase price, brokerage commission or other expenses, as well as the availability of such obligations or securities on any other basis. In accounting for such aggregated order price, commissions and other expenses may be apportioned on a weighted average basis. When a Transaction occurs as part of any aggregate sales or purchase orders, the objective of the Collateral Manager will be to use reasonable efforts to allocate the executions among the accounts in a manner that it deems fair and equitable over time and that the Collateral Manager believes, in its reasonable business judgment, to be appropriate and in accordance with its Internal Policies and applicable law.</w:t>
      </w:r>
    </w:p>
    <w:p>
      <w:pPr>
        <w:spacing w:after="0" w:line="178" w:lineRule="exact"/>
        <w:rPr>
          <w:sz w:val="20"/>
          <w:szCs w:val="20"/>
          <w:color w:val="auto"/>
        </w:rPr>
      </w:pPr>
    </w:p>
    <w:p>
      <w:pPr>
        <w:jc w:val="both"/>
        <w:ind w:firstLine="757"/>
        <w:spacing w:after="0" w:line="247" w:lineRule="auto"/>
        <w:tabs>
          <w:tab w:leader="none" w:pos="1181" w:val="left"/>
        </w:tabs>
        <w:numPr>
          <w:ilvl w:val="1"/>
          <w:numId w:val="4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acknowledges and agrees that (i) the determination by the Collateral Manager of any benefit to the Issuer will be subjective and will represent the Collateral Manager’s evaluation at the time that the Issuer will be benefited by relatively better purchase or sale prices, lower brokerage commissions, lower transaction costs and expenses and beneficial timing of transactions or any combination of any of these and/or other factors and (ii) the Collateral Manager shall be fully protected with respect to any such determination to the extent the Collateral Manager acts in accordance with the Collateral Manager Standard. The Issuer acknowledges and agrees that an Affiliate of the Collateral Manager owns the Subordinated Notes and may hold or beneficially own a portion of the Secured Debt on and, potentially, after the Closing Date and that investment may give rise to conflicts of interest between the Collateral Manager’s duties to the Issuer under this Agreement and such Affiliate’s interests.</w:t>
      </w:r>
    </w:p>
    <w:p>
      <w:pPr>
        <w:spacing w:after="0" w:line="171" w:lineRule="exact"/>
        <w:rPr>
          <w:rFonts w:ascii="Times New Roman" w:cs="Times New Roman" w:eastAsia="Times New Roman" w:hAnsi="Times New Roman"/>
          <w:sz w:val="21"/>
          <w:szCs w:val="21"/>
          <w:color w:val="auto"/>
        </w:rPr>
      </w:pPr>
    </w:p>
    <w:p>
      <w:pPr>
        <w:jc w:val="both"/>
        <w:ind w:firstLine="757"/>
        <w:spacing w:after="0" w:line="233" w:lineRule="auto"/>
        <w:tabs>
          <w:tab w:leader="none" w:pos="1181" w:val="left"/>
        </w:tabs>
        <w:numPr>
          <w:ilvl w:val="1"/>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Collateral Manager’s obligations described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and the covenants set forth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the Collateral Manager is hereby authorized to effect Client cross-transactions where the Collateral Manager causes a Transaction to be effected between the Issuer and another account advised by the Collateral Manager or any of its Affiliates;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and to the extent required by the Advisers Act, such authorization is terminable prior to the completion of such cross-transaction at the Issuer’s option without penalty. Such termination shall be effective upon receipt by the Collateral Manager of written notice from the Issuer. Subject to the Collateral Manager’s execution obligations described in this Section and the covenants set forth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Collateral Manager is hereby authorized to effect principal transactions where the Issuer may invest in Collateral Obligations of Obligors or issuers in which the Collateral Manager and/or its Affiliates have a debt, equity or participation interest, in each case in accordance with applicable law. To the extent that applicable law requires disclosure to and the consent and approval of the Issuer to any such principal transaction, such requirements may be satisfied with respect to the Issuer in any manner that is permitted pursuant to then applicable law. For the avoidance of doubt, the Collateral Manager will not undertake any cross-transaction that it determines would not be in compliance with both the Advisers Act and the Investment Company Act.</w:t>
      </w:r>
    </w:p>
    <w:p>
      <w:pPr>
        <w:spacing w:after="0" w:line="182"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1"/>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acknowledges and agrees that the Collateral Manager or any of its Affiliates may acquire or sell Assets, for its own account or for the accounts of its customers, without either requiring or precluding the acquisition or sale of such Assets for the account of the Issuer. Such investments may be the same or different from those made on behalf of the Issuer. The Issuer acknowledges that the Collateral Manager and its Affiliates may enter into, for their own accounts or for the accounts of others, credit default swaps relating to Obligors and issuers</w:t>
      </w:r>
    </w:p>
    <w:p>
      <w:pPr>
        <w:spacing w:after="0" w:line="338" w:lineRule="exact"/>
        <w:rPr>
          <w:rFonts w:ascii="Times New Roman" w:cs="Times New Roman" w:eastAsia="Times New Roman" w:hAnsi="Times New Roman"/>
          <w:sz w:val="22"/>
          <w:szCs w:val="22"/>
          <w:color w:val="auto"/>
        </w:rPr>
      </w:pPr>
    </w:p>
    <w:p>
      <w:pPr>
        <w:ind w:left="560" w:hanging="120"/>
        <w:spacing w:after="0"/>
        <w:tabs>
          <w:tab w:leader="none" w:pos="560"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4" w:name="page385"/>
    <w:bookmarkEnd w:id="384"/>
    <w:p>
      <w:pPr>
        <w:jc w:val="both"/>
        <w:spacing w:after="0" w:line="238" w:lineRule="auto"/>
        <w:rPr>
          <w:sz w:val="20"/>
          <w:szCs w:val="20"/>
          <w:color w:val="auto"/>
        </w:rPr>
      </w:pPr>
      <w:r>
        <w:rPr>
          <w:rFonts w:ascii="Times New Roman" w:cs="Times New Roman" w:eastAsia="Times New Roman" w:hAnsi="Times New Roman"/>
          <w:sz w:val="22"/>
          <w:szCs w:val="22"/>
          <w:color w:val="auto"/>
        </w:rPr>
        <w:t>with respect to the Collateral Obligations and Eligible Investments included in the Assets. The Collateral Manager shall not incur any liability and shall be fully protected for any determinations made or other actions taken or omitted by it in good faith with respect to any determination of value made in accordance with the Transaction Documents. Notwithstanding the foregoing, the Collateral Manager will not undertake any such transaction that it determines would not be in compliance with both the Advisers Act and the Investment Company Act.</w:t>
      </w:r>
    </w:p>
    <w:p>
      <w:pPr>
        <w:spacing w:after="0" w:line="177" w:lineRule="exact"/>
        <w:rPr>
          <w:sz w:val="20"/>
          <w:szCs w:val="20"/>
          <w:color w:val="auto"/>
        </w:rPr>
      </w:pPr>
    </w:p>
    <w:p>
      <w:pPr>
        <w:ind w:left="440" w:hanging="432"/>
        <w:spacing w:after="0"/>
        <w:tabs>
          <w:tab w:leader="none" w:pos="440"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Activities of the Collateral Manager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Nothing herein shall prevent the Collateral Manager or any of its Affiliates from engaging in other businesses, or from rendering services of any kind to the Issuer, the Collateral Trustee, the Collateral Administrator, the Placement Agent, any Holder or their respective Affiliates or any other Person or entity regardless of whether such business is in competition with the Issuer or otherwise. Without prejudice to the generality of the foregoing, partners, members, managers, shareholders, directors, officers, employees, shared personnel and agents of the Collateral Manager, Affiliates of the Collateral Manager, Related Persons of the Collateral Manager, and the Collateral Manager may:</w:t>
      </w:r>
    </w:p>
    <w:p>
      <w:pPr>
        <w:spacing w:after="0" w:line="181" w:lineRule="exact"/>
        <w:rPr>
          <w:sz w:val="20"/>
          <w:szCs w:val="20"/>
          <w:color w:val="auto"/>
        </w:rPr>
      </w:pPr>
    </w:p>
    <w:p>
      <w:pPr>
        <w:jc w:val="both"/>
        <w:ind w:firstLine="757"/>
        <w:spacing w:after="0" w:line="249" w:lineRule="auto"/>
        <w:tabs>
          <w:tab w:leader="none" w:pos="1181" w:val="left"/>
        </w:tabs>
        <w:numPr>
          <w:ilvl w:val="1"/>
          <w:numId w:val="4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serve as managers or directors (whether supervisory or managing), officers, employees, shared personnel, members, shareholders, partners, agents, nominees or signatories for the Issuer or any Affiliate thereof, or for any Obligor or issuer in respect of any of the Collateral Obligations, Equity Securities or Eligible Investments or any Affiliate thereof, to the extent permitted by their respective Organizational Instruments and Underlying Documents, as from time to time amended, or by any resolutions duly adopted by the Issuer, its Affiliates or any Obligor or issuer in respect of any of the Collateral Obligations, Eligible Investments or Equity Securities (or any Affiliate thereof) pursuant to their respective Organizational Instruments;</w:t>
      </w:r>
    </w:p>
    <w:p>
      <w:pPr>
        <w:spacing w:after="0" w:line="170"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1"/>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fees for services of whatever nature, including, without limitation, origination, closing, structuring and other fees, rendered to the Obligor or issuer in respect of any of the Collateral Obligations, Eligible Investments or Equity Securities or any Affiliate thereof;</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1"/>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retained to provide services unrelated to this Agreement to the Issuer or its Affiliates and be paid therefor, on an arm’s-length basis;</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secured or unsecured creditor of, or hold a debt obligation of or equity interest in, the Issuer or any Affiliate thereof or any Obligor or issuer of any Collateral Obligation, Eligible Investment or Equity Security or any Affiliate thereof;</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any applicable provisions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sell any Collateral Obligation or Eligible Investment to, or purchase or acquire any Collateral Obligation or Equity Security from, the Issuer while acting in the capacity of principal or agent;</w:t>
      </w:r>
    </w:p>
    <w:p>
      <w:pPr>
        <w:spacing w:after="0" w:line="173"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1"/>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underwrite, arrange, structure, originate, syndicate, act as a distributor of or make a market in any Collateral Obligation, Equity Security or Eligible Investment;</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serve as a member of any “creditors’ board,” “creditors’ committee” or similar creditor group with respect to any Collateral Obligation, Defaulted Obligation, Eligible Investment or Equity Security; or</w:t>
      </w:r>
    </w:p>
    <w:p>
      <w:pPr>
        <w:spacing w:after="0" w:line="320" w:lineRule="exact"/>
        <w:rPr>
          <w:rFonts w:ascii="Times New Roman" w:cs="Times New Roman" w:eastAsia="Times New Roman" w:hAnsi="Times New Roman"/>
          <w:sz w:val="22"/>
          <w:szCs w:val="22"/>
          <w:color w:val="auto"/>
        </w:rPr>
      </w:pPr>
    </w:p>
    <w:p>
      <w:pPr>
        <w:ind w:left="560" w:hanging="120"/>
        <w:spacing w:after="0"/>
        <w:tabs>
          <w:tab w:leader="none" w:pos="560"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5" w:name="page386"/>
    <w:bookmarkEnd w:id="385"/>
    <w:p>
      <w:pPr>
        <w:jc w:val="both"/>
        <w:ind w:right="20" w:firstLine="757"/>
        <w:spacing w:after="0" w:line="244" w:lineRule="auto"/>
        <w:tabs>
          <w:tab w:leader="none" w:pos="1181"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collateral manager, portfolio manager, investment manager and/or investment adviser or sub-adviser for Persons issuing securities backed by loans and other assets similar to the Assets, collateralized loan obligation vehicles, separately managed accounts, private funds or other pooled investment vehicles and other similar investment vehicles.</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As a result, such individuals and Persons may possess information relating to Obligors and issuers of Collateral Obligations that is (a) not known to or (b) known but restricted as to its use by the individuals at the Collateral Manager responsible for monitoring the Collateral Obligations and performing the other obligations of the Collateral Manager under this Agreement. Each of such ownership and other relationships may result in securities laws restrictions on transactions in such securities by the Issuer and otherwise conflict with the interests of the Issuer. The Issuer acknowledges and agrees that, in all such instances, the Collateral Manager and its Affiliates may in their discretion make investment recommendations and decisions that may be the same as or different from those made with respect to the Issuer’s investments and they have no duty, in making or managing such investments, to act in a way that is favorable to the Issuer.</w:t>
      </w:r>
    </w:p>
    <w:p>
      <w:pPr>
        <w:spacing w:after="0" w:line="17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Issuer acknowledges that the Collateral Manager does not expect to maintain information barriers with respect to confidential communications which restrict the Collateral Manager from purchasing securities for itself or its Clients. The officers, employees, managers or Affiliates of the Collateral Manager may possess information relating to Obligors and issuers of Collateral Obligations that is not known to the individuals at the Collateral Manager responsible for monitoring the Collateral Obligations and performing the other obligations under this Agreement. The Collateral Manager may from time to time come into possession of material non-public information that limits the ability of the Collateral Manager to effect a transaction for the Issuer, and the Issuer’s investments may be constrained as a consequence of the Collateral Manager’s inability to use such information for advisory purposes or otherwise to effect transactions that otherwise may have been initiated on behalf of itself, the Issuer or other relevant persons.</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Unless the Collateral Manager determines in its sole discretion that a Transaction complies with the provisions of Section 5, the Collateral Manager will not direct the Collateral Trustee to acquire or sell Collateral Obligations, Equity Securities or Eligible Investments issued by (i) Persons of which the Collateral Manager, any of its Affiliates or any of their officers, directors, employees or shared personnel are directors or officers, (ii) Persons of which the Collateral Manager or any of its Affiliates act as principal or (iii) Persons about which the Collateral Manager or any of its Affiliates have material non-public information which the Collateral Manager deems would prohibit it from advising as to the trading of such obligations or securities in accordance with applicable law.</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It is understood that Collateral Manager Related Persons may engage in any other business and furnish investment management and advisory services to others, including Persons which may have investment policies similar to those of the Issuer and which may own obligations or securities of the same class, or which are of the same type, as the Collateral Obligations or the Eligible Investments or other obligations or securities of the Obligors or issuers of the Collateral Obligations or the Eligible Investments. A Collateral Manager Related Person will be free, in its sole discretion, to make recommendations to others, or effect transactions on behalf of itself or for others, which may be the same as or different from those effected with respect to the Assets.</w:t>
      </w:r>
    </w:p>
    <w:p>
      <w:pPr>
        <w:spacing w:after="0" w:line="3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6" w:name="page387"/>
    <w:bookmarkEnd w:id="386"/>
    <w:p>
      <w:pPr>
        <w:jc w:val="both"/>
        <w:spacing w:after="0" w:line="242" w:lineRule="auto"/>
        <w:rPr>
          <w:sz w:val="20"/>
          <w:szCs w:val="20"/>
          <w:color w:val="auto"/>
        </w:rPr>
      </w:pPr>
      <w:r>
        <w:rPr>
          <w:rFonts w:ascii="Times New Roman" w:cs="Times New Roman" w:eastAsia="Times New Roman" w:hAnsi="Times New Roman"/>
          <w:sz w:val="21"/>
          <w:szCs w:val="21"/>
          <w:color w:val="auto"/>
        </w:rPr>
        <w:t>Nothing in the Indenture or this Agreement shall prevent a Collateral Manager Related Person, acting either as principal or agent on behalf of others, from buying or selling, or from recommending to or directing any other account to buy or sell, at any time, obligations or securities of the same kind or class, or obligations or securities of a different kind or class of the same Obligor or issuer, as those purchased or sold on behalf of the Issuer. It is understood that, to the extent permitted by applicable law, the Collateral Manager, its Owners, their Affiliates or their respective Related Persons or any member of their families or a Person or entity advised by the Collateral Manager may have an interest in a particular transaction or in obligations or securities of the same kind or class, or obligations or securities of a different kind or class of the same Obligor or issuer, as those whose purchase or sale the Collateral Manager may direct hereunder. If, in light of market conditions and investment objectives, the Collateral Manager determines that it would be advisable to purchase or acquire the same Collateral Obligation for the Issuer that one or more Collateral Manager Related Persons determine to be advisable for either the proprietary account of the Collateral Manager or any Affiliate of the Collateral Manager or other Clients of one or more Collateral Manager Related Persons, such investment opportunities will be allocated across such entities for which such opportunities are appropriate and consistent with (i) its Internal Policies and applicable law, (ii) any allocation and/or co-investment policy or agreement entered into by relevant Collateral Manager Related Persons with any Person, as modified from time to time and (iii) to the extent applicable to a Collateral Manager Related Person, the Advisers Act. The Issuer agrees that, in the course of managing the Collateral Obligations held by the Issuer, the Collateral Manager may consider its relationships with others (including Obligors, issuers and its Affiliates). The Collateral Manager may decline to make a particular investment for the Issuer in view of such relationships. It is understood that, to the extent permitted by applicable law, Collateral Manager Related Persons, their respective personnel or any member of their respective families may have an interest in a particular transaction or in an obligation of the same kind or class, or an obligation of a different kind or class of the same issuer, as those whose purchase or sale the Collateral Manager may direct hereunder. The Issuer acknowledges and agrees that no Collateral Manager Related Person is under any obligation to offer any investment opportunities of which they become aware to the Issuer or to account to the Issuer for (or share with the Issuer or inform the Issuer of) any such transaction or any benefit received from any such transaction by the Collateral Manager Related Person. A Collateral Manager Related Person may make an investment on its own behalf or on behalf of any Client without offering the investment opportunity or making any investment on behalf of the Issuer and, accordingly, investment opportunities may not be allocated among all potential participants. The Issuer acknowledges that affirmative obligations may arise in the future, whereby one or more Collateral Manager Related Persons and/or its Affiliates are obligated to offer certain investments to others before or without the Collateral Manager offering those investments to the Issuer. The Issuer agrees that the Collateral Manager may make investments on behalf of the Issuer in securities or obligations that it or a Collateral Manager Related Person has declined to invest in or enter into for its own account or the account of any other person.</w:t>
      </w:r>
    </w:p>
    <w:p>
      <w:pPr>
        <w:spacing w:after="0" w:line="200" w:lineRule="exact"/>
        <w:rPr>
          <w:sz w:val="20"/>
          <w:szCs w:val="20"/>
          <w:color w:val="auto"/>
        </w:rPr>
      </w:pPr>
    </w:p>
    <w:p>
      <w:pPr>
        <w:spacing w:after="0" w:line="24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Issuer further acknowledges and agrees that a Collateral Manager Related Person may make and/or hold investments on behalf of itself or on behalf of its respective Clients in an Obligor’s or issuer’s obligations or securities that may be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senior or junior in ranking to an investment in such Obligor’s or issuer’s obligations or securities made and/or held by the Issuer, or otherwise may have interests different from or adverse to those of the Issuer and may consider such interests in the course of managing the Collateral Obligations held by the Issuer.</w:t>
      </w:r>
    </w:p>
    <w:p>
      <w:pPr>
        <w:spacing w:after="0" w:line="3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7" w:name="page388"/>
    <w:bookmarkEnd w:id="387"/>
    <w:p>
      <w:pPr>
        <w:ind w:left="440" w:hanging="432"/>
        <w:spacing w:after="0"/>
        <w:tabs>
          <w:tab w:leader="none" w:pos="440"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Conflicts of Interest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757"/>
        <w:spacing w:after="0" w:line="243" w:lineRule="auto"/>
        <w:tabs>
          <w:tab w:leader="none" w:pos="1181" w:val="left"/>
        </w:tabs>
        <w:numPr>
          <w:ilvl w:val="2"/>
          <w:numId w:val="4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compliance with applicable laws and regulations (including the Advisers Act and the Investment Company Act) and subject to this Agreement, the Master Loan Sale Agreement, and the Indenture, the Collateral Manager may direct the Collateral Trustee and the Custodian to acquire a Collateral Obligation from, or sell a Collateral Obligation or Equity Security to, the Collateral Manager, any of its Affiliates or any Client for whom the Collateral Manager or any of its Affiliates serve as investment adviser for fair market value (or as may be otherwise expressly required in the Transaction Documents (but in no event for less than fair market value) in connection with the repurchase or substitution of a Collateral Obligation by the Transferor under the Master Loan Sale Agreement). Fair market value will be determined as follows in connection with any sale by the Issuer to the Collateral Manager, an Affiliate of the Collateral Manager or an Affiliate of the Issuer: any Collateral Obligation or Equity Security sold by the Issuer to an Affiliate shall be sold at a price equal to the value determined either (x) by reference to bids for such Collateral Obligation or Equity Security from three unaffiliated loan market participants (or, if the Collateral Manager is unable to obtain bids from three such participants, then such lesser number of unaffiliated loan market participants from which the Collateral Manager can obtain bids using efforts consistent with the Collateral Manager Standard), or</w:t>
      </w:r>
    </w:p>
    <w:p>
      <w:pPr>
        <w:spacing w:after="0" w:line="5" w:lineRule="exact"/>
        <w:rPr>
          <w:rFonts w:ascii="Times New Roman" w:cs="Times New Roman" w:eastAsia="Times New Roman" w:hAnsi="Times New Roman"/>
          <w:sz w:val="21"/>
          <w:szCs w:val="21"/>
          <w:color w:val="auto"/>
        </w:rPr>
      </w:pPr>
    </w:p>
    <w:p>
      <w:pPr>
        <w:jc w:val="both"/>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(y) if the Collateral Manager is unable to obtain any bids for such Collateral Obligation or Equity Security from an unaffiliated loan market participant, the value determined as the bid side market value of such Collateral Obligation or Equity Security as reasonably determined by the Collateral Manager (so long as the Collateral Manager is a Registered Investment Adviser) consistent with the Collateral Manager Standard, which value shall be consented to by the Issuer through the Independent Review Party when required pursuant to this Agreement and certified by the Collateral Manager to the Collateral Trustee and the Collateral Administrator. The Collateral Manager shall obtain the Issuer’s written consent through the Independent Review Party as provided herein to the extent required by the Indenture, if any such transaction requires the consent of the Issuer under Section 206(3) of the Advisers Act (an “</w:t>
      </w:r>
      <w:r>
        <w:rPr>
          <w:rFonts w:ascii="Times New Roman" w:cs="Times New Roman" w:eastAsia="Times New Roman" w:hAnsi="Times New Roman"/>
          <w:sz w:val="22"/>
          <w:szCs w:val="22"/>
          <w:u w:val="single" w:color="auto"/>
          <w:color w:val="auto"/>
        </w:rPr>
        <w:t>Affiliate Transaction</w:t>
      </w:r>
      <w:r>
        <w:rPr>
          <w:rFonts w:ascii="Times New Roman" w:cs="Times New Roman" w:eastAsia="Times New Roman" w:hAnsi="Times New Roman"/>
          <w:sz w:val="22"/>
          <w:szCs w:val="22"/>
          <w:color w:val="auto"/>
        </w:rPr>
        <w:t xml:space="preserve">”). The Issuer acknowledges that an Affiliate of the Collateral Manager will hold or beneficially own all or a portion of the outstanding Subordinated Notes and that Affiliates of the Collateral Manager, or accounts advised or sub-advised by the Collateral Manager or its Affiliates may acquire Debt. In certain circumstances, the interests of the Issuer and/or the Holders with respect to matters as to which the Collateral Manager is advising the Issuer may conflict with the interests of the Collateral Manager. The Issuer hereby acknowledges that various potential and actual conflicts of interest may exist with respect to the Collateral Manager as described herein, in any other Transaction Document or in the Final Offering Circular;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shall be construed as altering the duties of the Collateral Manager referred to in this Agreement.</w:t>
      </w:r>
    </w:p>
    <w:p>
      <w:pPr>
        <w:spacing w:after="0" w:line="184"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2"/>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shall appoint an Independent third party to act on behalf of the Issuer (such party, an “ </w:t>
      </w:r>
      <w:r>
        <w:rPr>
          <w:rFonts w:ascii="Times New Roman" w:cs="Times New Roman" w:eastAsia="Times New Roman" w:hAnsi="Times New Roman"/>
          <w:sz w:val="22"/>
          <w:szCs w:val="22"/>
          <w:u w:val="single" w:color="auto"/>
          <w:color w:val="auto"/>
        </w:rPr>
        <w:t>Independent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Review Party</w:t>
      </w:r>
      <w:r>
        <w:rPr>
          <w:rFonts w:ascii="Times New Roman" w:cs="Times New Roman" w:eastAsia="Times New Roman" w:hAnsi="Times New Roman"/>
          <w:sz w:val="22"/>
          <w:szCs w:val="22"/>
          <w:color w:val="auto"/>
        </w:rPr>
        <w:t>”) with respect to Affiliate Transactions. Decisions of any Independent Review Party shall be binding on the Collateral Manager, the Issuer and the Holders of the Debt and the beneficial owners thereof.</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2"/>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Independent Review Party (i) shall be an Independent Person selected by the Issuer (or at the request of the Issuer, selected by the Collateral Manager), (ii) shall be required to assess the potential conflicts and merits of each applicable Affiliate Transaction and either grant or withhold consent to such Affiliate Transaction in its sole judgment and (iii) shall be Independent</w:t>
      </w:r>
    </w:p>
    <w:p>
      <w:pPr>
        <w:spacing w:after="0" w:line="342" w:lineRule="exact"/>
        <w:rPr>
          <w:rFonts w:ascii="Times New Roman" w:cs="Times New Roman" w:eastAsia="Times New Roman" w:hAnsi="Times New Roman"/>
          <w:sz w:val="22"/>
          <w:szCs w:val="22"/>
          <w:color w:val="auto"/>
        </w:rPr>
      </w:pPr>
    </w:p>
    <w:p>
      <w:pPr>
        <w:ind w:left="560" w:hanging="120"/>
        <w:spacing w:after="0"/>
        <w:tabs>
          <w:tab w:leader="none" w:pos="560" w:val="left"/>
        </w:tabs>
        <w:numPr>
          <w:ilvl w:val="1"/>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8" w:name="page389"/>
    <w:bookmarkEnd w:id="388"/>
    <w:p>
      <w:pPr>
        <w:jc w:val="both"/>
        <w:spacing w:after="0" w:line="244" w:lineRule="auto"/>
        <w:rPr>
          <w:sz w:val="20"/>
          <w:szCs w:val="20"/>
          <w:color w:val="auto"/>
        </w:rPr>
      </w:pPr>
      <w:r>
        <w:rPr>
          <w:rFonts w:ascii="Times New Roman" w:cs="Times New Roman" w:eastAsia="Times New Roman" w:hAnsi="Times New Roman"/>
          <w:sz w:val="22"/>
          <w:szCs w:val="22"/>
          <w:color w:val="auto"/>
        </w:rPr>
        <w:t>with respect to the Issuer, the Collateral Manager and their respective Affiliates and not be (A) affiliated with the Issuer (other than as a Holder or beneficial owner of Debt or as a passive investor in the Issuer or an Affiliate of the Issuer) or the Collateral Manager or (B) involved in the daily management and control of the Issuer or the Collateral Manager.</w:t>
      </w:r>
    </w:p>
    <w:p>
      <w:pPr>
        <w:spacing w:after="0" w:line="173" w:lineRule="exact"/>
        <w:rPr>
          <w:sz w:val="20"/>
          <w:szCs w:val="20"/>
          <w:color w:val="auto"/>
        </w:rPr>
      </w:pPr>
    </w:p>
    <w:p>
      <w:pPr>
        <w:jc w:val="both"/>
        <w:ind w:firstLine="757"/>
        <w:spacing w:after="0" w:line="239" w:lineRule="auto"/>
        <w:tabs>
          <w:tab w:leader="none" w:pos="1181" w:val="left"/>
        </w:tabs>
        <w:numPr>
          <w:ilvl w:val="1"/>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(i) shall be responsible for any fees relating to the services provided by any Independent Review Party and shall reimburse any Independent Review Party for such Independent Review Party’s out-of-pocket expenses and (ii) may indemnify such Independent Review Party to the maximum extent permitted by law, subject to terms and conditions satisfactory to the Collateral Manager.</w:t>
      </w:r>
    </w:p>
    <w:p>
      <w:pPr>
        <w:spacing w:after="0" w:line="180"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Records; Confidentiality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1"/>
          <w:szCs w:val="21"/>
          <w:color w:val="auto"/>
        </w:rPr>
        <w:t>The Collateral Manager shall maintain or cause to be maintained appropriate books of account and records relating to its services performed hereunder, and such books of account and records shall be accessible for inspection by representatives of the Issuer, the Collateral Trustee, the Collateral Administrator, and the Independent accountants appointed by the Collateral Manager on behalf of the Issuer pursuant to Article X of the Indenture at any time during normal business hours and upon not less than five (5) Business Days’ prior notice. The Collateral Manager shall keep confidential any and all information obtained in connection with the services rendered hereunder and shall not disclose any such information to non-affiliated third parties (excluding any Holders of the Debt) except (a) with the prior written consent of the Issuer, (b) such information as the Rating Agency shall reasonably request in connection with its rating of the Secured Debt or supplying credit ratings or estimates on any obligation included in the Assets, (c) in connection with establishing trading or investment accounts or otherwise in connection with effecting Transactions on behalf of the Issuer, (d) as required by (i) applicable law, regulation, court order, legal process or a request by a governmental regulatory agency with jurisdiction over the Collateral Manager or any of its Affiliates or (ii) the rules or regulations of any self-regulating organization, body or official having jurisdiction over the Collateral Manager or any of its Affiliates, (e) to its professional advisors (including, without limitation, legal, tax and accounting advisors), (f) such information as shall have been publicly disclosed other than in known violation of this Agreement, the Collateral Administration Agreement, the Master Loan Sale Agreement, the Credit Agreements or the provisions of the Indenture or shall have been obtained by the Collateral Manager on a non-confidential basis, (g) such information as is necessary or appropriate to disclose so that the Collateral Manager may perform its duties hereunder, under the Collateral Administration Agreement, the Indenture or any other Transaction Document or (h) general performance information which may be used by the Collateral Manager or its Affiliates in connection with their marketing activities. Notwithstanding the foregoing, it is agreed that the Collateral Manager may disclose</w:t>
      </w:r>
    </w:p>
    <w:p>
      <w:pPr>
        <w:spacing w:after="0" w:line="15" w:lineRule="exact"/>
        <w:rPr>
          <w:sz w:val="20"/>
          <w:szCs w:val="20"/>
          <w:color w:val="auto"/>
        </w:rPr>
      </w:pPr>
    </w:p>
    <w:p>
      <w:pPr>
        <w:jc w:val="both"/>
        <w:ind w:firstLine="8"/>
        <w:spacing w:after="0" w:line="232" w:lineRule="auto"/>
        <w:tabs>
          <w:tab w:leader="none" w:pos="262" w:val="left"/>
        </w:tabs>
        <w:numPr>
          <w:ilvl w:val="0"/>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it is serving as collateral manager of the Issuer, (ii) the nature, aggregate principal amount and overall performance of the Issuer’s Assets, (iii) the amount of earnings on the Assets, (iv) such other information about the Issuer, the Assets and the Debt as is customarily disclosed by managers of collateralized loan obligations and (v) each of its respective employees, shared personnel, representatives or other agents may disclose to any and all Persons, without limitation of any kind, the United States federal income tax treatment and United States federal income tax structure of the transactions contemplated by the Indenture, this Agreement and the related documents and all materials of any kind (including opinions and other tax analyses) that are provided to them relating to such United States federal income tax treatment and United States</w:t>
      </w:r>
    </w:p>
    <w:p>
      <w:pPr>
        <w:spacing w:after="0" w:line="343" w:lineRule="exact"/>
        <w:rPr>
          <w:rFonts w:ascii="Times New Roman" w:cs="Times New Roman" w:eastAsia="Times New Roman" w:hAnsi="Times New Roman"/>
          <w:sz w:val="22"/>
          <w:szCs w:val="22"/>
          <w:color w:val="auto"/>
        </w:rPr>
      </w:pPr>
    </w:p>
    <w:p>
      <w:pPr>
        <w:ind w:left="560" w:hanging="120"/>
        <w:spacing w:after="0"/>
        <w:tabs>
          <w:tab w:leader="none" w:pos="560" w:val="left"/>
        </w:tabs>
        <w:numPr>
          <w:ilvl w:val="1"/>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9" w:name="page390"/>
    <w:bookmarkEnd w:id="389"/>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federal income tax structure;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United States federal income tax treatment and United States federal income tax structure shall be kept confidential to the extent reasonably necessary to comply with applicable United States federal or state laws. For purposes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the Holders of the Debt shall not be considered “non-affiliated third parties.”</w:t>
      </w:r>
    </w:p>
    <w:p>
      <w:pPr>
        <w:spacing w:after="0" w:line="171" w:lineRule="exact"/>
        <w:rPr>
          <w:sz w:val="20"/>
          <w:szCs w:val="20"/>
          <w:color w:val="auto"/>
        </w:rPr>
      </w:pPr>
    </w:p>
    <w:p>
      <w:pPr>
        <w:ind w:left="440" w:hanging="432"/>
        <w:spacing w:after="0"/>
        <w:tabs>
          <w:tab w:leader="none" w:pos="440"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of Collateral Manager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1" w:lineRule="auto"/>
        <w:rPr>
          <w:sz w:val="20"/>
          <w:szCs w:val="20"/>
          <w:color w:val="auto"/>
        </w:rPr>
      </w:pPr>
      <w:r>
        <w:rPr>
          <w:rFonts w:ascii="Times New Roman" w:cs="Times New Roman" w:eastAsia="Times New Roman" w:hAnsi="Times New Roman"/>
          <w:sz w:val="22"/>
          <w:szCs w:val="22"/>
          <w:color w:val="auto"/>
        </w:rPr>
        <w:t>In accordance with the Collateral Manager Standard, the Collateral Manager shall (x) take care to avoid knowingly taking any action that would (a) materially adversely affect the status of the Issuer for purposes of United States federal or state law, or other law applicable to the Issuer, (b) not be permitted by the Issuer’s Organizational Instruments, copies of which the Collateral Manager acknowledges the Issuer has provided to the Collateral Manager, (c) violate any law, rule or regulation of any governmental body or agency having jurisdiction over the Issuer, including, without limitation, actions which would violate any United States federal, state or other applicable securities law that is known by the Collateral Manager to be applicable to it and, in each case, the violation of which would have a Material Adverse Effect on the Issuer or have a material adverse effect on the ability of the Collateral Manager to perform its obligations hereunder, (d) require registration of the Issuer or the pool of Assets as an “investment company” under Section 8 of the Investment Company Act or (e) knowingly and willfully adversely affect the interests of the Holders of the Debt in the Assets in any material respect (other than (i) as expressly permitted hereunder, under the Collateral Administration Agreement, the Master Loan Sale Agreement, or under the Indenture or (ii) in connection with any action taken in the ordinary course of business of the Collateral Manager in accordance with its fiduciary duties to its Clients), and (y) comply in all material respects with requirements of the U.S. Risk Retention Rules applicable to it in connection with the performance of its duties under this Agreement and the Indenture, in each case, except in such instances in which (i) such requirement is being contested in good faith by appropriate proceedings diligently conducted or (ii) failure to comply therewith would not have a Material Adverse Effect on the Issuer or a material adverse effect on the ability of the Collateral Manager to perform its obligations hereunder or under the Indenture. If the Collateral Manager is directed by the Issuer or the requisite Holders of the Debt to take any action which would, or could reasonably be expected to, in each case in its reasonable business judgment, have any such consequences, the Collateral Manager shall promptly notify the Issuer and the Rating Agency that such action would, or could reasonably be expected to, in each case in its reasonable business judgment, have one or more of the consequences set forth above and shall not take such action unless the initial member of the Issuer then requests the Collateral Manager to do so and both a Majority of the Controlling Class and a Majority of the Subordinated Notes have consented thereto in writing. Notwithstanding any such request, the Collateral Manager may, in its sole discretion, choose not to take such action unless (1) arrangements satisfactory to it are made to insure or indemnify the Collateral Manager, Affiliates of the Collateral Manager and members, managers, officers, employees or shared personnel of the Collateral Manager or such Affiliates from any liability and expense it may incur as a result of such action and (2) if the Collateral Manager so requests in respect of a question of law, the Issuer delivers to the Collateral Manager an opinion of counsel (from outside counsel satisfactory to the Collateral Manager) that the action so requested does not violate any law, rule or regulation of any governmental body or agency having jurisdiction over the Issuer or over the Collateral Manager. Neither the Collateral Manager, its Affiliates, nor members, managers, officers, employees or shared personnel of the Collateral Manager or of its Affiliates shall be liable to the Issuer or any other Person, except as provided in</w:t>
      </w:r>
    </w:p>
    <w:p>
      <w:pPr>
        <w:spacing w:after="0" w:line="3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90" w:name="page391"/>
    <w:bookmarkEnd w:id="390"/>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Notwithstanding anything contained in this Agreement to the contrary, any indemnification or insurance by the Issuer provided for in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shall be payable out of the Assets in accordance with the Priority of Payments, and the Collateral Manager may take into account such Priority of Payments in determining whether any proposed indemnity arrangements contemplated by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are satisfactory.</w:t>
      </w:r>
    </w:p>
    <w:p>
      <w:pPr>
        <w:spacing w:after="0" w:line="180" w:lineRule="exact"/>
        <w:rPr>
          <w:sz w:val="20"/>
          <w:szCs w:val="20"/>
          <w:color w:val="auto"/>
        </w:rPr>
      </w:pPr>
    </w:p>
    <w:p>
      <w:pPr>
        <w:ind w:left="440" w:hanging="432"/>
        <w:spacing w:after="0"/>
        <w:tabs>
          <w:tab w:leader="none" w:pos="440"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compensation for its performance of its obligations as Collateral Manager under this Agreement and the Indenture, the Collateral Manager will be entitled to receive on each Payment Date (in accordance with the Priority of Payments) a fee (the “</w:t>
      </w:r>
      <w:r>
        <w:rPr>
          <w:rFonts w:ascii="Times New Roman" w:cs="Times New Roman" w:eastAsia="Times New Roman" w:hAnsi="Times New Roman"/>
          <w:sz w:val="22"/>
          <w:szCs w:val="22"/>
          <w:u w:val="single" w:color="auto"/>
          <w:color w:val="auto"/>
        </w:rPr>
        <w:t>Collateral Management Fee</w:t>
      </w:r>
      <w:r>
        <w:rPr>
          <w:rFonts w:ascii="Times New Roman" w:cs="Times New Roman" w:eastAsia="Times New Roman" w:hAnsi="Times New Roman"/>
          <w:sz w:val="22"/>
          <w:szCs w:val="22"/>
          <w:color w:val="auto"/>
        </w:rPr>
        <w:t>”). The Collateral Management Fee will be payable on each Payment Date to the extent of the funds available for such purpose in accordance with the Priority of Payments.</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The Collateral Management Fee is payable to the Collateral Manager in arrears, on each Payment Date in an amount equal to 0.15% per annum (calculated on the basis of the actual number of days in the applicable Interest Accrual Period divided by 360) of the Fee Basis Amount at the beginning of the Collection Period relating to such Payment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Collateral Management Fee payable on any Payment Date shall not include any such fee (or any portion thereof) that has been waived or deferred by the Collateral Manager pursuant to this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8(b)</w:t>
      </w:r>
      <w:r>
        <w:rPr>
          <w:rFonts w:ascii="Times New Roman" w:cs="Times New Roman" w:eastAsia="Times New Roman" w:hAnsi="Times New Roman"/>
          <w:sz w:val="22"/>
          <w:szCs w:val="22"/>
          <w:color w:val="auto"/>
        </w:rPr>
        <w:t xml:space="preserve"> no later than the Determination Date immediately prior to such Payment Date.</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Collateral Management Fee is payable on each Payment Date only to the extent that sufficient Interest Proceeds or Principal Proceeds are available in accordance with the Priority of Payments. To the extent all or a portion of the Collateral Management Fee is not paid on a Payment Date due to insufficient Interest Proceeds or Principal Proceeds (and such fee was not voluntarily deferred or waived by the Collateral Manager), the Collateral Management Fee due on such Payment Date (or the unpaid portion thereof, as applicable, the “</w:t>
      </w:r>
      <w:r>
        <w:rPr>
          <w:rFonts w:ascii="Times New Roman" w:cs="Times New Roman" w:eastAsia="Times New Roman" w:hAnsi="Times New Roman"/>
          <w:sz w:val="22"/>
          <w:szCs w:val="22"/>
          <w:u w:val="single" w:color="auto"/>
          <w:color w:val="auto"/>
        </w:rPr>
        <w:t>Collateral Management Fee Shortfall Amount</w:t>
      </w:r>
      <w:r>
        <w:rPr>
          <w:rFonts w:ascii="Times New Roman" w:cs="Times New Roman" w:eastAsia="Times New Roman" w:hAnsi="Times New Roman"/>
          <w:sz w:val="22"/>
          <w:szCs w:val="22"/>
          <w:color w:val="auto"/>
        </w:rPr>
        <w:t>”) will be automatically deferred for payment on the succeeding Payment Dates, with interest, in accordance with the Priority of Payments. Interest on Collateral Management Fee Shortfall Amounts shall accrue at the Benchmark for the period beginning on the first Payment Date on which the related Collateral Management Fee was due (and not paid) through the Payment Date on which such Collateral Management Fee Shortfall Amount (including accrued interest) is paid.</w:t>
      </w:r>
    </w:p>
    <w:p>
      <w:pPr>
        <w:spacing w:after="0" w:line="183" w:lineRule="exact"/>
        <w:rPr>
          <w:sz w:val="20"/>
          <w:szCs w:val="20"/>
          <w:color w:val="auto"/>
        </w:rPr>
      </w:pPr>
    </w:p>
    <w:p>
      <w:pPr>
        <w:jc w:val="both"/>
        <w:ind w:firstLine="749"/>
        <w:spacing w:after="0" w:line="248" w:lineRule="exact"/>
        <w:rPr>
          <w:sz w:val="20"/>
          <w:szCs w:val="20"/>
          <w:color w:val="auto"/>
        </w:rPr>
      </w:pPr>
      <w:r>
        <w:rPr>
          <w:rFonts w:ascii="Times New Roman" w:cs="Times New Roman" w:eastAsia="Times New Roman" w:hAnsi="Times New Roman"/>
          <w:sz w:val="22"/>
          <w:szCs w:val="22"/>
          <w:color w:val="auto"/>
        </w:rPr>
        <w:t>At the option of the Collateral Manager, by written notice to the Collateral Trustee and the Collateral Administrator, no later than the Determination Date immediately prior to such Payment Date, on each Payment Date, (i) all or a portion of the Collateral Management Fees or the Collateral Management Fee Shortfall Amount (including accrued interest) due and owing on such Payment Date may be deferred for payment on a subsequent Payment Date, without interest (the “</w:t>
      </w:r>
      <w:r>
        <w:rPr>
          <w:rFonts w:ascii="Times New Roman" w:cs="Times New Roman" w:eastAsia="Times New Roman" w:hAnsi="Times New Roman"/>
          <w:sz w:val="22"/>
          <w:szCs w:val="22"/>
          <w:u w:val="single" w:color="auto"/>
          <w:color w:val="auto"/>
        </w:rPr>
        <w:t>Current Deferred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Management Fee</w:t>
      </w:r>
      <w:r>
        <w:rPr>
          <w:rFonts w:ascii="Times New Roman" w:cs="Times New Roman" w:eastAsia="Times New Roman" w:hAnsi="Times New Roman"/>
          <w:sz w:val="22"/>
          <w:szCs w:val="22"/>
          <w:color w:val="auto"/>
        </w:rPr>
        <w:t>”) and (ii) all or a portion of the previously deferred Collateral Management Fees or Collateral Management Fee Shortfall Amounts (including accrued interest) (collectively, the “</w:t>
      </w:r>
      <w:r>
        <w:rPr>
          <w:rFonts w:ascii="Times New Roman" w:cs="Times New Roman" w:eastAsia="Times New Roman" w:hAnsi="Times New Roman"/>
          <w:sz w:val="22"/>
          <w:szCs w:val="22"/>
          <w:u w:val="single" w:color="auto"/>
          <w:color w:val="auto"/>
        </w:rPr>
        <w:t>Cumulative Deferred Management Fee</w:t>
      </w:r>
      <w:r>
        <w:rPr>
          <w:rFonts w:ascii="Times New Roman" w:cs="Times New Roman" w:eastAsia="Times New Roman" w:hAnsi="Times New Roman"/>
          <w:sz w:val="22"/>
          <w:szCs w:val="22"/>
          <w:color w:val="auto"/>
        </w:rPr>
        <w:t>”) may be declared due and payable and will be payable in accordance with the Priority of Payments. At such time as the Secured Debt is redeemed or prepaid, as applicable, in whole in connection with an Optional Redemption (other than a Refinancing), Clean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Call Redemption, or a Tax Redemption, without duplication, all accrued and unpaid Collateral Management Fees, Current Deferred Management Fees and</w:t>
      </w:r>
    </w:p>
    <w:p>
      <w:pPr>
        <w:spacing w:after="0" w:line="3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1" w:name="page392"/>
    <w:bookmarkEnd w:id="391"/>
    <w:p>
      <w:pPr>
        <w:spacing w:after="0" w:line="258" w:lineRule="auto"/>
        <w:rPr>
          <w:sz w:val="20"/>
          <w:szCs w:val="20"/>
          <w:color w:val="auto"/>
        </w:rPr>
      </w:pPr>
      <w:r>
        <w:rPr>
          <w:rFonts w:ascii="Times New Roman" w:cs="Times New Roman" w:eastAsia="Times New Roman" w:hAnsi="Times New Roman"/>
          <w:sz w:val="22"/>
          <w:szCs w:val="22"/>
          <w:color w:val="auto"/>
        </w:rPr>
        <w:t>Cumulative Deferred Management Fees, excluding any Waived Collateral Management Fee (the “</w:t>
      </w:r>
      <w:r>
        <w:rPr>
          <w:rFonts w:ascii="Times New Roman" w:cs="Times New Roman" w:eastAsia="Times New Roman" w:hAnsi="Times New Roman"/>
          <w:sz w:val="22"/>
          <w:szCs w:val="22"/>
          <w:u w:val="single" w:color="auto"/>
          <w:color w:val="auto"/>
        </w:rPr>
        <w:t>Aggregate Collateral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Management Fee</w:t>
      </w:r>
      <w:r>
        <w:rPr>
          <w:rFonts w:ascii="Times New Roman" w:cs="Times New Roman" w:eastAsia="Times New Roman" w:hAnsi="Times New Roman"/>
          <w:sz w:val="22"/>
          <w:szCs w:val="22"/>
          <w:color w:val="auto"/>
        </w:rPr>
        <w:t>”) shall be due and payable to the Collateral Manager.</w:t>
      </w:r>
    </w:p>
    <w:p>
      <w:pPr>
        <w:spacing w:after="0" w:line="158" w:lineRule="exact"/>
        <w:rPr>
          <w:sz w:val="20"/>
          <w:szCs w:val="20"/>
          <w:color w:val="auto"/>
        </w:rPr>
      </w:pPr>
    </w:p>
    <w:p>
      <w:pPr>
        <w:jc w:val="both"/>
        <w:ind w:firstLine="757"/>
        <w:spacing w:after="0" w:line="234" w:lineRule="auto"/>
        <w:tabs>
          <w:tab w:leader="none" w:pos="1181" w:val="left"/>
        </w:tabs>
        <w:numPr>
          <w:ilvl w:val="1"/>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may, in its sole discretion (but shall not be obligated to), elect to waive all or any portion of the Collateral Management Fee or the Aggregate Collateral Management Fee payable to the Collateral Manager on any Payment Date (the “</w:t>
      </w:r>
      <w:r>
        <w:rPr>
          <w:rFonts w:ascii="Times New Roman" w:cs="Times New Roman" w:eastAsia="Times New Roman" w:hAnsi="Times New Roman"/>
          <w:sz w:val="22"/>
          <w:szCs w:val="22"/>
          <w:u w:val="single" w:color="auto"/>
          <w:color w:val="auto"/>
        </w:rPr>
        <w:t>Waived Collateral Management Fee</w:t>
      </w:r>
      <w:r>
        <w:rPr>
          <w:rFonts w:ascii="Times New Roman" w:cs="Times New Roman" w:eastAsia="Times New Roman" w:hAnsi="Times New Roman"/>
          <w:sz w:val="22"/>
          <w:szCs w:val="22"/>
          <w:color w:val="auto"/>
        </w:rPr>
        <w:t>”). Any such election shall be made by the Collateral Manager delivering written notice thereof to the Collateral Trustee, the Loan Agent and the Collateral Administrator no later than the Determination Date immediately prior to such Payment Date. Any election to waive the Collateral Management Fee or Aggregate Collateral Management Fee may also be made by written standing instructions to the Collateral Trustee, the Loan Agent and the Collateral Administrator. As of the date hereof, Parent has informed the Issuer, the Collateral Trustee and the Collateral Administrator that it hereby irrevocably waives all of the Collateral Management Fee otherwise payable to it so long as it acts as collateral manager hereunder.</w:t>
      </w:r>
    </w:p>
    <w:p>
      <w:pPr>
        <w:spacing w:after="0" w:line="183" w:lineRule="exact"/>
        <w:rPr>
          <w:rFonts w:ascii="Times New Roman" w:cs="Times New Roman" w:eastAsia="Times New Roman" w:hAnsi="Times New Roman"/>
          <w:sz w:val="22"/>
          <w:szCs w:val="22"/>
          <w:color w:val="auto"/>
        </w:rPr>
      </w:pPr>
    </w:p>
    <w:p>
      <w:pPr>
        <w:jc w:val="both"/>
        <w:ind w:right="20" w:firstLine="757"/>
        <w:spacing w:after="0" w:line="239" w:lineRule="auto"/>
        <w:tabs>
          <w:tab w:leader="none" w:pos="1181" w:val="left"/>
        </w:tabs>
        <w:numPr>
          <w:ilvl w:val="1"/>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set forth herein and in the Indenture, the Collateral Manager will continue to serve as collateral manager under this Agreement notwithstanding that the Collateral Manager will not have received amounts due to it under this Agreement because sufficient funds were not then available hereunder to pay such amounts in accordance with the Priority of Payments.</w:t>
      </w:r>
    </w:p>
    <w:p>
      <w:pPr>
        <w:spacing w:after="0" w:line="180" w:lineRule="exact"/>
        <w:rPr>
          <w:rFonts w:ascii="Times New Roman" w:cs="Times New Roman" w:eastAsia="Times New Roman" w:hAnsi="Times New Roman"/>
          <w:sz w:val="22"/>
          <w:szCs w:val="22"/>
          <w:color w:val="auto"/>
        </w:rPr>
      </w:pPr>
    </w:p>
    <w:p>
      <w:pPr>
        <w:jc w:val="both"/>
        <w:ind w:firstLine="757"/>
        <w:spacing w:after="0" w:line="245" w:lineRule="auto"/>
        <w:tabs>
          <w:tab w:leader="none" w:pos="1181" w:val="left"/>
        </w:tabs>
        <w:numPr>
          <w:ilvl w:val="1"/>
          <w:numId w:val="4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this Agreement is terminated for any reason, or the Collateral Manager resigns or is removed, (i) Collateral Management Fees calculated as provided in </w:t>
      </w:r>
      <w:r>
        <w:rPr>
          <w:rFonts w:ascii="Times New Roman" w:cs="Times New Roman" w:eastAsia="Times New Roman" w:hAnsi="Times New Roman"/>
          <w:sz w:val="21"/>
          <w:szCs w:val="21"/>
          <w:u w:val="single" w:color="auto"/>
          <w:color w:val="auto"/>
        </w:rPr>
        <w:t>Section 8(a)</w:t>
      </w:r>
      <w:r>
        <w:rPr>
          <w:rFonts w:ascii="Times New Roman" w:cs="Times New Roman" w:eastAsia="Times New Roman" w:hAnsi="Times New Roman"/>
          <w:sz w:val="21"/>
          <w:szCs w:val="21"/>
          <w:color w:val="auto"/>
        </w:rPr>
        <w:t xml:space="preserve"> shall be prorated for any partial period elapsing from the last Payment Date on which such Collateral Manager received the Collateral Management Fee to the effective date of such termination, resignation or removal and (ii) any unpaid Cumulative Deferred Management Fees shall be determined as of the effective date of such termination, resignation or removal and, in each case, shall be due and payable on each Payment Date following the effective date of such termination, resignation or removal in accordance with the Priority of Payments until paid in full. Otherwise, such Collateral Manager shall not be entitled to any further compensation for further services but shall be entitled to receive any expense reimbursement accrued to the effective date of termination, resignation or removal and any indemnity amounts owing (or that may become owing) under this Agreement. Any Aggregate Collateral Management Fee, expense reimbursement and indemnities owed to such Collateral Manager or owed to any successor Collateral Manager on any Payment Date shall be paid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based on the amount thereof then owing to each such Person, subject to the Priority of Payments.</w:t>
      </w:r>
    </w:p>
    <w:p>
      <w:pPr>
        <w:spacing w:after="0" w:line="177" w:lineRule="exact"/>
        <w:rPr>
          <w:rFonts w:ascii="Times New Roman" w:cs="Times New Roman" w:eastAsia="Times New Roman" w:hAnsi="Times New Roman"/>
          <w:sz w:val="21"/>
          <w:szCs w:val="21"/>
          <w:color w:val="auto"/>
        </w:rPr>
      </w:pPr>
    </w:p>
    <w:p>
      <w:pPr>
        <w:ind w:left="440" w:hanging="432"/>
        <w:spacing w:after="0"/>
        <w:tabs>
          <w:tab w:leader="none" w:pos="440"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 of the Agreement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Collateral Manager agrees and consents to the provisions contained in Section 15.1(f) of the Indenture. In addition, the Collateral Manager acknowledges the pledge of this Agreement under the granting clause of the Indenture.</w:t>
      </w:r>
    </w:p>
    <w:p>
      <w:pPr>
        <w:spacing w:after="0" w:line="158" w:lineRule="exact"/>
        <w:rPr>
          <w:sz w:val="20"/>
          <w:szCs w:val="20"/>
          <w:color w:val="auto"/>
        </w:rPr>
      </w:pPr>
    </w:p>
    <w:p>
      <w:pPr>
        <w:ind w:left="440" w:hanging="432"/>
        <w:spacing w:after="0"/>
        <w:tabs>
          <w:tab w:leader="none" w:pos="440"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Limits of Collateral Manager Responsibility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2"/>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assumes no responsibility under this Agreement other than to render the services expressly required to be performed by it hereunder and under the other</w:t>
      </w:r>
    </w:p>
    <w:p>
      <w:pPr>
        <w:spacing w:after="0" w:line="320" w:lineRule="exact"/>
        <w:rPr>
          <w:rFonts w:ascii="Times New Roman" w:cs="Times New Roman" w:eastAsia="Times New Roman" w:hAnsi="Times New Roman"/>
          <w:sz w:val="22"/>
          <w:szCs w:val="22"/>
          <w:color w:val="auto"/>
        </w:rPr>
      </w:pPr>
    </w:p>
    <w:p>
      <w:pPr>
        <w:ind w:left="560" w:hanging="120"/>
        <w:spacing w:after="0"/>
        <w:tabs>
          <w:tab w:leader="none" w:pos="560" w:val="left"/>
        </w:tabs>
        <w:numPr>
          <w:ilvl w:val="1"/>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2" w:name="page393"/>
    <w:bookmarkEnd w:id="392"/>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Transaction Documents in accordance with the Collateral Manager Standard. None of the Collateral Manager’s Affiliates, Owners or their respective Related Persons nor any Independent Review Party assumes any responsibility under this Agreement. The Collateral Manager shall not be responsible for any action or inaction of the Issuer or the Collateral Trustee in following or declining to follow any advice, recommendation or direction of the Collateral Manager including as set forth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The Indemnified Parties (as defined below) shall not be liable to the Issuer, the Collateral Trustee, the Loan Agent, any Holder of Debt, the Placement Agent, any of their respective Affiliates, Owners or Related Persons or any other Persons for any act, omission, error of judgment, mistake of law, or for any claim, loss, liability, damage, judgment, assessment, settlement, cost, or other expense (including attorneys’ fees and expenses and court costs) arising out of any investment, or for any other act or omission in the performance of the Collateral Manager’s obligations under or in connection with this Agreement or the terms of any other Transaction Document applicable to the Collateral Manager, incurred as a result of actions taken or recommended or for any omissions of the Collateral Manager, or for any decrease in the value of the Assets, except the Collateral Manager shall be liable (i) by reason of acts or omissions constituting bad faith, willful misconduct or gross negligence in the performance of its duties hereunder and under the terms of the Indenture or (ii) with respect to the Collateral Manager Offering Circular Information, as of the date made, containing any untrue statement of a material fact or omitting to state a material fact necessary to make the statements therein, in light of the circumstances under which they were made, not misleading (the preceding clauses</w:t>
      </w:r>
    </w:p>
    <w:p>
      <w:pPr>
        <w:spacing w:after="0" w:line="2" w:lineRule="exact"/>
        <w:rPr>
          <w:sz w:val="20"/>
          <w:szCs w:val="20"/>
          <w:color w:val="auto"/>
        </w:rPr>
      </w:pPr>
    </w:p>
    <w:p>
      <w:pPr>
        <w:jc w:val="both"/>
        <w:ind w:firstLine="8"/>
        <w:spacing w:after="0" w:line="233" w:lineRule="auto"/>
        <w:tabs>
          <w:tab w:leader="none" w:pos="274"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and (ii) collectively referred to for purposes of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as “</w:t>
      </w:r>
      <w:r>
        <w:rPr>
          <w:rFonts w:ascii="Times New Roman" w:cs="Times New Roman" w:eastAsia="Times New Roman" w:hAnsi="Times New Roman"/>
          <w:sz w:val="22"/>
          <w:szCs w:val="22"/>
          <w:u w:val="single" w:color="auto"/>
          <w:color w:val="auto"/>
        </w:rPr>
        <w:t>Collateral Manager Breaches</w:t>
      </w:r>
      <w:r>
        <w:rPr>
          <w:rFonts w:ascii="Times New Roman" w:cs="Times New Roman" w:eastAsia="Times New Roman" w:hAnsi="Times New Roman"/>
          <w:sz w:val="22"/>
          <w:szCs w:val="22"/>
          <w:color w:val="auto"/>
        </w:rPr>
        <w:t>”). The Collateral Manager shall not be liable for any indirect, incidental, consequential, punitive, exemplary or treble damages or lost profits hereunder or under the Indenture regardless of whether such losses or damages are foreseeable and regardless of the form of action. Nothing contained herein shall be deemed to waive any liability which cannot be waived under applicable state or federal law or any rules or regulations adopted thereunder.</w:t>
      </w:r>
    </w:p>
    <w:p>
      <w:pPr>
        <w:spacing w:after="0" w:line="179"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2"/>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indemnify and hold harmless the Collateral Manager, its Affiliates and Owners and their respective Related Persons and each Independent Review Party (each, an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from and against any and all losses, claims, damages, judgments, assessments, costs or other liabilities (collectively,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and will promptly reimburse each such Indemnified Party for all reasonable fees and expenses incurred by an Indemnified Party with respect thereto (including reasonable fees and expenses of counsel) (collectively,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arising out of or in connection with the issuance or incurrence, as applicable, of the Debt (including, without limitation, any untrue statement of material fact contained in the Offering Circular or any offering circular which supersedes or supplements the Offering Circular, or omission or alleged omission to state therein a material fact necessary in order to make the statements therein, in the light of the circumstances under which they were made, not misleading, other than Collateral Manager Offering Circular Information), the transactions contemplated by the Offering Circular or any offering circular which supersedes or supplements the Offering Circular, the Indenture or this Agreement and any acts or omissions of any such Indemnified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Indemnified Party shall not be indemnified for any Losses or Expenses incurred as a result of any Collateral Manager Breach.</w:t>
      </w:r>
    </w:p>
    <w:p>
      <w:pPr>
        <w:spacing w:after="0" w:line="184"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2"/>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contained herein to the contrary, the obligations of the Issuer under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to indemnify any Indemnified Party for any Losses or Expenses are non-recourse obligations of the Issuer payable solely out of the Assets in accordance with the</w:t>
      </w:r>
    </w:p>
    <w:p>
      <w:pPr>
        <w:spacing w:after="0" w:line="335" w:lineRule="exact"/>
        <w:rPr>
          <w:rFonts w:ascii="Times New Roman" w:cs="Times New Roman" w:eastAsia="Times New Roman" w:hAnsi="Times New Roman"/>
          <w:sz w:val="22"/>
          <w:szCs w:val="22"/>
          <w:color w:val="auto"/>
        </w:rPr>
      </w:pPr>
    </w:p>
    <w:p>
      <w:pPr>
        <w:ind w:left="560" w:hanging="120"/>
        <w:spacing w:after="0"/>
        <w:tabs>
          <w:tab w:leader="none" w:pos="560" w:val="left"/>
        </w:tabs>
        <w:numPr>
          <w:ilvl w:val="1"/>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22"/>
          <w:szCs w:val="22"/>
          <w:color w:val="auto"/>
        </w:rPr>
        <w:t xml:space="preserve">Priority of Payments set forth in the Indenture, and shall be subject to the terms of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757"/>
        <w:spacing w:after="0" w:line="236" w:lineRule="auto"/>
        <w:tabs>
          <w:tab w:leader="none" w:pos="1181" w:val="left"/>
        </w:tabs>
        <w:numPr>
          <w:ilvl w:val="1"/>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the provisions of this Agreement shall not be construed so as to provide for the exculpation of the Collateral Manager or the indemnification of the Issuer or the Collateral Manager for any liability (including liability under United States federal securities laws), to the extent (but only to the extent) that such liability may not be waived, modified or limited under applicable law or such indemnification may not be demanded under applicable law, but shall otherwise be construed so as to effectuate the provisions of this Agreement to the fullest extent permitted by applicable law.</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providing services under this Agreement, the Collateral Manager may rely in good faith upon and will be fully protected and incur no liability for relying upon advice of nationally recognized counsel, accountants or other advisers as the Collateral Manager determines, in its sole discretion, is reasonably appropriate in connection with the services provided by the Collateral Manager under this Agreement.</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1"/>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Indemnified Party shall, without the prior written consent of the Indemnifying Party, which consent shall not be unreasonably withheld or delayed, settle or compromise any claim giving rise to a claim for indemnity hereunder, or permit a default or consent to the entry of any judgment in respect thereof, unless such settlement, compromise or consent includes, as an unconditional term thereof, the giving by the claimant to the Indemnifying Party of a release from liability substantially equivalent to the release given by the claimant to such Indemnified Party in respect of such claim.</w:t>
      </w:r>
    </w:p>
    <w:p>
      <w:pPr>
        <w:spacing w:after="0" w:line="176"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1"/>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Applicable Law and notwithstanding anything to the contrary contained herein or in any other agreement contemplated herein, whenever in this Agreement or the Indenture the Collateral Manager is permitted or required to make a decision in its “sole discretion” or “discretion” or under a grant of similar authority or latitude, the Collateral Manager shall be entitled to consider only such interests and factors as it desires, including its own interests or the interests of any of its Affiliates, and shall have no duty or obligation to give any consideration to any interest of or factors affecting the Issuer or any other Person. The intent of granting authority to act in its “discretion” to the Collateral Manager is that no other express consent of another party is required to be obtained by the Collateral Manager when acting pursuant to such grant of authority under this Agreement or the Indenture. If any questions should arise with respect to the operation of the Issuer that are not specifically provided for in this Agreement or the Indenture, or with respect to the interpretation of this Agreement or the Indenture, the Collateral Manager is hereby authorized to make a final determination in its sole discretion with respect to any such question, and its determination and interpretation so made shall be final and binding on all parties.</w:t>
      </w:r>
    </w:p>
    <w:p>
      <w:pPr>
        <w:spacing w:after="0" w:line="187"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does not warrant, nor accept responsibility, nor will the Collateral Manager have any liability with respect to the administration, submission or any other matter related to the rates in the definition of “Term SOFR Rate,” “Fallback Rate” or with respect to any rate that is an alternative, replacement, rate that is an alternative or replacement for or successor to any of such rate or the effect of any of the foregoing.</w:t>
      </w:r>
    </w:p>
    <w:p>
      <w:pPr>
        <w:spacing w:after="0" w:line="342" w:lineRule="exact"/>
        <w:rPr>
          <w:rFonts w:ascii="Times New Roman" w:cs="Times New Roman" w:eastAsia="Times New Roman" w:hAnsi="Times New Roman"/>
          <w:sz w:val="22"/>
          <w:szCs w:val="22"/>
          <w:color w:val="auto"/>
        </w:rPr>
      </w:pPr>
    </w:p>
    <w:p>
      <w:pPr>
        <w:ind w:left="560" w:hanging="120"/>
        <w:spacing w:after="0"/>
        <w:tabs>
          <w:tab w:leader="none" w:pos="560"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4" w:name="page395"/>
    <w:bookmarkEnd w:id="394"/>
    <w:p>
      <w:pPr>
        <w:jc w:val="both"/>
        <w:ind w:firstLine="757"/>
        <w:spacing w:after="0" w:line="238" w:lineRule="auto"/>
        <w:tabs>
          <w:tab w:leader="none" w:pos="1181" w:val="left"/>
        </w:tabs>
        <w:numPr>
          <w:ilvl w:val="1"/>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shall not be responsible or liable for any failure or delay in the performance of its duties and obligations under this Agreement and/or the Indenture arising out of or caused by, directly or indirectly, forces beyond its control, including, without limitation, strikes, pandemics, epidemics, work stoppages, accidents, acts of war or terrorism, civil or military disturbances, nuclear or natural catastrophes or acts of God, and interruptions, loss or malfunctions of utilities, communications or computer (software and hardware) services.</w:t>
      </w:r>
    </w:p>
    <w:p>
      <w:pPr>
        <w:spacing w:after="0" w:line="17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Partnership or Joint Venture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Issuer and the Collateral Manager are not partners or joint venturers with each other and nothing herein shall be construed to make them such partners or joint venturers or impose any liability as such on either of them. The Collateral Manager shall be deemed, for all purposes herein, an independent contractor and shall, except as otherwise expressly provided herein or in the Indenture or authorized by the Issuer from time to time, have no authority to act for or represent the Issuer in any way or otherwise be deemed an agent of the Issuer. It is acknowledged that neither the Collateral Manager nor any of its Affiliates has provided or shall provide any tax, accounting or legal advice or assistance to the Issuer or any other Person in connection with the transactions contemplated hereby.</w:t>
      </w:r>
    </w:p>
    <w:p>
      <w:pPr>
        <w:spacing w:after="0" w:line="183" w:lineRule="exact"/>
        <w:rPr>
          <w:sz w:val="20"/>
          <w:szCs w:val="20"/>
          <w:color w:val="auto"/>
        </w:rPr>
      </w:pPr>
    </w:p>
    <w:p>
      <w:pPr>
        <w:ind w:left="440" w:hanging="432"/>
        <w:spacing w:after="0"/>
        <w:tabs>
          <w:tab w:leader="none" w:pos="440"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Termination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2"/>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commence as of the date first set forth above and shall continue in force until the first of the following occurs: (i) the final liquidation of the Assets and the final distribution of the proceeds, if any, of such liquidation to the Holders of the Debt, (ii) the payment in full of the Secured Debt and the satisfaction and discharge of the Indenture and the Credit Agreements in accordance with their terms or (iii) the early termination of this Agreement with respect to the Collateral Manager in accordance with </w:t>
      </w:r>
      <w:r>
        <w:rPr>
          <w:rFonts w:ascii="Times New Roman" w:cs="Times New Roman" w:eastAsia="Times New Roman" w:hAnsi="Times New Roman"/>
          <w:sz w:val="22"/>
          <w:szCs w:val="22"/>
          <w:u w:val="single" w:color="auto"/>
          <w:color w:val="auto"/>
        </w:rPr>
        <w:t>Section 12(c)</w:t>
      </w:r>
      <w:r>
        <w:rPr>
          <w:rFonts w:ascii="Times New Roman" w:cs="Times New Roman" w:eastAsia="Times New Roman" w:hAnsi="Times New Roman"/>
          <w:sz w:val="22"/>
          <w:szCs w:val="22"/>
          <w:color w:val="auto"/>
        </w:rPr>
        <w:t xml:space="preserve">, in connection with the resignation of such Collateral Manager pursuant to </w:t>
      </w:r>
      <w:r>
        <w:rPr>
          <w:rFonts w:ascii="Times New Roman" w:cs="Times New Roman" w:eastAsia="Times New Roman" w:hAnsi="Times New Roman"/>
          <w:sz w:val="22"/>
          <w:szCs w:val="22"/>
          <w:u w:val="single" w:color="auto"/>
          <w:color w:val="auto"/>
        </w:rPr>
        <w:t>Section 12(b)</w:t>
      </w:r>
      <w:r>
        <w:rPr>
          <w:rFonts w:ascii="Times New Roman" w:cs="Times New Roman" w:eastAsia="Times New Roman" w:hAnsi="Times New Roman"/>
          <w:sz w:val="22"/>
          <w:szCs w:val="22"/>
          <w:color w:val="auto"/>
        </w:rPr>
        <w:t xml:space="preserve"> or in connection with the removal of such Collateral Manager pursuant to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2"/>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only to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below, the Collateral Manager may resign upon ninety (90) days’ prior written notice to the Issuer (or such shorter notice as is acceptable to the Issuer), the Holders and the Collateral Trustee;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Collateral Manager shall have the right to resign immediately upon the effectiveness of any material change in applicable law or regulations which renders the performance by the Collateral Manager of its duties hereunder or under the Indenture to be a violation of such law or regulation.</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2"/>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provisions of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no resignation or removal of the Collateral Manager or termination of this Agreement with respect to such Collateral Manager in connection with such resignation or removal shall be effective until the date as of which a successor Collateral Manager shall have been appointed in accordance with </w:t>
      </w:r>
      <w:r>
        <w:rPr>
          <w:rFonts w:ascii="Times New Roman" w:cs="Times New Roman" w:eastAsia="Times New Roman" w:hAnsi="Times New Roman"/>
          <w:sz w:val="22"/>
          <w:szCs w:val="22"/>
          <w:u w:val="single" w:color="auto"/>
          <w:color w:val="auto"/>
        </w:rPr>
        <w:t>Section 12(d)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12(e)</w:t>
      </w:r>
      <w:r>
        <w:rPr>
          <w:rFonts w:ascii="Times New Roman" w:cs="Times New Roman" w:eastAsia="Times New Roman" w:hAnsi="Times New Roman"/>
          <w:sz w:val="22"/>
          <w:szCs w:val="22"/>
          <w:color w:val="auto"/>
        </w:rPr>
        <w:t xml:space="preserve"> and has accepted all of the Collateral Manager’s duties and obligations pursuant to this Agreement in writing (an “</w:t>
      </w:r>
      <w:r>
        <w:rPr>
          <w:rFonts w:ascii="Times New Roman" w:cs="Times New Roman" w:eastAsia="Times New Roman" w:hAnsi="Times New Roman"/>
          <w:sz w:val="22"/>
          <w:szCs w:val="22"/>
          <w:u w:val="single" w:color="auto"/>
          <w:color w:val="auto"/>
        </w:rPr>
        <w:t>Instrument of Acceptance</w:t>
      </w:r>
      <w:r>
        <w:rPr>
          <w:rFonts w:ascii="Times New Roman" w:cs="Times New Roman" w:eastAsia="Times New Roman" w:hAnsi="Times New Roman"/>
          <w:sz w:val="22"/>
          <w:szCs w:val="22"/>
          <w:color w:val="auto"/>
        </w:rPr>
        <w:t>”) and has assumed such duties and obligations.</w:t>
      </w:r>
    </w:p>
    <w:p>
      <w:pPr>
        <w:spacing w:after="0" w:line="176"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2"/>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notice of any removal under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or any resignation of the Collateral Manager that is to take place while any Debt is Outstanding, the Issuer shall transmit</w:t>
      </w:r>
    </w:p>
    <w:p>
      <w:pPr>
        <w:spacing w:after="0" w:line="320" w:lineRule="exact"/>
        <w:rPr>
          <w:rFonts w:ascii="Times New Roman" w:cs="Times New Roman" w:eastAsia="Times New Roman" w:hAnsi="Times New Roman"/>
          <w:sz w:val="22"/>
          <w:szCs w:val="22"/>
          <w:color w:val="auto"/>
        </w:rPr>
      </w:pPr>
    </w:p>
    <w:p>
      <w:pPr>
        <w:ind w:left="560" w:hanging="120"/>
        <w:spacing w:after="0"/>
        <w:tabs>
          <w:tab w:leader="none" w:pos="560" w:val="left"/>
        </w:tabs>
        <w:numPr>
          <w:ilvl w:val="1"/>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5" w:name="page396"/>
    <w:bookmarkEnd w:id="395"/>
    <w:p>
      <w:pPr>
        <w:spacing w:after="0" w:line="253" w:lineRule="auto"/>
        <w:rPr>
          <w:sz w:val="20"/>
          <w:szCs w:val="20"/>
          <w:color w:val="auto"/>
        </w:rPr>
      </w:pPr>
      <w:r>
        <w:rPr>
          <w:rFonts w:ascii="Times New Roman" w:cs="Times New Roman" w:eastAsia="Times New Roman" w:hAnsi="Times New Roman"/>
          <w:sz w:val="21"/>
          <w:szCs w:val="21"/>
          <w:color w:val="auto"/>
        </w:rPr>
        <w:t>copies of such notice to the Collateral Trustee (who shall forward a copy of such notice to the Holders) and the Rating Agency and shall appoint an institution as Collateral Manager, at the direction of a Majority of the Subordinated Notes, which institution</w:t>
      </w:r>
    </w:p>
    <w:p>
      <w:pPr>
        <w:spacing w:after="0" w:line="1" w:lineRule="exact"/>
        <w:rPr>
          <w:sz w:val="20"/>
          <w:szCs w:val="20"/>
          <w:color w:val="auto"/>
        </w:rPr>
      </w:pPr>
    </w:p>
    <w:p>
      <w:pPr>
        <w:jc w:val="both"/>
        <w:ind w:firstLine="8"/>
        <w:spacing w:after="0" w:line="232" w:lineRule="auto"/>
        <w:tabs>
          <w:tab w:leader="none" w:pos="282"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demonstrated an ability to professionally and competently perform duties similar to those imposed upon the Collateral Manager hereunder, (ii) is legally qualified and has the capacity to assume all of the responsibilities, duties and obligations of the Collateral Manager hereunder and under the applicable terms of the Indenture, (iii) does not cause or result in the Issuer becoming, or require the pool of Assets to be registered as, an investment company under the Investment Company Act, (iv) with respect to which the Global Rating Agency Condition has been satisfied and (v) has been approved by a Majority of the Controlling Class (disregarding any Collateral Manager Notes).</w:t>
      </w:r>
    </w:p>
    <w:p>
      <w:pPr>
        <w:spacing w:after="0" w:line="182"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2"/>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(i) a Majority of the Subordinated Notes fails to nominate a successor within thirty (30) days of initial notice of the resignation or removal of the Collateral Manager or (ii) a Majority of the Controlling Class (disregarding any Collateral Manager Notes) does not approve the proposed successor nominated by the Holders of the Subordinated Notes within twenty (20) days of the date of the notice of such nomination, then a Majority of the Controlling Class (disregarding any Collateral Manager Notes) shall, within sixty (60) days of the failure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this sentence, as the case may be, nominate a successor Collateral Manager that meets the criteria set forth in </w:t>
      </w:r>
      <w:r>
        <w:rPr>
          <w:rFonts w:ascii="Times New Roman" w:cs="Times New Roman" w:eastAsia="Times New Roman" w:hAnsi="Times New Roman"/>
          <w:sz w:val="22"/>
          <w:szCs w:val="22"/>
          <w:u w:val="single" w:color="auto"/>
          <w:color w:val="auto"/>
        </w:rPr>
        <w:t>Section 12(d)</w:t>
      </w:r>
      <w:r>
        <w:rPr>
          <w:rFonts w:ascii="Times New Roman" w:cs="Times New Roman" w:eastAsia="Times New Roman" w:hAnsi="Times New Roman"/>
          <w:sz w:val="22"/>
          <w:szCs w:val="22"/>
          <w:color w:val="auto"/>
        </w:rPr>
        <w:t>. If a Majority of the Subordinated Notes approves such Controlling Class nominee, such nominee shall become the Collateral Manager. If no successor Collateral Manager is appointed within ninety (90) days (or, in the event of a change in applicable law or regulation which renders the performance by the Collateral Manager of its duties under this Agreement or the Indenture to be a violation of such law or regulation, within thirty (30) days) following the termination or resignation of the Collateral Manager, any of the Collateral Manager, a Majority of the Subordinated Notes and a Majority of the Controlling Class (disregarding any Collateral Manager Notes) shall have the right to petition a court of competent jurisdiction to appoint a successor Collateral Manager, in any such case whose appointment shall become effective after such successor has accepted its appointment and without the consent of any Holder of any Debt.</w:t>
      </w:r>
    </w:p>
    <w:p>
      <w:pPr>
        <w:spacing w:after="0" w:line="179"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2"/>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successor Collateral Manager shall be entitled to the Collateral Management Fee set forth in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xml:space="preserve"> (except such portion of the Collateral Management Fee due and payable to the former Collateral Manager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8(d)</w:t>
      </w:r>
      <w:r>
        <w:rPr>
          <w:rFonts w:ascii="Times New Roman" w:cs="Times New Roman" w:eastAsia="Times New Roman" w:hAnsi="Times New Roman"/>
          <w:sz w:val="22"/>
          <w:szCs w:val="22"/>
          <w:color w:val="auto"/>
        </w:rPr>
        <w:t xml:space="preserve">) and no compensation payable to such successor Collateral Manager shall be greater than as set forth in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xml:space="preserve"> without the prior written consent of 100% of the Holders of each Class of Secured Debt (in each case including Collateral Manager Notes) and of 100% of the holders of the Subordinated Notes. Upon the later of the expiration of the applicable notice periods with respect to termination specified in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or in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and the acceptance of its appointment hereunder by the successor Collateral Manager, all authority and power of the Collateral Manager hereunder, whether with respect to the Assets or otherwise, shall automatically and without action by any Person or entity pass to and be vested in the successor Collateral Manager. The Issuer, the Collateral Trustee (acting at the direction of the Issuer) and the successor Collateral Manager shall take such action (or the Issuer shall cause the outgoing Collateral Manager to take such action) consistent with this Agreement and as shall be necessary to effect any such succession.</w:t>
      </w:r>
    </w:p>
    <w:p>
      <w:pPr>
        <w:spacing w:after="0" w:line="187"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2"/>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vote under this Agreement, in determining whether the Holders of the requisite Aggregate Outstanding Amount have given any request, demand,</w:t>
      </w:r>
    </w:p>
    <w:p>
      <w:pPr>
        <w:spacing w:after="0" w:line="320" w:lineRule="exact"/>
        <w:rPr>
          <w:rFonts w:ascii="Times New Roman" w:cs="Times New Roman" w:eastAsia="Times New Roman" w:hAnsi="Times New Roman"/>
          <w:sz w:val="22"/>
          <w:szCs w:val="22"/>
          <w:color w:val="auto"/>
        </w:rPr>
      </w:pPr>
    </w:p>
    <w:p>
      <w:pPr>
        <w:ind w:left="560" w:hanging="120"/>
        <w:spacing w:after="0"/>
        <w:tabs>
          <w:tab w:leader="none" w:pos="560" w:val="left"/>
        </w:tabs>
        <w:numPr>
          <w:ilvl w:val="1"/>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6" w:name="page397"/>
    <w:bookmarkEnd w:id="396"/>
    <w:p>
      <w:pPr>
        <w:jc w:val="both"/>
        <w:spacing w:after="0" w:line="238" w:lineRule="auto"/>
        <w:rPr>
          <w:sz w:val="20"/>
          <w:szCs w:val="20"/>
          <w:color w:val="auto"/>
        </w:rPr>
      </w:pPr>
      <w:r>
        <w:rPr>
          <w:rFonts w:ascii="Times New Roman" w:cs="Times New Roman" w:eastAsia="Times New Roman" w:hAnsi="Times New Roman"/>
          <w:sz w:val="22"/>
          <w:szCs w:val="22"/>
          <w:color w:val="auto"/>
        </w:rPr>
        <w:t>authorization, direction, notice, consent or waiver or made any proposal, if Collateral Manager Notes are disregarded and deemed not to be outstanding in connection with such vote and a Class of Secured Debt entitled to vote is comprised entirely of Collateral Manager Notes, then the most senior Class of Secured Debt that is not comprised entirely of Collateral Manager Notes shall be entitled to exercise the specified voting rights, disregarding any Collateral Manager Notes, in lieu of such other Class of Secured Debt.</w:t>
      </w:r>
    </w:p>
    <w:p>
      <w:pPr>
        <w:spacing w:after="0" w:line="177" w:lineRule="exact"/>
        <w:rPr>
          <w:sz w:val="20"/>
          <w:szCs w:val="20"/>
          <w:color w:val="auto"/>
        </w:rPr>
      </w:pPr>
    </w:p>
    <w:p>
      <w:pPr>
        <w:ind w:right="20" w:firstLine="757"/>
        <w:spacing w:after="0" w:line="258" w:lineRule="auto"/>
        <w:tabs>
          <w:tab w:leader="none" w:pos="1181" w:val="left"/>
        </w:tabs>
        <w:numPr>
          <w:ilvl w:val="2"/>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is terminated pursuant to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such termination shall be without any further liability or obligation of either party to the other, except as provided in clause (i) of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2"/>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Sections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xml:space="preserve"> shall survive any termination of this Agreement pursuant to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Delegation; Assignments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2"/>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this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the Collateral Manager may not assign or delegate (except as provided in </w:t>
      </w:r>
      <w:r>
        <w:rPr>
          <w:rFonts w:ascii="Times New Roman" w:cs="Times New Roman" w:eastAsia="Times New Roman" w:hAnsi="Times New Roman"/>
          <w:sz w:val="22"/>
          <w:szCs w:val="22"/>
          <w:u w:val="single" w:color="auto"/>
          <w:color w:val="auto"/>
        </w:rPr>
        <w:t>Section 2(e)</w:t>
      </w:r>
      <w:r>
        <w:rPr>
          <w:rFonts w:ascii="Times New Roman" w:cs="Times New Roman" w:eastAsia="Times New Roman" w:hAnsi="Times New Roman"/>
          <w:sz w:val="22"/>
          <w:szCs w:val="22"/>
          <w:color w:val="auto"/>
        </w:rPr>
        <w:t xml:space="preserve">) its rights or responsibilities under this Agreement without (i) satisfaction of the Global Rating Agency Condition with respect thereto and (ii) obtaining the consent of the Issuer and the consent of a Majority of the Controlling Class and a Majority of the Subordinated Notes (voting separately). The Collateral Manager shall not be required to obtain such consents or satisfy such condition with respect to a change of control transaction that is deemed to be an assignment within the meaning of Section 202(a)(1) of the Advisers Act at the time of any such transaction;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Collateral Manager is a Registered Investment Adviser, the Collateral Manager shall obtain the consent of the Independent Review Party on behalf of the Issuer, in a manner consistent with SEC Staff interpretations of Section 205(a)(2) of the Advisers Act, to any such transaction. For the avoidance of doubt, consent by the Independent Review Party shall be presumed to be granted should the Independent Review Party fail to object within a reasonable period following appropriate disclosure by the Collateral Manager of an actual, potential or intended change of control transaction.</w:t>
      </w:r>
    </w:p>
    <w:p>
      <w:pPr>
        <w:spacing w:after="0" w:line="187"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2"/>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Manager may without satisfaction of the Global Rating Agency Condition, without obtaining the consent of any Holder and, so long as such assignment does not constitute an “assignment” for purposes of Section 205(a)(2) of the Advisers Act during such time as the Collateral Manager is a Registered Investment Adviser, without obtaining the prior consent of the Independent Review Party on behalf of the Issuer, (1) assign any of its rights or obligations under this Agreement to an Affiliate;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Affiliate (i) has demonstrated an ability to professionally and competently perform duties similar to those imposed upon the Collateral Manager pursuant to this Agreement, (ii) has the legal right and capacity to act as Collateral Manager under this Agreement and (iii) shall not cause the Issuer or the pool of Assets to become required to register under the provisions of the Investment Company Act or (2) enter into (or have its parent enter into) any consolidation or amalgamation with, or merger with or into, conversion, or transfer of all or substantially all of its assets to, another entity;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at the time of such consolidation, amalgamation, merger, conversion or transfer the resulting, surviving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transferee entity assumes all the obligations of the Collateral Manager under this Agreement generally and the other entity has substantially the same investment personnel managing the Issuer’s Assets;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such action does not cause the Issuer to be subject to tax in</w:t>
      </w:r>
    </w:p>
    <w:p>
      <w:pPr>
        <w:spacing w:after="0" w:line="344" w:lineRule="exact"/>
        <w:rPr>
          <w:rFonts w:ascii="Times New Roman" w:cs="Times New Roman" w:eastAsia="Times New Roman" w:hAnsi="Times New Roman"/>
          <w:sz w:val="22"/>
          <w:szCs w:val="22"/>
          <w:color w:val="auto"/>
        </w:rPr>
      </w:pPr>
    </w:p>
    <w:p>
      <w:pPr>
        <w:ind w:left="560" w:hanging="120"/>
        <w:spacing w:after="0"/>
        <w:tabs>
          <w:tab w:leader="none" w:pos="560" w:val="left"/>
        </w:tabs>
        <w:numPr>
          <w:ilvl w:val="1"/>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7" w:name="page398"/>
    <w:bookmarkEnd w:id="397"/>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any jurisdiction;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the Collateral Manager shall deliver prior notice to the Rating Agency of any assignment or other action made pursuant to this sentence. Upon the execution and delivery of any such assignment by the assignee, the Collateral Manager will be released from further obligations pursuant to this Agreement except with respect to its obligations and agreements arising under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23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xml:space="preserve"> in respect of acts or omissions occurring prior to such assignment and except with respect to its obligations under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after such assignment.</w:t>
      </w:r>
    </w:p>
    <w:p>
      <w:pPr>
        <w:spacing w:after="0" w:line="181" w:lineRule="exact"/>
        <w:rPr>
          <w:sz w:val="20"/>
          <w:szCs w:val="20"/>
          <w:color w:val="auto"/>
        </w:rPr>
      </w:pPr>
    </w:p>
    <w:p>
      <w:pPr>
        <w:jc w:val="both"/>
        <w:ind w:firstLine="757"/>
        <w:spacing w:after="0" w:line="253" w:lineRule="auto"/>
        <w:tabs>
          <w:tab w:leader="none" w:pos="1181" w:val="left"/>
        </w:tabs>
        <w:numPr>
          <w:ilvl w:val="1"/>
          <w:numId w:val="4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not be assigned by the Issuer without (i) the prior written consent of (A) the Collateral Manager, (B) a Majority of the Subordinated Notes and (C) a Majority of the each Class of Secured Debt (voting separately) and</w:t>
      </w:r>
    </w:p>
    <w:p>
      <w:pPr>
        <w:jc w:val="both"/>
        <w:ind w:firstLine="8"/>
        <w:spacing w:after="0" w:line="232" w:lineRule="auto"/>
        <w:tabs>
          <w:tab w:leader="none" w:pos="324" w:val="left"/>
        </w:tabs>
        <w:numPr>
          <w:ilvl w:val="0"/>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satisfaction of the Global Rating Agency Condition, except in the case of assignment by the Issuer (1) to an entity which is a successor to the Issuer permitted under the Indenture, in which case such successor organization shall be bound hereunder and by the terms of said assignment in the same manner as the Issuer is bound hereunder or (2) to the Collateral Trustee as contemplated by the granting clause of the Indenture. The Issuer has assigned its rights, title and interest in (but not its obligations under) this Agreement to the Collateral Trustee pursuant to the Indenture; and the Collateral Manager by its signature below agrees to, and acknowledges, such assignment. Upon assignment by the Issuer, the Issuer shall use reasonable efforts to cause such assignee to execute and deliver to the Collateral Manager such documents as the Collateral Manager shall consider reasonably necessary to effect fully such assignment.</w:t>
      </w:r>
    </w:p>
    <w:p>
      <w:pPr>
        <w:spacing w:after="0" w:line="179"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shall provide the Rating Agency, the Collateral Trustee (who shall provide a copy of such notice to the Controlling Class) with notice of any assignment pursuant to this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440" w:hanging="432"/>
        <w:spacing w:after="0"/>
        <w:tabs>
          <w:tab w:leader="none" w:pos="440"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Removal for Cause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757"/>
        <w:spacing w:after="0" w:line="246" w:lineRule="auto"/>
        <w:tabs>
          <w:tab w:leader="none" w:pos="1194" w:val="left"/>
        </w:tabs>
        <w:numPr>
          <w:ilvl w:val="2"/>
          <w:numId w:val="4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Removal for Cause</w:t>
      </w:r>
      <w:r>
        <w:rPr>
          <w:rFonts w:ascii="Times New Roman" w:cs="Times New Roman" w:eastAsia="Times New Roman" w:hAnsi="Times New Roman"/>
          <w:sz w:val="21"/>
          <w:szCs w:val="21"/>
          <w:color w:val="auto"/>
        </w:rPr>
        <w:t>. The Collateral Manager may be removed for Cause upon twenty (20) Business Days’ prior written notice by the Issuer (“</w:t>
      </w:r>
      <w:r>
        <w:rPr>
          <w:rFonts w:ascii="Times New Roman" w:cs="Times New Roman" w:eastAsia="Times New Roman" w:hAnsi="Times New Roman"/>
          <w:sz w:val="21"/>
          <w:szCs w:val="21"/>
          <w:u w:val="single" w:color="auto"/>
          <w:color w:val="auto"/>
        </w:rPr>
        <w:t>Termination Notice</w:t>
      </w:r>
      <w:r>
        <w:rPr>
          <w:rFonts w:ascii="Times New Roman" w:cs="Times New Roman" w:eastAsia="Times New Roman" w:hAnsi="Times New Roman"/>
          <w:sz w:val="21"/>
          <w:szCs w:val="21"/>
          <w:color w:val="auto"/>
        </w:rPr>
        <w:t>”) at the direction of a Supermajority of the Controlling Class, disregarding any Collateral Manager Notes. Simultaneous with its direction to the Issuer to remove the Collateral Manager for Cause, a Supermajority of the Controlling Class shall give to the Issuer a written statement setting forth the reason for such removal (“</w:t>
      </w:r>
      <w:r>
        <w:rPr>
          <w:rFonts w:ascii="Times New Roman" w:cs="Times New Roman" w:eastAsia="Times New Roman" w:hAnsi="Times New Roman"/>
          <w:sz w:val="21"/>
          <w:szCs w:val="21"/>
          <w:u w:val="single" w:color="auto"/>
          <w:color w:val="auto"/>
        </w:rPr>
        <w:t>Statement of Cause</w:t>
      </w:r>
      <w:r>
        <w:rPr>
          <w:rFonts w:ascii="Times New Roman" w:cs="Times New Roman" w:eastAsia="Times New Roman" w:hAnsi="Times New Roman"/>
          <w:sz w:val="21"/>
          <w:szCs w:val="21"/>
          <w:color w:val="auto"/>
        </w:rPr>
        <w:t xml:space="preserve">”). The Issuer shall deliver to the Collateral Trustee (who shall forward a copy of such notice to the Holders) a copy of the Termination Notice and the Statement of Cause within five (5) Business Days of receipt. No such removal shall be effective (A) until the date as of which a successor Collateral Manager shall have been appointed in accordance with </w:t>
      </w:r>
      <w:r>
        <w:rPr>
          <w:rFonts w:ascii="Times New Roman" w:cs="Times New Roman" w:eastAsia="Times New Roman" w:hAnsi="Times New Roman"/>
          <w:sz w:val="21"/>
          <w:szCs w:val="21"/>
          <w:u w:val="single" w:color="auto"/>
          <w:color w:val="auto"/>
        </w:rPr>
        <w:t>Sections 12(d)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and delivered an Instrument of Acceptance to the Issuer and the removed Collateral Manager and the successor Collateral Manager has effectively assumed all of the Collateral Manager’s duties and obligations and (B) unless the Statement of Cause has been delivered to the Issuer as set forth in this </w:t>
      </w:r>
      <w:r>
        <w:rPr>
          <w:rFonts w:ascii="Times New Roman" w:cs="Times New Roman" w:eastAsia="Times New Roman" w:hAnsi="Times New Roman"/>
          <w:sz w:val="21"/>
          <w:szCs w:val="21"/>
          <w:u w:val="single" w:color="auto"/>
          <w:color w:val="auto"/>
        </w:rPr>
        <w:t>Section 14(a)</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mean any of the following:</w:t>
      </w:r>
    </w:p>
    <w:p>
      <w:pPr>
        <w:spacing w:after="0" w:line="170" w:lineRule="exact"/>
        <w:rPr>
          <w:rFonts w:ascii="Times New Roman" w:cs="Times New Roman" w:eastAsia="Times New Roman" w:hAnsi="Times New Roman"/>
          <w:sz w:val="21"/>
          <w:szCs w:val="21"/>
          <w:color w:val="auto"/>
        </w:rPr>
      </w:pPr>
    </w:p>
    <w:p>
      <w:pPr>
        <w:jc w:val="both"/>
        <w:ind w:firstLine="1505"/>
        <w:spacing w:after="0" w:line="239" w:lineRule="auto"/>
        <w:tabs>
          <w:tab w:leader="none" w:pos="1929" w:val="left"/>
        </w:tabs>
        <w:numPr>
          <w:ilvl w:val="3"/>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shall willfully and intentionally violate or breach any material provision of this Agreement or the Indenture applicable to it (not including a willful and intentional breach that results from a good faith dispute regarding reasonable alternative courses of action or interpretation of instructions), if any such breach has had, or could reasonably</w:t>
      </w:r>
    </w:p>
    <w:p>
      <w:pPr>
        <w:spacing w:after="0" w:line="342" w:lineRule="exact"/>
        <w:rPr>
          <w:rFonts w:ascii="Times New Roman" w:cs="Times New Roman" w:eastAsia="Times New Roman" w:hAnsi="Times New Roman"/>
          <w:sz w:val="22"/>
          <w:szCs w:val="22"/>
          <w:color w:val="auto"/>
        </w:rPr>
      </w:pPr>
    </w:p>
    <w:p>
      <w:pPr>
        <w:ind w:left="560" w:hanging="120"/>
        <w:spacing w:after="0"/>
        <w:tabs>
          <w:tab w:leader="none" w:pos="560" w:val="left"/>
        </w:tabs>
        <w:numPr>
          <w:ilvl w:val="1"/>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98" w:name="page399"/>
    <w:bookmarkEnd w:id="398"/>
    <w:p>
      <w:pPr>
        <w:jc w:val="both"/>
        <w:spacing w:after="0" w:line="239" w:lineRule="auto"/>
        <w:rPr>
          <w:sz w:val="20"/>
          <w:szCs w:val="20"/>
          <w:color w:val="auto"/>
        </w:rPr>
      </w:pPr>
      <w:r>
        <w:rPr>
          <w:rFonts w:ascii="Times New Roman" w:cs="Times New Roman" w:eastAsia="Times New Roman" w:hAnsi="Times New Roman"/>
          <w:sz w:val="22"/>
          <w:szCs w:val="22"/>
          <w:color w:val="auto"/>
        </w:rPr>
        <w:t>be expected to have, a material adverse effect on the holders of the Secured Debt, and fails to cure such breach within 30 days of receiving notice of such breach or, if such breach is not capable of cure within 30 days but is capable of being cured within 90 days, the Collateral Manager fails to cure such breach within the period in which a reasonably prudent person could cure such breach (but in no event more than 90 days);</w:t>
      </w:r>
    </w:p>
    <w:p>
      <w:pPr>
        <w:spacing w:after="0" w:line="180" w:lineRule="exact"/>
        <w:rPr>
          <w:sz w:val="20"/>
          <w:szCs w:val="20"/>
          <w:color w:val="auto"/>
        </w:rPr>
      </w:pPr>
    </w:p>
    <w:p>
      <w:pPr>
        <w:jc w:val="both"/>
        <w:ind w:firstLine="1505"/>
        <w:spacing w:after="0" w:line="234" w:lineRule="auto"/>
        <w:tabs>
          <w:tab w:leader="none" w:pos="1929" w:val="left"/>
        </w:tabs>
        <w:numPr>
          <w:ilvl w:val="1"/>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Manager shall breach any provision of this Agreement or any terms of the Indenture expressly applicable to it (other than as covered by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and it being understood that failure to meet any Concentration Limitation, Collateral Quality Test or Coverage Test is not a breach for purposes of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which breach would reasonably be expected to have a material adverse effect on any Class of Holders and shall not cure such breach (if capable of being cured) within thirty (30) days after the earlier to occur of a Responsible Officer of the Collateral Manager receiving notice or having actual knowledge of such breach, unless, if such breach is remediable, the Collateral Manager has taken action commencing the cure thereof within such thirty (30) day period that the Collateral Manager believes in good faith will remedy such breach within sixty (60) days after the earlier to occur of a Responsible Officer receiving notice or having actual knowledge thereof;</w:t>
      </w:r>
    </w:p>
    <w:p>
      <w:pPr>
        <w:spacing w:after="0" w:line="18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1"/>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any representation, warranty, certification or statement made or delivered by the Collateral Manager in or pursuant to this Agreement or the Indenture to be correct in any material respect when made which failure (A) would reasonably be expected to have a material adverse effect on any Class of Holders and (B) is not corrected by the Collateral Manager within sixty (60) days of a Responsible Officer of the Collateral Manager receiving notice of such failure, unless, if such failure is remediable, the Collateral Manager has taken action commencing the cure thereof within such thirty (30) day period that the Collateral Manager believes in good faith will remedy such failure within ninety (90) days after the earlier to occur of a Responsible Officer receiving notice thereof or having actual knowledge thereof;</w:t>
      </w:r>
    </w:p>
    <w:p>
      <w:pPr>
        <w:spacing w:after="0" w:line="183"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1"/>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is wound up or dissolved or there is appointed over it or a substantial part of its assets a receiver, administrator, administrative receiver, trustee or similar officer; or the Collateral Manager (A) ceases to be able to, or admits in writing its inability to, pay its debts as they become due and payable, or makes a general assignment for the benefit of, or enters into any composition or arrangement with, its creditors generally; (B) applies for or consents (by admission of material allegations of a petition or otherwise) to the appointment of a receiver, trustee, assignee, custodian, liquidator or sequestrator (or other similar official) of the Collateral Manager or of any substantial part of its properties or assets in connection with any winding up, liquidation, reorganization or other relief under any bankruptcy, insolvency, receivership or similar law, or authorizes such an application or consent, or proceedings seeking such appointment are commenced without such authorization, consent or application against the Collateral Manager and continue undismissed for sixty (60) days; (C) authorizes or files a voluntary petition in bankruptcy, or applies for or consents (by admission of material allegations of a petition or otherwise) to the application of any bankruptcy, reorganization, arrangement, readjustment of debt, insolvency, dissolution, or similar law, or authorizes such application or consent, or proceedings to such end are instituted against the Collateral Manager without such authorization, application or consent and are approved as properly instituted and remain undismissed for sixty (60) days or result in adjudication of bankruptcy or insolvency or the issuance of an order for relief; or (D) permits or suffers all or any substantial part of its properties</w:t>
      </w:r>
    </w:p>
    <w:p>
      <w:pPr>
        <w:spacing w:after="0" w:line="339" w:lineRule="exact"/>
        <w:rPr>
          <w:rFonts w:ascii="Times New Roman" w:cs="Times New Roman" w:eastAsia="Times New Roman" w:hAnsi="Times New Roman"/>
          <w:sz w:val="22"/>
          <w:szCs w:val="22"/>
          <w:color w:val="auto"/>
        </w:rPr>
      </w:pPr>
    </w:p>
    <w:p>
      <w:pPr>
        <w:ind w:left="560" w:hanging="120"/>
        <w:spacing w:after="0"/>
        <w:tabs>
          <w:tab w:leader="none" w:pos="560"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9" w:name="page400"/>
    <w:bookmarkEnd w:id="399"/>
    <w:p>
      <w:pPr>
        <w:spacing w:after="0" w:line="258" w:lineRule="auto"/>
        <w:rPr>
          <w:sz w:val="20"/>
          <w:szCs w:val="20"/>
          <w:color w:val="auto"/>
        </w:rPr>
      </w:pPr>
      <w:r>
        <w:rPr>
          <w:rFonts w:ascii="Times New Roman" w:cs="Times New Roman" w:eastAsia="Times New Roman" w:hAnsi="Times New Roman"/>
          <w:sz w:val="22"/>
          <w:szCs w:val="22"/>
          <w:color w:val="auto"/>
        </w:rPr>
        <w:t>or assets to be sequestered or attached by court order and the order (if contested in good faith) remains undismissed for sixty (60) days;</w:t>
      </w:r>
    </w:p>
    <w:p>
      <w:pPr>
        <w:spacing w:after="0" w:line="158" w:lineRule="exact"/>
        <w:rPr>
          <w:sz w:val="20"/>
          <w:szCs w:val="20"/>
          <w:color w:val="auto"/>
        </w:rPr>
      </w:pPr>
    </w:p>
    <w:p>
      <w:pPr>
        <w:jc w:val="both"/>
        <w:ind w:firstLine="1505"/>
        <w:spacing w:after="0" w:line="244" w:lineRule="auto"/>
        <w:tabs>
          <w:tab w:leader="none" w:pos="1929" w:val="left"/>
        </w:tabs>
        <w:numPr>
          <w:ilvl w:val="3"/>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and continuation of an Event of Default specified under clause (a), (b) or (c) of the definition of such term that results primarily from any material breach by the Collateral Manager of its duties under this Agreement or under the Indenture which breach or default is not cured within any applicable cure period; or</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3"/>
          <w:numId w:val="4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occurrence of an act by the Collateral Manager that constitutes fraud or criminal activity in the performance of its obligations under this Agreement (as determined pursuant to a final adjudication by a court of competent jurisdiction) or the Collateral Manager being convicted (after all appeals and the expiration of time to appeal) for a criminal offense materially related to its business of providing asset management services, or (B) any Responsible Officer of the Collateral Manager primarily responsible for the performance by the Collateral Manager of its obligations under this Agreement (in the performance of his or her investment management duties) is convicted (after all appeals and the expiration of time to appeal) of a criminal offense for a criminal offense materially related to the business of the Collateral Manager providing asset management services and continues to have responsibility for the performance by the Collateral Manager under this Agreement for a period of</w:t>
      </w:r>
    </w:p>
    <w:p>
      <w:pPr>
        <w:spacing w:after="0" w:line="3" w:lineRule="exact"/>
        <w:rPr>
          <w:rFonts w:ascii="Times New Roman" w:cs="Times New Roman" w:eastAsia="Times New Roman" w:hAnsi="Times New Roman"/>
          <w:sz w:val="21"/>
          <w:szCs w:val="21"/>
          <w:color w:val="auto"/>
        </w:rPr>
      </w:pPr>
    </w:p>
    <w:p>
      <w:pPr>
        <w:ind w:left="280" w:hanging="272"/>
        <w:spacing w:after="0"/>
        <w:tabs>
          <w:tab w:leader="none" w:pos="280"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final such appeal (or the expiration of time to appeal).</w:t>
      </w:r>
    </w:p>
    <w:p>
      <w:pPr>
        <w:spacing w:after="0" w:line="182"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2"/>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of the events specified in clauses (a)(i) through (vi)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shall occur, the Collateral Manager shall give prompt written notice thereof to the Issuer, the Holders, the Collateral Trustee, the Loan Agent and the Rating Agency;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if any of the events specified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14(a)(iv)</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occur, the Collateral Manager shall give written notice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thereof to the Issuer, the Collateral Trustee (who shall forward a copy of such notice to the Holders), the Loan Agent and the Rating Agency immediately upon the Collateral Manager’s becoming aware of the occurrence of such event. A Majority of each Class of Secured Debt, voting separately by Class (in each case disregarding any Collateral Manager Notes), and a Majority of the Subordinated Notes may waive any event described in </w:t>
      </w:r>
      <w:r>
        <w:rPr>
          <w:rFonts w:ascii="Times New Roman" w:cs="Times New Roman" w:eastAsia="Times New Roman" w:hAnsi="Times New Roman"/>
          <w:sz w:val="22"/>
          <w:szCs w:val="22"/>
          <w:u w:val="single" w:color="auto"/>
          <w:color w:val="auto"/>
        </w:rPr>
        <w:t>Section 14(a)(i)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as a basis for termination of this Agreement and removal of the Collateral Manager under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In no event will the Collateral Trustee be required to determine whether or not Cause exists for the removal of the Collateral Manager.</w:t>
      </w:r>
    </w:p>
    <w:p>
      <w:pPr>
        <w:spacing w:after="0" w:line="18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2"/>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Collateral Manager is removed pursuant to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the Issuer shall have, in addition to the rights and remedies set forth in this Agreement, all of the rights and remedies available with respect thereto at law or equity.</w:t>
      </w:r>
    </w:p>
    <w:p>
      <w:pPr>
        <w:spacing w:after="0" w:line="158"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of Resigning or Removed Collateral Manager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2"/>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effective date of any resignation or removal of the Collateral Manager, the Collateral Manager shall not be entitled to compensation for further services hereunder, but shall be paid all compensation to which it is entitled, and shall receive all other amounts for which it is entitled to reimbursement, all as provided in and subject to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hereof, and shall be entitled to receive any amounts owing under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hereof. On, or as soon as practicable after, the date any resignation or removal is effective, the Collateral Manager shall (at the Issuer’s expense):</w:t>
      </w:r>
    </w:p>
    <w:p>
      <w:pPr>
        <w:spacing w:after="0" w:line="338" w:lineRule="exact"/>
        <w:rPr>
          <w:rFonts w:ascii="Times New Roman" w:cs="Times New Roman" w:eastAsia="Times New Roman" w:hAnsi="Times New Roman"/>
          <w:sz w:val="22"/>
          <w:szCs w:val="22"/>
          <w:color w:val="auto"/>
        </w:rPr>
      </w:pPr>
    </w:p>
    <w:p>
      <w:pPr>
        <w:ind w:left="560" w:hanging="120"/>
        <w:spacing w:after="0"/>
        <w:tabs>
          <w:tab w:leader="none" w:pos="560" w:val="left"/>
        </w:tabs>
        <w:numPr>
          <w:ilvl w:val="1"/>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0" w:name="page401"/>
    <w:bookmarkEnd w:id="400"/>
    <w:p>
      <w:pPr>
        <w:ind w:left="-8" w:right="20" w:firstLine="1505"/>
        <w:spacing w:after="0" w:line="258" w:lineRule="auto"/>
        <w:tabs>
          <w:tab w:leader="none" w:pos="1921" w:val="left"/>
        </w:tabs>
        <w:numPr>
          <w:ilvl w:val="3"/>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the Issuer or to such other Person as the Issuer shall instruct all property and documents of the Issuer, or otherwise relating to the Assets, then in the custody of the Collateral Manager;</w:t>
      </w:r>
    </w:p>
    <w:p>
      <w:pPr>
        <w:spacing w:after="0" w:line="158" w:lineRule="exact"/>
        <w:rPr>
          <w:rFonts w:ascii="Times New Roman" w:cs="Times New Roman" w:eastAsia="Times New Roman" w:hAnsi="Times New Roman"/>
          <w:sz w:val="22"/>
          <w:szCs w:val="22"/>
          <w:color w:val="auto"/>
        </w:rPr>
      </w:pPr>
    </w:p>
    <w:p>
      <w:pPr>
        <w:jc w:val="both"/>
        <w:ind w:left="-8" w:firstLine="1505"/>
        <w:spacing w:after="0" w:line="244" w:lineRule="auto"/>
        <w:tabs>
          <w:tab w:leader="none" w:pos="1921" w:val="left"/>
        </w:tabs>
        <w:numPr>
          <w:ilvl w:val="3"/>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 to the Collateral Trustee and the Collateral Administrator an accounting with respect to the books and records delivered to the Collateral Trustee and the Collateral Administrator or the successor Collateral Manager appointed pursuant to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jc w:val="both"/>
        <w:ind w:left="-8" w:firstLine="1505"/>
        <w:spacing w:after="0" w:line="255" w:lineRule="auto"/>
        <w:tabs>
          <w:tab w:leader="none" w:pos="1921" w:val="left"/>
        </w:tabs>
        <w:numPr>
          <w:ilvl w:val="3"/>
          <w:numId w:val="4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reasonably cooperate, or agree to reasonably cooperate, with all reasonable requests related to any proceedings, even after its resignation or removal, which arise in connection with this Agreement or the Indenture, assuming the Collateral Manager has received an indemnity in form reasonably satisfactory to the Collateral Manager from an entity reasonably satisfactory to the Collateral Manager, and expense reimbursement reasonably satisfactory to the Collateral Manager.</w:t>
      </w:r>
    </w:p>
    <w:p>
      <w:pPr>
        <w:spacing w:after="0" w:line="161" w:lineRule="exact"/>
        <w:rPr>
          <w:rFonts w:ascii="Times New Roman" w:cs="Times New Roman" w:eastAsia="Times New Roman" w:hAnsi="Times New Roman"/>
          <w:sz w:val="21"/>
          <w:szCs w:val="21"/>
          <w:color w:val="auto"/>
        </w:rPr>
      </w:pPr>
    </w:p>
    <w:p>
      <w:pPr>
        <w:jc w:val="both"/>
        <w:ind w:left="-8" w:right="20" w:firstLine="757"/>
        <w:spacing w:after="0" w:line="239" w:lineRule="auto"/>
        <w:tabs>
          <w:tab w:leader="none" w:pos="1173" w:val="left"/>
        </w:tabs>
        <w:numPr>
          <w:ilvl w:val="2"/>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such resignation or removal, the Collateral Manager shall remain liable for its obligations under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and its acts or omissions giving rise thereto and for any expenses, losses, damages, liabilities, demands, charges and claims of any nature whatsoever (including reasonable attorneys’ fees) in respect of or arising out of a Collateral Manager Breach, subject to the limitations of liability set forth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432" w:hanging="432"/>
        <w:spacing w:after="0"/>
        <w:tabs>
          <w:tab w:leader="none" w:pos="432"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172" w:hanging="423"/>
        <w:spacing w:after="0"/>
        <w:tabs>
          <w:tab w:leader="none" w:pos="1172" w:val="left"/>
        </w:tabs>
        <w:numPr>
          <w:ilvl w:val="2"/>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hereby represents and warrants to the Collateral Manager as follows:</w:t>
      </w:r>
    </w:p>
    <w:p>
      <w:pPr>
        <w:spacing w:after="0" w:line="206" w:lineRule="exact"/>
        <w:rPr>
          <w:rFonts w:ascii="Times New Roman" w:cs="Times New Roman" w:eastAsia="Times New Roman" w:hAnsi="Times New Roman"/>
          <w:sz w:val="22"/>
          <w:szCs w:val="22"/>
          <w:color w:val="auto"/>
        </w:rPr>
      </w:pPr>
    </w:p>
    <w:p>
      <w:pPr>
        <w:jc w:val="both"/>
        <w:ind w:left="-8" w:firstLine="1505"/>
        <w:spacing w:after="0" w:line="235" w:lineRule="auto"/>
        <w:tabs>
          <w:tab w:leader="none" w:pos="1921" w:val="left"/>
        </w:tabs>
        <w:numPr>
          <w:ilvl w:val="3"/>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been duly organized and is validly existing under the laws of the jurisdiction of its organization, has the full power and authority to own its assets and the securities proposed to be owned by it and included in the Assets and to transact the business in which it is presently engaged and is duly qualified under the laws of each jurisdiction where its ownership or lease of property, the conduct of its business or the performance of this Agreement, the Indenture, the Credit Agreements, the Master Loan Sale Agreement, the Collateral Administration Agreement and the Debt require such qualification, except for those jurisdictions in which the failure to be so qualified, authorized or licensed would not have a Material Adverse Effect on the Issuer.</w:t>
      </w:r>
    </w:p>
    <w:p>
      <w:pPr>
        <w:spacing w:after="0" w:line="183" w:lineRule="exact"/>
        <w:rPr>
          <w:rFonts w:ascii="Times New Roman" w:cs="Times New Roman" w:eastAsia="Times New Roman" w:hAnsi="Times New Roman"/>
          <w:sz w:val="22"/>
          <w:szCs w:val="22"/>
          <w:color w:val="auto"/>
        </w:rPr>
      </w:pPr>
    </w:p>
    <w:p>
      <w:pPr>
        <w:jc w:val="both"/>
        <w:ind w:left="-8" w:firstLine="1505"/>
        <w:spacing w:after="0" w:line="234" w:lineRule="auto"/>
        <w:tabs>
          <w:tab w:leader="none" w:pos="1921" w:val="left"/>
        </w:tabs>
        <w:numPr>
          <w:ilvl w:val="3"/>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has full power and authority to execute, deliver and perform all of its obligations under this Agreement, the Indenture, the Credit Agreements, the Master Loan Sale Agreement, the Collateral Administration Agreement and the Debt and has taken all necessary action to authorize this Agreement and the execution and delivery of this Agreement and the performance of all obligations imposed upon it hereunder, and, as of the Closing Date, will have taken all necessary action to authorize the Indenture, the Credit Agreements, the Master Loan Sale Agreement, the Collateral Administration Agreement and the Debt and the execution, delivery and performance of this Agreement, the Credit Agreements, the Indenture, the Master Loan Sale Agreement, the Collateral Administration Agreement and the Debt and the performance of all obligations imposed upon it thereunder. No consent of any other Person including, without limitation, Holders of the Subordinated Notes and creditors of the Issuer, and no license, permit,</w:t>
      </w:r>
    </w:p>
    <w:p>
      <w:pPr>
        <w:spacing w:after="0" w:line="345" w:lineRule="exact"/>
        <w:rPr>
          <w:rFonts w:ascii="Times New Roman" w:cs="Times New Roman" w:eastAsia="Times New Roman" w:hAnsi="Times New Roman"/>
          <w:sz w:val="22"/>
          <w:szCs w:val="22"/>
          <w:color w:val="auto"/>
        </w:rPr>
      </w:pPr>
    </w:p>
    <w:p>
      <w:pPr>
        <w:ind w:left="552" w:hanging="120"/>
        <w:spacing w:after="0"/>
        <w:tabs>
          <w:tab w:leader="none" w:pos="552" w:val="left"/>
        </w:tabs>
        <w:numPr>
          <w:ilvl w:val="1"/>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632460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401" w:name="page402"/>
    <w:bookmarkEnd w:id="401"/>
    <w:p>
      <w:pPr>
        <w:jc w:val="both"/>
        <w:spacing w:after="0" w:line="233" w:lineRule="auto"/>
        <w:rPr>
          <w:sz w:val="20"/>
          <w:szCs w:val="20"/>
          <w:color w:val="auto"/>
        </w:rPr>
      </w:pPr>
      <w:r>
        <w:rPr>
          <w:rFonts w:ascii="Times New Roman" w:cs="Times New Roman" w:eastAsia="Times New Roman" w:hAnsi="Times New Roman"/>
          <w:sz w:val="22"/>
          <w:szCs w:val="22"/>
          <w:color w:val="auto"/>
        </w:rPr>
        <w:t>approval or authorization of, exemption by, notice or report to, or registration, filing (other than any filings pursuant to the UCC required under the Indenture and necessary to perfect any security interest granted thereunder) or declaration with, any governmental authority is required by the Issuer in connection with the execution, delivery, performance, validity or enforceability of this Agreement, the Indenture, the Credit Agreement, the Master Loan Sale Agreement, the Collateral Administration Agreement or the Debt or the obligations imposed upon the Issuer hereunder and thereunder. This Agreement has been, and each instrument and document to which the Issuer is a party required hereunder or under the Indenture, the Credit Agreements, the Master Loan Sale Agreement, the Collateral Administration Agreement or the Debt will be, executed and delivered by a Responsible Officer of the Issuer, and this Agreement constitutes, and each instrument or document required hereunder to which the Issuer is a party, when executed and delivered hereunder, will constitute, the legally valid and binding obligation of the Issuer enforceable against the Issuer in accordance with its terms, subject, as to enforcement, (A) to the effect of bankruptcy, receivership, insolvency, winding-up or similar laws affecting generally the enforcement of creditors’ rights as such laws would apply in the event of any bankruptcy, receivership, insolvency, winding-up or similar event applicable to the Issuer and (B) to general equitable principles (whether enforceability of such principles is considered in a proceeding at law or in equity).</w:t>
      </w:r>
    </w:p>
    <w:p>
      <w:pPr>
        <w:spacing w:after="0" w:line="180" w:lineRule="exact"/>
        <w:rPr>
          <w:sz w:val="20"/>
          <w:szCs w:val="20"/>
          <w:color w:val="auto"/>
        </w:rPr>
      </w:pPr>
    </w:p>
    <w:p>
      <w:pPr>
        <w:jc w:val="both"/>
        <w:ind w:firstLine="1505"/>
        <w:spacing w:after="0" w:line="234" w:lineRule="auto"/>
        <w:tabs>
          <w:tab w:leader="none" w:pos="1929" w:val="left"/>
        </w:tabs>
        <w:numPr>
          <w:ilvl w:val="2"/>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Agreement and the documents and instruments required hereunder and under the Indenture, the Credit Agreements, the Master Loan Sale Agreement, and the Collateral Administration Agreement will not violate any provision of any existing law or regulation binding on the Issuer, or any order, judgment, award or decree of any court, arbitrator or governmental authority binding on the Issuer, or the Organizational Instruments of, or any securities issued by, the Issuer or of any mortgage, indenture, lease, contract or other agreement, instrument or undertaking to which the Issuer is a party or by which the Issuer or any of its assets may be bound, the violation of which would have a Material Adverse Effect on the Issuer, and will not result in or require the creation or imposition of any lien on any of its property, assets or revenues pursuant to the provisions of any such mortgage, indenture, lease, contract or other agreement, instrument or undertaking (other than the lien of the Indenture).</w:t>
      </w:r>
    </w:p>
    <w:p>
      <w:pPr>
        <w:spacing w:after="0" w:line="183"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2"/>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is not in violation of its Organizational Instruments or in breach or violation of or in default under any contract or agreement to which it is a party or by which it or any of its property may be bound, or any applicable statute or any rule, regulation or order of any court, government agency or body having jurisdiction over the Issuer or its properties, the breach or violation of which or default under which would have a material adverse effect on the validity or enforceability of this Agreement or the provisions of the Indenture and the Collateral Administration Agreement applicable to the Issuer, or the performance by the Issuer of its duties hereunder or thereunder.</w:t>
      </w:r>
    </w:p>
    <w:p>
      <w:pPr>
        <w:spacing w:after="0" w:line="181"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4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hereby represents and warrants to the Issuer, as of the date hereof, as follows:</w:t>
      </w:r>
    </w:p>
    <w:p>
      <w:pPr>
        <w:spacing w:after="0" w:line="206" w:lineRule="exact"/>
        <w:rPr>
          <w:rFonts w:ascii="Times New Roman" w:cs="Times New Roman" w:eastAsia="Times New Roman" w:hAnsi="Times New Roman"/>
          <w:sz w:val="22"/>
          <w:szCs w:val="22"/>
          <w:color w:val="auto"/>
        </w:rPr>
      </w:pPr>
    </w:p>
    <w:p>
      <w:pPr>
        <w:jc w:val="both"/>
        <w:ind w:firstLine="1505"/>
        <w:spacing w:after="0" w:line="261" w:lineRule="auto"/>
        <w:tabs>
          <w:tab w:leader="none" w:pos="1929" w:val="left"/>
        </w:tabs>
        <w:numPr>
          <w:ilvl w:val="2"/>
          <w:numId w:val="4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Manager is a limited liability company duly organized and validly existing and in good standing under the laws of the jurisdiction of its organization and has full power and authority to own its assets and to transact the business in which it is currently engaged, and is duly qualified to do business and is in good standing under the laws of each</w:t>
      </w:r>
    </w:p>
    <w:p>
      <w:pPr>
        <w:spacing w:after="0" w:line="319" w:lineRule="exact"/>
        <w:rPr>
          <w:rFonts w:ascii="Times New Roman" w:cs="Times New Roman" w:eastAsia="Times New Roman" w:hAnsi="Times New Roman"/>
          <w:sz w:val="21"/>
          <w:szCs w:val="21"/>
          <w:color w:val="auto"/>
        </w:rPr>
      </w:pPr>
    </w:p>
    <w:p>
      <w:pPr>
        <w:ind w:left="560" w:hanging="120"/>
        <w:spacing w:after="0"/>
        <w:tabs>
          <w:tab w:leader="none" w:pos="560" w:val="left"/>
        </w:tabs>
        <w:numPr>
          <w:ilvl w:val="0"/>
          <w:numId w:val="4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2" w:name="page403"/>
    <w:bookmarkEnd w:id="402"/>
    <w:p>
      <w:pPr>
        <w:jc w:val="both"/>
        <w:spacing w:after="0" w:line="236" w:lineRule="auto"/>
        <w:rPr>
          <w:sz w:val="20"/>
          <w:szCs w:val="20"/>
          <w:color w:val="auto"/>
        </w:rPr>
      </w:pPr>
      <w:r>
        <w:rPr>
          <w:rFonts w:ascii="Times New Roman" w:cs="Times New Roman" w:eastAsia="Times New Roman" w:hAnsi="Times New Roman"/>
          <w:sz w:val="22"/>
          <w:szCs w:val="22"/>
          <w:color w:val="auto"/>
        </w:rPr>
        <w:t>jurisdiction where the performance of this Agreement would require such qualification, except for those jurisdictions in which the failure to be so qualified, authorized or licensed would not have a material adverse effect on the ability of the Collateral Manager to perform its obligations under this Agreement and the provisions of the Indenture, the Master Loan Sale Agreement, and the Collateral Administration Agreement applicable to the Collateral Manager, or on the validity or enforceability of this Agreement and the provisions of the Indenture, the Master Loan Sale Agreement, and the Collateral Administration Agreement applicable to the Collateral Manager.</w:t>
      </w:r>
    </w:p>
    <w:p>
      <w:pPr>
        <w:spacing w:after="0" w:line="181" w:lineRule="exact"/>
        <w:rPr>
          <w:sz w:val="20"/>
          <w:szCs w:val="20"/>
          <w:color w:val="auto"/>
        </w:rPr>
      </w:pPr>
    </w:p>
    <w:p>
      <w:pPr>
        <w:jc w:val="both"/>
        <w:ind w:firstLine="1505"/>
        <w:spacing w:after="0" w:line="243" w:lineRule="auto"/>
        <w:tabs>
          <w:tab w:leader="none" w:pos="1929" w:val="left"/>
        </w:tabs>
        <w:numPr>
          <w:ilvl w:val="1"/>
          <w:numId w:val="4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Manager has full power and authority to execute and deliver this Agreement and to perform all of its obligations required hereunder and under the provisions of the Indenture, the Master Loan Sale Agreement, and the Collateral Administration Agreement applicable to the Collateral Manager, and has taken all necessary action to authorize this Agreement on the terms and conditions hereof and the execution and delivery of this Agreement and the performance of all obligations required hereunder and under the terms of the Indenture, the Master Loan Sale Agreement, and the Collateral Administration Agreement applicable to the Collateral Manager. No consent of any other Person, including, without limitation, members and creditors of the Collateral Manager, and no license, permit, approval or authorization of, exemption by, notice or report to, or registration, filing or declaration with, any governmental authority is required by the Collateral Manager hereof in connection with this Agreement or the execution, delivery, performance, validity or enforceability of this Agreement or the obligations imposed on the Collateral Manager hereunder or under the terms of the Indenture, the Master Loan Sale Agreement, and of the Collateral Administration Agreement applicable to the Collateral Manager other than those which have been obtained or made. No representation is made herein with respect to the requirements of state securities laws or regulations. This Agreement has been executed and delivered by a Responsible Officer of the Collateral Manager, and this Agreement constitutes the valid and legally binding obligations of the Collateral Manager enforceable against the Collateral Manager in accordance with its terms, subject, as to enforcement, (A) to the effect of bankruptcy, insolvency, winding-up or similar laws affecting generally the enforcement of creditors’ rights as such laws would apply in the event of any bankruptcy, receivership, insolvency, winding-up or similar event applicable to the Collateral Manager and (B) to general equitable principles (whether enforceability of such principles is considered in a proceeding at law or in equity).</w:t>
      </w:r>
    </w:p>
    <w:p>
      <w:pPr>
        <w:spacing w:after="0" w:line="200" w:lineRule="exact"/>
        <w:rPr>
          <w:rFonts w:ascii="Times New Roman" w:cs="Times New Roman" w:eastAsia="Times New Roman" w:hAnsi="Times New Roman"/>
          <w:sz w:val="21"/>
          <w:szCs w:val="21"/>
          <w:color w:val="auto"/>
        </w:rPr>
      </w:pPr>
    </w:p>
    <w:p>
      <w:pPr>
        <w:spacing w:after="0" w:line="233" w:lineRule="exact"/>
        <w:rPr>
          <w:rFonts w:ascii="Times New Roman" w:cs="Times New Roman" w:eastAsia="Times New Roman" w:hAnsi="Times New Roman"/>
          <w:sz w:val="21"/>
          <w:szCs w:val="21"/>
          <w:color w:val="auto"/>
        </w:rPr>
      </w:pPr>
    </w:p>
    <w:p>
      <w:pPr>
        <w:jc w:val="both"/>
        <w:ind w:firstLine="1505"/>
        <w:spacing w:after="0" w:line="234" w:lineRule="auto"/>
        <w:tabs>
          <w:tab w:leader="none" w:pos="1929" w:val="left"/>
        </w:tabs>
        <w:numPr>
          <w:ilvl w:val="1"/>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Agreement and the terms of the Indenture and the other Transaction Documents applicable to the Collateral Manager will not violate any provision of any existing law or regulation binding on the Collateral Manager (except that no representation is made herein with respect to the requirements of state securities laws or regulations), or any order, judgment, award or decree of any court, arbitrator or governmental authority binding on the Collateral Manager, or the Organizational Instruments of, or any securities issued by, the Collateral Manager or of any mortgage, indenture, lease, contract or other agreement, instrument or undertaking to which the Collateral Manager is a party or by which the Collateral Manager or any of its assets may be bound, the violation of which would have a material adverse effect on the business, operations, assets or financial condition of the Collateral Manager or which would reasonably be expected to adversely affect in a material manner its ability to perform its obligations hereunder or under the Indenture, the Master Loan Sale Agreement, or the Collateral Administration Agreement.</w:t>
      </w:r>
    </w:p>
    <w:p>
      <w:pPr>
        <w:spacing w:after="0" w:line="341" w:lineRule="exact"/>
        <w:rPr>
          <w:rFonts w:ascii="Times New Roman" w:cs="Times New Roman" w:eastAsia="Times New Roman" w:hAnsi="Times New Roman"/>
          <w:sz w:val="22"/>
          <w:szCs w:val="22"/>
          <w:color w:val="auto"/>
        </w:rPr>
      </w:pPr>
    </w:p>
    <w:p>
      <w:pPr>
        <w:ind w:left="560" w:hanging="120"/>
        <w:spacing w:after="0"/>
        <w:tabs>
          <w:tab w:leader="none" w:pos="560"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3" w:name="page404"/>
    <w:bookmarkEnd w:id="403"/>
    <w:p>
      <w:pPr>
        <w:jc w:val="both"/>
        <w:ind w:firstLine="1505"/>
        <w:spacing w:after="0" w:line="255" w:lineRule="auto"/>
        <w:tabs>
          <w:tab w:leader="none" w:pos="1929" w:val="left"/>
        </w:tabs>
        <w:numPr>
          <w:ilvl w:val="2"/>
          <w:numId w:val="4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 charge, investigation, action, suit or proceeding before or by any court pending or, to the actual knowledge of the Collateral Manager, threatened, that, if determined adversely to the Collateral Manager, would have a material adverse effect upon the performance by the Collateral Manager of its duties under this Agreement or the provisions of the Indenture, the Master Loan Sale Agreement, or of the Collateral Administration Agreement applicable to the Collateral Manager.</w:t>
      </w:r>
    </w:p>
    <w:p>
      <w:pPr>
        <w:spacing w:after="0" w:line="161" w:lineRule="exact"/>
        <w:rPr>
          <w:rFonts w:ascii="Times New Roman" w:cs="Times New Roman" w:eastAsia="Times New Roman" w:hAnsi="Times New Roman"/>
          <w:sz w:val="21"/>
          <w:szCs w:val="21"/>
          <w:color w:val="auto"/>
        </w:rPr>
      </w:pPr>
    </w:p>
    <w:p>
      <w:pPr>
        <w:jc w:val="both"/>
        <w:ind w:firstLine="1505"/>
        <w:spacing w:after="0" w:line="239" w:lineRule="auto"/>
        <w:tabs>
          <w:tab w:leader="none" w:pos="1929" w:val="left"/>
        </w:tabs>
        <w:numPr>
          <w:ilvl w:val="2"/>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Information, as of its date, and only with respect to the Collateral Manager Offering Circular Information in the Final Offering Circular, as of the date of the Final Offering Circular and the Closing Date, does not contain any untrue statement of a material fact or omit to state any material fact necessary in order to make the statements therein, in the light of the circumstances under which they were made, not misleading.</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makes no representation, express or implied, with respect to the Issuer or the disclosure with respect to the Issuer.</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is registered as an Investment Adviser pursuant to Section 203 of the Advisers Act.</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4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Limited Recourse; No Petition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The Collateral Manager hereby agrees that it shall not institute against, or join any other Person in instituting against, the Issuer any bankruptcy, reorganization, arrangement, insolvency, moratorium or liquidation proceedings or other proceedings under United States federal or state or other bankruptcy or similar laws until at least one year (or, if longer, the applicable preference period then in effect) plus one day after payment in full of all Debt issued under the Indenture and incurred under the Credit Agreements;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shall preclude the Collateral Manager from (a) taking any action prior to the expiration of such applicable preference period in (i) any case or proceeding voluntarily filed or commenced by the Issuer or (ii) any insolvency proceeding filed or commenced against the Issuer by any Person other than the Collateral Manager or (b) commencing against the Issuer or any of its properties any legal action that is not a bankruptcy, reorganization, arrangement, insolvency, moratorium or liquidation proceeding. The Collateral Manager hereby acknowledges and agrees that the Issuer’s obligations hereunder will be solely the limited liability company obligations of the Issuer, and that the Collateral Manager will not have any recourse to any of the members, managers, officers, employees, shared personnel, shareholders or Affiliates of the Issuer with respect to any claims, losses, damages, liabilities, indemnities or other obligations in connection with any Transactions contemplated hereby. Notwithstanding any other provisions hereof or of any other Transaction Document, recourse in respect of any obligations of the Issuer to the Collateral Manager hereunder or thereunder will be limited to the Assets as applied in accordance with the Priority of Payments pursuant to the Indenture and, on the exhaustion of the Assets, all claims against the Issuer arising from this Agreement, the Indenture or any other Transaction Document or any Transactions contemplated hereby or thereby shall be extinguished and shall not revive. This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shall survive the termination of this Agreement for any reason whatsoever.</w:t>
      </w:r>
    </w:p>
    <w:p>
      <w:pPr>
        <w:spacing w:after="0" w:line="3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4" w:name="page405"/>
    <w:bookmarkEnd w:id="404"/>
    <w:p>
      <w:pPr>
        <w:ind w:left="440" w:hanging="432"/>
        <w:spacing w:after="0"/>
        <w:tabs>
          <w:tab w:leader="none" w:pos="440"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Unless expressly provided otherwise herein, all notices, demands, certificates, requests, directions and communications hereunder shall be in writing and shall be effective (a) upon receipt when sent through the U.S. mails, registered or certified mail, return receipt requested, postage prepaid, with such receipt to be effective the date of delivery indicated on the return receipt, (b) one (1) Business Day after delivery to any overnight courier, (c) on the date personally delivered to a Responsible Officer of the party to which sent, (d) on the date transmitted by legible facsimile transmission with a confirmation of receipt, or (e) upon receipt when transmitted by electronic mail transmission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e-mail), in all cases addressed to the recipient at such recipient’s address for notices as set forth below:</w:t>
      </w:r>
    </w:p>
    <w:p>
      <w:pPr>
        <w:spacing w:after="0" w:line="183"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If to the Issuer: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PennantPark CLO 11, LLC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c/o PennantPark Investment Administration, LLC</w:t>
      </w:r>
    </w:p>
    <w:p>
      <w:pPr>
        <w:ind w:left="1500"/>
        <w:spacing w:after="0" w:line="230" w:lineRule="auto"/>
        <w:rPr>
          <w:sz w:val="20"/>
          <w:szCs w:val="20"/>
          <w:color w:val="auto"/>
        </w:rPr>
      </w:pPr>
      <w:r>
        <w:rPr>
          <w:rFonts w:ascii="Times New Roman" w:cs="Times New Roman" w:eastAsia="Times New Roman" w:hAnsi="Times New Roman"/>
          <w:sz w:val="22"/>
          <w:szCs w:val="22"/>
          <w:color w:val="auto"/>
        </w:rPr>
        <w:t>1691 Michigan Avenue, Suite 500</w:t>
      </w:r>
    </w:p>
    <w:p>
      <w:pPr>
        <w:ind w:left="1500"/>
        <w:spacing w:after="0" w:line="231" w:lineRule="auto"/>
        <w:rPr>
          <w:sz w:val="20"/>
          <w:szCs w:val="20"/>
          <w:color w:val="auto"/>
        </w:rPr>
      </w:pPr>
      <w:r>
        <w:rPr>
          <w:rFonts w:ascii="Times New Roman" w:cs="Times New Roman" w:eastAsia="Times New Roman" w:hAnsi="Times New Roman"/>
          <w:sz w:val="22"/>
          <w:szCs w:val="22"/>
          <w:color w:val="auto"/>
        </w:rPr>
        <w:t>Miami Beach, Florida 33139</w:t>
      </w:r>
    </w:p>
    <w:p>
      <w:pPr>
        <w:ind w:left="1500"/>
        <w:spacing w:after="0" w:line="230" w:lineRule="auto"/>
        <w:rPr>
          <w:sz w:val="20"/>
          <w:szCs w:val="20"/>
          <w:color w:val="auto"/>
        </w:rPr>
      </w:pPr>
      <w:r>
        <w:rPr>
          <w:rFonts w:ascii="Times New Roman" w:cs="Times New Roman" w:eastAsia="Times New Roman" w:hAnsi="Times New Roman"/>
          <w:sz w:val="22"/>
          <w:szCs w:val="22"/>
          <w:color w:val="auto"/>
        </w:rPr>
        <w:t>Attention: Arthur H. Penn, Chief Executive Officer and Managing Member</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Email: penn@pennantpark.com</w:t>
      </w:r>
    </w:p>
    <w:p>
      <w:pPr>
        <w:spacing w:after="0" w:line="209"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If to the Collateral Manager: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PennantPark Investment Advisers, LLC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1691 Michigan Avenue, Suite 500</w:t>
      </w:r>
    </w:p>
    <w:p>
      <w:pPr>
        <w:ind w:left="1500"/>
        <w:spacing w:after="0" w:line="230" w:lineRule="auto"/>
        <w:rPr>
          <w:sz w:val="20"/>
          <w:szCs w:val="20"/>
          <w:color w:val="auto"/>
        </w:rPr>
      </w:pPr>
      <w:r>
        <w:rPr>
          <w:rFonts w:ascii="Times New Roman" w:cs="Times New Roman" w:eastAsia="Times New Roman" w:hAnsi="Times New Roman"/>
          <w:sz w:val="22"/>
          <w:szCs w:val="22"/>
          <w:color w:val="auto"/>
        </w:rPr>
        <w:t>Miami Beach, Florida 33139</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Attention: Arthur H. Penn, Chief Executive Officer and Managing Member</w:t>
      </w:r>
    </w:p>
    <w:p>
      <w:pPr>
        <w:ind w:left="1500"/>
        <w:spacing w:after="0"/>
        <w:rPr>
          <w:sz w:val="20"/>
          <w:szCs w:val="20"/>
          <w:color w:val="auto"/>
        </w:rPr>
      </w:pPr>
      <w:r>
        <w:rPr>
          <w:rFonts w:ascii="Times New Roman" w:cs="Times New Roman" w:eastAsia="Times New Roman" w:hAnsi="Times New Roman"/>
          <w:sz w:val="22"/>
          <w:szCs w:val="22"/>
          <w:color w:val="auto"/>
        </w:rPr>
        <w:t>Email: penn@pennantpark.com</w:t>
      </w:r>
    </w:p>
    <w:p>
      <w:pPr>
        <w:spacing w:after="0" w:line="209"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If to the Holders: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 their respective addresses set forth in the Register, as applicable.</w:t>
      </w:r>
    </w:p>
    <w:p>
      <w:pPr>
        <w:spacing w:after="0" w:line="206"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 xml:space="preserve">Any party may change the address, facsimile number, or email address to which communications or copies directed to such party are to be sent by giving notice to the other parties of such change of address, telecopy number, or email address in conformity with the provisions of this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for the giving of notice.</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Unless the parties hereto otherwise agree,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any such notice or other communication is not sent or posted during normal business hours, such notice or communication shall be deemed to have been sent at the opening of business on the next Business</w:t>
      </w:r>
    </w:p>
    <w:p>
      <w:pPr>
        <w:spacing w:after="0" w:line="3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5" w:name="page406"/>
    <w:bookmarkEnd w:id="405"/>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Day;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if in any instance the intended recipient declines or opts out of the receipt acknowledgment, then such notice or communication shall be deemed to have been received on the Business Day sent or posted, if sent or posted during normal business hours on such Business Day, or if otherwise, at the opening of business on the next Business Day.</w:t>
      </w:r>
    </w:p>
    <w:p>
      <w:pPr>
        <w:spacing w:after="0" w:line="171" w:lineRule="exact"/>
        <w:rPr>
          <w:sz w:val="20"/>
          <w:szCs w:val="20"/>
          <w:color w:val="auto"/>
        </w:rPr>
      </w:pPr>
    </w:p>
    <w:p>
      <w:pPr>
        <w:ind w:left="440" w:hanging="432"/>
        <w:spacing w:after="0"/>
        <w:tabs>
          <w:tab w:leader="none" w:pos="44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Nature of Agreement; Successors and Assigns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Agreement shall be binding upon and inure to the benefit of the parties hereto and their respective successors and permitted assigns as provided herein.</w:t>
      </w:r>
    </w:p>
    <w:p>
      <w:pPr>
        <w:spacing w:after="0" w:line="158" w:lineRule="exact"/>
        <w:rPr>
          <w:sz w:val="20"/>
          <w:szCs w:val="20"/>
          <w:color w:val="auto"/>
        </w:rPr>
      </w:pPr>
    </w:p>
    <w:p>
      <w:pPr>
        <w:ind w:left="440" w:hanging="432"/>
        <w:spacing w:after="0"/>
        <w:tabs>
          <w:tab w:leader="none" w:pos="440" w:val="left"/>
        </w:tabs>
        <w:numPr>
          <w:ilvl w:val="0"/>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Amendment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1"/>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the Indenture, the Credit Agreements, the Master Loan Sale Agreement, and the Collateral Administration Agreement contain the entire agreement and understanding among the parties hereto with respect to the subject matter hereof, and supersede all prior and contemporaneous agreements, understandings, inducements and conditions, express or implied, oral or written, of any nature whatsoever with respect to the subject matter hereof. The express terms hereof and thereof control and supersede any course of performance and/or usage of the trade inconsistent with any of the terms hereof.</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1"/>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may not be modified or amended other than by an agreement in writing executed by each of the parties hereto. Neither the Issuer nor the Collateral Manager will enter into any agreement amending, modifying or terminating this Agreement without satisfaction of the Global Rating Agency Condition;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Global Rating Agency Condition will be required in connection with any amendment hereto the sole purpose of which is to (i) correct inconsistencies, typographical or other errors, defects or ambiguities, (ii) conform this Agreement to the Final Offering Circular, the Collateral Administration Agreement, the Master Loan Sale Agreement, the Credit Agreements or the Indenture (as they may be amended from time to time) or (iii) comply with any changes in law. The Issuer shall provide the Holders with notice of any amendment of this Agreement.</w:t>
      </w:r>
    </w:p>
    <w:p>
      <w:pPr>
        <w:spacing w:after="0" w:line="178"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THIS AGREEMENT SHALL BE GOVERNED BY THE LAW OF THE STATE OF NEW YORK WITHOUT REFERENCE TO ITS CONFLICTS OF LAWS PROVISIONS (OTHER THAN SECTION 5-1401 OF THE NEW YORK GENERAL OBLIGATIONS LAW),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herein shall be construed in a manner that is inconsistent with the Advisers Act to the extent the Advisers Act is applicable.</w:t>
      </w:r>
    </w:p>
    <w:p>
      <w:pPr>
        <w:spacing w:after="0" w:line="180" w:lineRule="exact"/>
        <w:rPr>
          <w:sz w:val="20"/>
          <w:szCs w:val="20"/>
          <w:color w:val="auto"/>
        </w:rPr>
      </w:pPr>
    </w:p>
    <w:p>
      <w:pPr>
        <w:ind w:left="440" w:hanging="432"/>
        <w:spacing w:after="0"/>
        <w:tabs>
          <w:tab w:leader="none" w:pos="440" w:val="left"/>
        </w:tabs>
        <w:numPr>
          <w:ilvl w:val="0"/>
          <w:numId w:val="4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Each party hereto hereby irrevocably submits to the non-exclusive jurisdiction of any New York State or Federal court sitting in the Borough of Manhattan in The City of New York in any action or proceeding arising out of or relating this Agreement, and hereby irrevocably agrees that all claims in respect of such action or proceeding may be heard and determined in such New York State or Federal court. Each party hereto hereby irrevocably waives, to the fullest extent that it may legally do so, the defense of an inconvenient forum to the maintenance of such action or proceeding. The Collateral Manager irrevocably consents to the service of any and all process in</w:t>
      </w:r>
    </w:p>
    <w:p>
      <w:pPr>
        <w:spacing w:after="0" w:line="3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06" w:name="page407"/>
    <w:bookmarkEnd w:id="406"/>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any action or proceeding by the mailing or delivery of copies of such process to it the address set forth in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The Issuer hereby irrevocably designates and appoints Corporation Service Company as the agent of the Issuer to receive on its behalf service of all process brought against it with respect to any such proceeding in any such court, such service being hereby acknowledged by the Issuer to be effective and binding on it in every respect. If for any reason such agent shall cease to be available to act as such, then the Issuer shall promptly designate a new agent in the City of New York. Each party hereto agrees that a final judgment in any such action or proceeding shall be conclusive and may be enforced in other jurisdictions by suit on the judgment or in any other manner provided by law.</w:t>
      </w:r>
    </w:p>
    <w:p>
      <w:pPr>
        <w:spacing w:after="0" w:line="183" w:lineRule="exact"/>
        <w:rPr>
          <w:sz w:val="20"/>
          <w:szCs w:val="20"/>
          <w:color w:val="auto"/>
        </w:rPr>
      </w:pPr>
    </w:p>
    <w:p>
      <w:pPr>
        <w:ind w:left="440" w:hanging="432"/>
        <w:spacing w:after="0"/>
        <w:tabs>
          <w:tab w:leader="none" w:pos="440" w:val="left"/>
        </w:tabs>
        <w:numPr>
          <w:ilvl w:val="0"/>
          <w:numId w:val="4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EACH PARTY TO THIS AGREEMENT HEREBY WAIVES, TO THE FULLEST EXTENT PERMITTED BY APPLICABLE LAW, ANY RIGHT THAT IT MAY HAVE TO A TRIAL BY JURY IN RESPECT OF ANY PROCEEDING.</w:t>
      </w:r>
    </w:p>
    <w:p>
      <w:pPr>
        <w:spacing w:after="0" w:line="158" w:lineRule="exact"/>
        <w:rPr>
          <w:sz w:val="20"/>
          <w:szCs w:val="20"/>
          <w:color w:val="auto"/>
        </w:rPr>
      </w:pPr>
    </w:p>
    <w:p>
      <w:pPr>
        <w:ind w:left="440" w:hanging="432"/>
        <w:spacing w:after="0"/>
        <w:tabs>
          <w:tab w:leader="none" w:pos="440" w:val="left"/>
        </w:tabs>
        <w:numPr>
          <w:ilvl w:val="0"/>
          <w:numId w:val="4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 with the Indenture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21"/>
          <w:szCs w:val="21"/>
          <w:color w:val="auto"/>
        </w:rPr>
        <w:t>In respect of any conflict between the terms of this Agreement and the Indenture or actions required under the terms of the Indenture and the terms of this Agreement, and such actions are mutually exclusive, the terms of the Indenture shall control.</w:t>
      </w:r>
    </w:p>
    <w:p>
      <w:pPr>
        <w:spacing w:after="0" w:line="135" w:lineRule="exact"/>
        <w:rPr>
          <w:sz w:val="20"/>
          <w:szCs w:val="20"/>
          <w:color w:val="auto"/>
        </w:rPr>
      </w:pPr>
    </w:p>
    <w:p>
      <w:pPr>
        <w:ind w:left="440" w:hanging="432"/>
        <w:spacing w:after="0"/>
        <w:tabs>
          <w:tab w:leader="none" w:pos="440" w:val="left"/>
        </w:tabs>
        <w:numPr>
          <w:ilvl w:val="0"/>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Subordination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Manager agrees that the payment of all amounts to which it is entitled pursuant to this Agreement shall be subordinated to the extent set forth in, and the Collateral Manager agrees to be bound by the provisions of, Article XI of the Indenture as if the Collateral Manager were a party to the Indenture and hereby consents to the assignment of this Agreement as provided in Section 15.1 of the Indenture.</w:t>
      </w:r>
    </w:p>
    <w:p>
      <w:pPr>
        <w:spacing w:after="0" w:line="180"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Indulgences Not Waivers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Neither the failure nor any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w:t>
      </w:r>
    </w:p>
    <w:p>
      <w:pPr>
        <w:spacing w:after="0" w:line="181" w:lineRule="exact"/>
        <w:rPr>
          <w:sz w:val="20"/>
          <w:szCs w:val="20"/>
          <w:color w:val="auto"/>
        </w:rPr>
      </w:pPr>
    </w:p>
    <w:p>
      <w:pPr>
        <w:ind w:left="440" w:hanging="432"/>
        <w:spacing w:after="0"/>
        <w:tabs>
          <w:tab w:leader="none" w:pos="440" w:val="left"/>
        </w:tabs>
        <w:numPr>
          <w:ilvl w:val="0"/>
          <w:numId w:val="4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Except as otherwise agreed to by the parties hereto, the costs and expenses (including the fees and disbursements of counsel and accountants) of the Collateral Manager and of the Issuer incurred in connection with the negotiation and preparation of and the execution of this Agreement and any amendment hereto, and all matters incidental thereto, shall be borne by the Issuer unless paid on the Closing Date or shortly thereafter by PennantPark Floating Rate Capital Ltd. or from the proceeds of the offering and incurrence, as applicable, of the Debt, to the extent permitted</w:t>
      </w:r>
    </w:p>
    <w:p>
      <w:pPr>
        <w:spacing w:after="0" w:line="3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7" w:name="page408"/>
    <w:bookmarkEnd w:id="407"/>
    <w:p>
      <w:pPr>
        <w:jc w:val="both"/>
        <w:spacing w:after="0" w:line="244" w:lineRule="auto"/>
        <w:rPr>
          <w:sz w:val="20"/>
          <w:szCs w:val="20"/>
          <w:color w:val="auto"/>
        </w:rPr>
      </w:pPr>
      <w:r>
        <w:rPr>
          <w:rFonts w:ascii="Times New Roman" w:cs="Times New Roman" w:eastAsia="Times New Roman" w:hAnsi="Times New Roman"/>
          <w:sz w:val="21"/>
          <w:szCs w:val="21"/>
          <w:color w:val="auto"/>
        </w:rPr>
        <w:t>under the Indenture. The Issuer will pay or reimburse the Collateral Manager for expenses including fees and out-of-pocket expenses reasonably incurred by the Collateral Manager in connection with the services provided by the Collateral Manager under this Agreement, the Indenture, the Credit Agreements, the Collateral Administration Agreement or the Master Loan Sale Agreement, including with respect to (a) legal advisers, consultants, rating agencies, accountants, brokers and other professionals retained by the Issuer or the Collateral Manager (on behalf of the Issuer), (b) asset pricing and asset rating services, compliance services and software, and accounting, programming and data entry services directly related to the management of the Assets, (c) all taxes, regulatory and governmental charges (not based on the income of the Collateral Manager), insurance premiums or expenses, (d) any and all costs and expenses incurred in connection with the acquisition or disposition of investments on behalf of the Issuer (whether or not actually consummated) and management thereof, including attorneys’ fees and disbursements, (e) any fees, expenses or other amounts payable to the Rating Agency, (f) expenses and fees relating to any issuance or incurrence, as applicable, of additional Debt, redemption, Refinancing or Re-Pricing, as applicable, by the Issuer, (g) any extraordinary costs and expenses incurred by the Collateral Manager in the performance of its obligations under this Agreement and the Indenture and (h) as otherwise agreed upon by the Issuer and the Collateral Manager. In addition, the Issuer will pay or reimburse the costs and expenses (including fees and disbursements of counsel and accountants) of the Collateral Manager and the Issuer incurred in connection with or incidental to the entering into of this Agreement or any amendment thereof. The fees and expenses payable to the Collateral Manager on any Payment Date are payable in accordance with the Priority of Payments.</w:t>
      </w:r>
    </w:p>
    <w:p>
      <w:pPr>
        <w:spacing w:after="0" w:line="176" w:lineRule="exact"/>
        <w:rPr>
          <w:sz w:val="20"/>
          <w:szCs w:val="20"/>
          <w:color w:val="auto"/>
        </w:rPr>
      </w:pPr>
    </w:p>
    <w:p>
      <w:pPr>
        <w:ind w:left="440" w:hanging="432"/>
        <w:spacing w:after="0"/>
        <w:tabs>
          <w:tab w:leader="none" w:pos="440" w:val="left"/>
        </w:tabs>
        <w:numPr>
          <w:ilvl w:val="0"/>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Beneficiary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parties hereto agree that the Collateral Trustee on behalf of the Secured Parties shall be a third party beneficiary of this Agreement, and shall be entitled to rely upon and enforce such provisions of this Agreement to the same extent as if it were a party hereto.</w:t>
      </w:r>
    </w:p>
    <w:p>
      <w:pPr>
        <w:spacing w:after="0" w:line="173" w:lineRule="exact"/>
        <w:rPr>
          <w:sz w:val="20"/>
          <w:szCs w:val="20"/>
          <w:color w:val="auto"/>
        </w:rPr>
      </w:pPr>
    </w:p>
    <w:p>
      <w:pPr>
        <w:ind w:left="440" w:hanging="432"/>
        <w:spacing w:after="0"/>
        <w:tabs>
          <w:tab w:leader="none" w:pos="440" w:val="left"/>
        </w:tabs>
        <w:numPr>
          <w:ilvl w:val="0"/>
          <w:numId w:val="4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Titles Not to Affect Interpretation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The titles of paragraphs and subparagraphs contained in this Agreement are for convenience only, and they neither form a part of this Agreement nor are they to be used in the construction or interpretation hereof.</w:t>
      </w:r>
    </w:p>
    <w:p>
      <w:pPr>
        <w:spacing w:after="0" w:line="158" w:lineRule="exact"/>
        <w:rPr>
          <w:sz w:val="20"/>
          <w:szCs w:val="20"/>
          <w:color w:val="auto"/>
        </w:rPr>
      </w:pPr>
    </w:p>
    <w:p>
      <w:pPr>
        <w:ind w:left="440" w:hanging="432"/>
        <w:spacing w:after="0"/>
        <w:tabs>
          <w:tab w:leader="none" w:pos="440"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in Counterparts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Agreement may be executed by electronic transmission or .pdf signature and in several counterparts, each of which shall be an original and all of which shall together constitute but one and the same instrument. This Agreement shall become binding when one or more counterparts hereof, individually or taken together, shall bear the signatures of all of the parties reflected hereon as the signatories.</w:t>
      </w:r>
    </w:p>
    <w:p>
      <w:pPr>
        <w:spacing w:after="0" w:line="180" w:lineRule="exact"/>
        <w:rPr>
          <w:sz w:val="20"/>
          <w:szCs w:val="20"/>
          <w:color w:val="auto"/>
        </w:rPr>
      </w:pPr>
    </w:p>
    <w:p>
      <w:pPr>
        <w:ind w:left="440" w:hanging="432"/>
        <w:spacing w:after="0"/>
        <w:tabs>
          <w:tab w:leader="none" w:pos="440" w:val="left"/>
        </w:tabs>
        <w:numPr>
          <w:ilvl w:val="0"/>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Separable; Number and Gender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2"/>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Agreement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335" w:lineRule="exact"/>
        <w:rPr>
          <w:rFonts w:ascii="Times New Roman" w:cs="Times New Roman" w:eastAsia="Times New Roman" w:hAnsi="Times New Roman"/>
          <w:sz w:val="22"/>
          <w:szCs w:val="22"/>
          <w:color w:val="auto"/>
        </w:rPr>
      </w:pPr>
    </w:p>
    <w:p>
      <w:pPr>
        <w:ind w:left="560" w:hanging="120"/>
        <w:spacing w:after="0"/>
        <w:tabs>
          <w:tab w:leader="none" w:pos="560" w:val="left"/>
        </w:tabs>
        <w:numPr>
          <w:ilvl w:val="1"/>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8" w:name="page409"/>
    <w:bookmarkEnd w:id="408"/>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there is no basis for such a construction, such provision shall be ineffective only to the extent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invalidity, illegality or unenforceability and, unless the ineffectiveness of such provision destroys the basis of the bargain for one of the parties to this Agreement, the validity, legality and enforceability of the remaining provisions hereof or thereof shall not in any way be affected or impaired thereby.</w:t>
      </w:r>
    </w:p>
    <w:p>
      <w:pPr>
        <w:spacing w:after="0" w:line="176" w:lineRule="exact"/>
        <w:rPr>
          <w:sz w:val="20"/>
          <w:szCs w:val="20"/>
          <w:color w:val="auto"/>
        </w:rPr>
      </w:pPr>
    </w:p>
    <w:p>
      <w:pPr>
        <w:ind w:firstLine="757"/>
        <w:spacing w:after="0" w:line="258" w:lineRule="auto"/>
        <w:tabs>
          <w:tab w:leader="none" w:pos="1181" w:val="left"/>
        </w:tabs>
        <w:numPr>
          <w:ilvl w:val="0"/>
          <w:numId w:val="4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used herein, regardless of the number and gender specifically used, shall be deemed and construed to include any other number, singular or plural, and any other gender, masculine, feminine or neuter, as the context requires.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 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09" w:name="page410"/>
    <w:bookmarkEnd w:id="409"/>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Collateral Management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PENNANTPARK CLO 11,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as Issuer</w:t>
      </w:r>
    </w:p>
    <w:p>
      <w:pPr>
        <w:spacing w:after="0" w:line="20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By: PennantPark Investment Advisers, LLC, its designated</w:t>
      </w:r>
    </w:p>
    <w:p>
      <w:pPr>
        <w:spacing w:after="0" w:line="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By: /s/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-13970</wp:posOffset>
            </wp:positionV>
            <wp:extent cx="10972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5900"/>
        <w:spacing w:after="0"/>
        <w:tabs>
          <w:tab w:leader="none" w:pos="6740" w:val="left"/>
        </w:tabs>
        <w:rPr>
          <w:sz w:val="20"/>
          <w:szCs w:val="20"/>
          <w:color w:val="auto"/>
        </w:rPr>
      </w:pPr>
      <w:r>
        <w:rPr>
          <w:rFonts w:ascii="Times New Roman" w:cs="Times New Roman" w:eastAsia="Times New Roman" w:hAnsi="Times New Roman"/>
          <w:sz w:val="22"/>
          <w:szCs w:val="22"/>
          <w:color w:val="auto"/>
        </w:rPr>
        <w:t>Name:</w:t>
        <w:tab/>
        <w:t>Jeffrey S. Sion</w:t>
      </w:r>
    </w:p>
    <w:p>
      <w:pPr>
        <w:ind w:left="5900"/>
        <w:spacing w:after="0"/>
        <w:tabs>
          <w:tab w:leader="none" w:pos="67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PennantPark CLO 11</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Collateral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0" w:name="page411"/>
    <w:bookmarkEnd w:id="410"/>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Collateral Management Agreement as of the date first written above.</w:t>
      </w:r>
    </w:p>
    <w:p>
      <w:pPr>
        <w:spacing w:after="0" w:line="15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PENNANTPARK INVESTMENT ADVISERS, LLC</w:t>
      </w:r>
      <w:r>
        <w:rPr>
          <w:rFonts w:ascii="Times New Roman" w:cs="Times New Roman" w:eastAsia="Times New Roman" w:hAnsi="Times New Roman"/>
          <w:sz w:val="22"/>
          <w:szCs w:val="22"/>
          <w:color w:val="auto"/>
        </w:rPr>
        <w:t>, as Collateral</w:t>
      </w:r>
    </w:p>
    <w:p>
      <w:pPr>
        <w:spacing w:after="0" w:line="1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Jeffrey S. Sion</w:t>
      </w:r>
    </w:p>
    <w:p>
      <w:pPr>
        <w:spacing w:after="0" w:line="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Name: Jeffrey S. Sion</w:t>
      </w:r>
    </w:p>
    <w:p>
      <w:pPr>
        <w:ind w:left="51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PennantPark CLO 11</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Collateral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1" w:name="page412"/>
    <w:bookmarkEnd w:id="411"/>
    <w:p>
      <w:pPr>
        <w:jc w:val="right"/>
        <w:spacing w:after="0"/>
        <w:rPr>
          <w:sz w:val="20"/>
          <w:szCs w:val="20"/>
          <w:color w:val="auto"/>
        </w:rPr>
      </w:pPr>
      <w:r>
        <w:rPr>
          <w:rFonts w:ascii="Times New Roman" w:cs="Times New Roman" w:eastAsia="Times New Roman" w:hAnsi="Times New Roman"/>
          <w:sz w:val="18"/>
          <w:szCs w:val="18"/>
          <w:color w:val="auto"/>
        </w:rPr>
        <w:t>Exhibit 99.5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13335</wp:posOffset>
            </wp:positionV>
            <wp:extent cx="713232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b w:val="1"/>
          <w:bCs w:val="1"/>
          <w:color w:val="auto"/>
        </w:rPr>
        <w:t>MASTER LOAN SALE AGREEMENT</w:t>
      </w: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and among</w:t>
      </w:r>
    </w:p>
    <w:p>
      <w:pPr>
        <w:spacing w:after="0" w:line="200" w:lineRule="exact"/>
        <w:rPr>
          <w:sz w:val="20"/>
          <w:szCs w:val="20"/>
          <w:color w:val="auto"/>
        </w:rPr>
      </w:pP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the Seller,</w:t>
      </w:r>
    </w:p>
    <w:p>
      <w:pPr>
        <w:spacing w:after="0" w:line="3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PENNANTPARK CLO 11, LLC,</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the Buyer</w:t>
      </w:r>
    </w:p>
    <w:p>
      <w:pPr>
        <w:spacing w:after="0" w:line="39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18"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1"/>
          <w:szCs w:val="21"/>
          <w:b w:val="1"/>
          <w:bCs w:val="1"/>
          <w:color w:val="auto"/>
        </w:rPr>
        <w:t>PENNANTPARK FLOATING RATE FUNDING I, LLC</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the Financing Subsidiary</w:t>
      </w:r>
    </w:p>
    <w:p>
      <w:pPr>
        <w:spacing w:after="0" w:line="39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Dated as of February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576580</wp:posOffset>
            </wp:positionV>
            <wp:extent cx="71323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1472565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412" w:name="page413"/>
    <w:bookmarkEnd w:id="412"/>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9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662"/>
        </w:trPr>
        <w:tc>
          <w:tcPr>
            <w:tcW w:w="10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ARTICLE I DEFINITIONS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1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Section 1.01</w:t>
            </w:r>
          </w:p>
        </w:tc>
        <w:tc>
          <w:tcPr>
            <w:tcW w:w="8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Definitions.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1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Section 1.02</w:t>
            </w:r>
          </w:p>
        </w:tc>
        <w:tc>
          <w:tcPr>
            <w:tcW w:w="8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Terms.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w:t>
            </w:r>
          </w:p>
        </w:tc>
      </w:tr>
      <w:tr>
        <w:trPr>
          <w:trHeight w:val="351"/>
        </w:trPr>
        <w:tc>
          <w:tcPr>
            <w:tcW w:w="1028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Section 1.03  Computation of Time Periods.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w:t>
            </w:r>
          </w:p>
        </w:tc>
      </w:tr>
      <w:tr>
        <w:trPr>
          <w:trHeight w:val="351"/>
        </w:trPr>
        <w:tc>
          <w:tcPr>
            <w:tcW w:w="1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Section 1.04</w:t>
            </w:r>
          </w:p>
        </w:tc>
        <w:tc>
          <w:tcPr>
            <w:tcW w:w="8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Interpretation.</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w:t>
            </w:r>
          </w:p>
        </w:tc>
      </w:tr>
      <w:tr>
        <w:trPr>
          <w:trHeight w:val="351"/>
        </w:trPr>
        <w:tc>
          <w:tcPr>
            <w:tcW w:w="1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Section 1.05</w:t>
            </w:r>
          </w:p>
        </w:tc>
        <w:tc>
          <w:tcPr>
            <w:tcW w:w="8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References.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w:t>
            </w:r>
          </w:p>
        </w:tc>
      </w:tr>
      <w:tr>
        <w:trPr>
          <w:trHeight w:val="351"/>
        </w:trPr>
        <w:tc>
          <w:tcPr>
            <w:tcW w:w="1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Section 1.06</w:t>
            </w:r>
          </w:p>
        </w:tc>
        <w:tc>
          <w:tcPr>
            <w:tcW w:w="8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Calculations.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w:t>
            </w:r>
          </w:p>
        </w:tc>
      </w:tr>
      <w:tr>
        <w:trPr>
          <w:trHeight w:val="351"/>
        </w:trPr>
        <w:tc>
          <w:tcPr>
            <w:tcW w:w="10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ARTICLE II TRANSFER OF LOAN ASSETS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w:t>
            </w:r>
          </w:p>
        </w:tc>
      </w:tr>
      <w:tr>
        <w:trPr>
          <w:trHeight w:val="351"/>
        </w:trPr>
        <w:tc>
          <w:tcPr>
            <w:tcW w:w="1028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Section 2.01  Sale, Transfer and Assignment.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w:t>
            </w:r>
          </w:p>
        </w:tc>
      </w:tr>
      <w:tr>
        <w:trPr>
          <w:trHeight w:val="351"/>
        </w:trPr>
        <w:tc>
          <w:tcPr>
            <w:tcW w:w="1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Section 2.02</w:t>
            </w:r>
          </w:p>
        </w:tc>
        <w:tc>
          <w:tcPr>
            <w:tcW w:w="8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Purchase Price.</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10</w:t>
            </w:r>
          </w:p>
        </w:tc>
      </w:tr>
      <w:tr>
        <w:trPr>
          <w:trHeight w:val="351"/>
        </w:trPr>
        <w:tc>
          <w:tcPr>
            <w:tcW w:w="1028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Section 2.03  Payment of Purchase Price.</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10</w:t>
            </w:r>
          </w:p>
        </w:tc>
      </w:tr>
      <w:tr>
        <w:trPr>
          <w:trHeight w:val="351"/>
        </w:trPr>
        <w:tc>
          <w:tcPr>
            <w:tcW w:w="1028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Section 2.04  Income Collections on Closing Date Participation Interests.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w:t>
            </w:r>
          </w:p>
        </w:tc>
      </w:tr>
      <w:tr>
        <w:trPr>
          <w:trHeight w:val="351"/>
        </w:trPr>
        <w:tc>
          <w:tcPr>
            <w:tcW w:w="1028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Section 2.05  Elevation of the Closing Date Participation Interests.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12</w:t>
            </w:r>
          </w:p>
        </w:tc>
      </w:tr>
      <w:tr>
        <w:trPr>
          <w:trHeight w:val="351"/>
        </w:trPr>
        <w:tc>
          <w:tcPr>
            <w:tcW w:w="1028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Section 2.06  Limitation on Sales to Seller and Affiliates.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13</w:t>
            </w:r>
          </w:p>
        </w:tc>
      </w:tr>
      <w:tr>
        <w:trPr>
          <w:trHeight w:val="351"/>
        </w:trPr>
        <w:tc>
          <w:tcPr>
            <w:tcW w:w="1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Section 2.07</w:t>
            </w:r>
          </w:p>
        </w:tc>
        <w:tc>
          <w:tcPr>
            <w:tcW w:w="8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Mandatory Repurchases.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14</w:t>
            </w:r>
          </w:p>
        </w:tc>
      </w:tr>
      <w:tr>
        <w:trPr>
          <w:trHeight w:val="351"/>
        </w:trPr>
        <w:tc>
          <w:tcPr>
            <w:tcW w:w="1028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Section 2.08  Optional Substitution of Collateral Obligations.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14</w:t>
            </w:r>
          </w:p>
        </w:tc>
      </w:tr>
      <w:tr>
        <w:trPr>
          <w:trHeight w:val="351"/>
        </w:trPr>
        <w:tc>
          <w:tcPr>
            <w:tcW w:w="10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ARTICLE III CONDITIONS PRECEDENT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15</w:t>
            </w:r>
          </w:p>
        </w:tc>
      </w:tr>
      <w:tr>
        <w:trPr>
          <w:trHeight w:val="351"/>
        </w:trPr>
        <w:tc>
          <w:tcPr>
            <w:tcW w:w="1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Section 3.01</w:t>
            </w:r>
          </w:p>
        </w:tc>
        <w:tc>
          <w:tcPr>
            <w:tcW w:w="8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Conditions Precedent.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15</w:t>
            </w:r>
          </w:p>
        </w:tc>
      </w:tr>
      <w:tr>
        <w:trPr>
          <w:trHeight w:val="351"/>
        </w:trPr>
        <w:tc>
          <w:tcPr>
            <w:tcW w:w="1028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Section 3.02  Conditions Precedent to all Purchases.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16</w:t>
            </w:r>
          </w:p>
        </w:tc>
      </w:tr>
      <w:tr>
        <w:trPr>
          <w:trHeight w:val="351"/>
        </w:trPr>
        <w:tc>
          <w:tcPr>
            <w:tcW w:w="1028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Section 3.03  Release of Excluded Amounts.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16</w:t>
            </w:r>
          </w:p>
        </w:tc>
      </w:tr>
      <w:tr>
        <w:trPr>
          <w:trHeight w:val="351"/>
        </w:trPr>
        <w:tc>
          <w:tcPr>
            <w:tcW w:w="10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ARTICLE IV REPRESENTATIONS AND WARRANTIES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1028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Section 4.01  Representations and Warranties Regarding the Seller.</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1028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Section 4.02  Representations and Warranties of the Seller Relating to the Agreement and the Collateral.</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20</w:t>
            </w:r>
          </w:p>
        </w:tc>
      </w:tr>
      <w:tr>
        <w:trPr>
          <w:trHeight w:val="351"/>
        </w:trPr>
        <w:tc>
          <w:tcPr>
            <w:tcW w:w="1028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Section 4.03  Representations and Warranties Regarding the Buyer.</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21</w:t>
            </w:r>
          </w:p>
        </w:tc>
      </w:tr>
      <w:tr>
        <w:trPr>
          <w:trHeight w:val="351"/>
        </w:trPr>
        <w:tc>
          <w:tcPr>
            <w:tcW w:w="10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ARTICLE V MISCELLANEOUS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22</w:t>
            </w:r>
          </w:p>
        </w:tc>
      </w:tr>
      <w:tr>
        <w:trPr>
          <w:trHeight w:val="351"/>
        </w:trPr>
        <w:tc>
          <w:tcPr>
            <w:tcW w:w="1028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Section 5.01  Amendments and Waivers.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22</w:t>
            </w:r>
          </w:p>
        </w:tc>
      </w:tr>
      <w:tr>
        <w:trPr>
          <w:trHeight w:val="351"/>
        </w:trPr>
        <w:tc>
          <w:tcPr>
            <w:tcW w:w="1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Section 5.02</w:t>
            </w:r>
          </w:p>
        </w:tc>
        <w:tc>
          <w:tcPr>
            <w:tcW w:w="8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Notices, Etc.</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23</w:t>
            </w:r>
          </w:p>
        </w:tc>
      </w:tr>
      <w:tr>
        <w:trPr>
          <w:trHeight w:val="351"/>
        </w:trPr>
        <w:tc>
          <w:tcPr>
            <w:tcW w:w="1028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Section 5.03  Severability of Provisions.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10280" w:type="dxa"/>
            <w:vAlign w:val="bottom"/>
            <w:gridSpan w:val="2"/>
          </w:tcPr>
          <w:p>
            <w:pPr>
              <w:ind w:left="740"/>
              <w:spacing w:after="0"/>
              <w:rPr>
                <w:sz w:val="20"/>
                <w:szCs w:val="20"/>
                <w:color w:val="auto"/>
              </w:rPr>
            </w:pPr>
            <w:r>
              <w:rPr>
                <w:rFonts w:ascii="Times New Roman" w:cs="Times New Roman" w:eastAsia="Times New Roman" w:hAnsi="Times New Roman"/>
                <w:sz w:val="22"/>
                <w:szCs w:val="22"/>
                <w:color w:val="auto"/>
              </w:rPr>
              <w:t>Section 5.04  GOVERNING LAW; JURY WAIVER.</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1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Section 5.05</w:t>
            </w:r>
          </w:p>
        </w:tc>
        <w:tc>
          <w:tcPr>
            <w:tcW w:w="8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Counterparts.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24</w:t>
            </w:r>
          </w:p>
        </w:tc>
      </w:tr>
      <w:tr>
        <w:trPr>
          <w:trHeight w:val="364"/>
        </w:trPr>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-i-</w:t>
            </w:r>
          </w:p>
        </w:tc>
        <w:tc>
          <w:tcPr>
            <w:tcW w:w="8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42"/>
        </w:trPr>
        <w:tc>
          <w:tcPr>
            <w:tcW w:w="192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13" w:name="page414"/>
    <w:bookmarkEnd w:id="413"/>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(continued)</w:t>
      </w:r>
    </w:p>
    <w:tbl>
      <w:tblPr>
        <w:tblLayout w:type="fixed"/>
        <w:tblInd w:w="300" w:type="dxa"/>
        <w:tblCellMar>
          <w:top w:w="0" w:type="dxa"/>
          <w:left w:w="0" w:type="dxa"/>
          <w:bottom w:w="0" w:type="dxa"/>
          <w:right w:w="0" w:type="dxa"/>
        </w:tblCellMar>
      </w:tblPr>
      <w:tr>
        <w:trPr>
          <w:trHeight w:val="286"/>
        </w:trPr>
        <w:tc>
          <w:tcPr>
            <w:tcW w:w="11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633"/>
        </w:trPr>
        <w:tc>
          <w:tcPr>
            <w:tcW w:w="8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5.06  Bankruptcy Non-Petition and Limited Recourse; Claims.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5.07</w:t>
            </w:r>
          </w:p>
        </w:tc>
        <w:tc>
          <w:tcPr>
            <w:tcW w:w="6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Binding Effect; Assignability.</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5.08</w:t>
            </w:r>
          </w:p>
        </w:tc>
        <w:tc>
          <w:tcPr>
            <w:tcW w:w="6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Headings and Exhibits.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5.09</w:t>
            </w:r>
          </w:p>
        </w:tc>
        <w:tc>
          <w:tcPr>
            <w:tcW w:w="6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Waiver; Cumulative Remedies.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5.10</w:t>
            </w:r>
          </w:p>
        </w:tc>
        <w:tc>
          <w:tcPr>
            <w:tcW w:w="6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Merger and Integration.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727075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760" w:top="756" w:right="45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EXHIBITS AND SCHEDULES</w:t>
      </w:r>
    </w:p>
    <w:p>
      <w:pPr>
        <w:spacing w:after="0" w:line="2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 of Assignment (Schedule 2)</w:t>
      </w:r>
    </w:p>
    <w:p>
      <w:pPr>
        <w:spacing w:after="0" w:line="1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Schedule 1</w:t>
      </w:r>
      <w:r>
        <w:rPr>
          <w:sz w:val="20"/>
          <w:szCs w:val="20"/>
          <w:color w:val="auto"/>
        </w:rPr>
        <w:tab/>
      </w:r>
      <w:r>
        <w:rPr>
          <w:rFonts w:ascii="Times New Roman" w:cs="Times New Roman" w:eastAsia="Times New Roman" w:hAnsi="Times New Roman"/>
          <w:sz w:val="21"/>
          <w:szCs w:val="21"/>
          <w:color w:val="auto"/>
        </w:rPr>
        <w:t>Collateral Obligations</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415" w:name="page416"/>
    <w:bookmarkEnd w:id="415"/>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MASTER LOAN SALE AGREEMENT</w:t>
      </w:r>
    </w:p>
    <w:p>
      <w:pPr>
        <w:spacing w:after="0" w:line="20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THIS MASTER LOAN SALE AGREEMENT, </w:t>
      </w:r>
      <w:r>
        <w:rPr>
          <w:rFonts w:ascii="Times New Roman" w:cs="Times New Roman" w:eastAsia="Times New Roman" w:hAnsi="Times New Roman"/>
          <w:sz w:val="21"/>
          <w:szCs w:val="21"/>
          <w:color w:val="auto"/>
        </w:rPr>
        <w:t>dated as of February 20, 2025 (as amended, modified, supplemented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restated from time to time,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among PENNANTPARK FLOATING RATE CAPITAL LTD., a Maryland corporation, (in its capacity as seller hereunder, together with its successors and assigns, the “</w:t>
      </w: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 PENNANTPARK CLO 11, LLC, a Delaware limited liability company (together with its successors and assigns, the “</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 and PENNANTPARK FLOATING RATE FUNDING I, LLC, a Delaware limited liability company (the “</w:t>
      </w:r>
      <w:r>
        <w:rPr>
          <w:rFonts w:ascii="Times New Roman" w:cs="Times New Roman" w:eastAsia="Times New Roman" w:hAnsi="Times New Roman"/>
          <w:sz w:val="21"/>
          <w:szCs w:val="21"/>
          <w:u w:val="single" w:color="auto"/>
          <w:color w:val="auto"/>
        </w:rPr>
        <w:t>Financing Subsidiary</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in the regular course of its business, the Seller originates and/or otherwise acquires Collateral Obligations;</w:t>
      </w:r>
    </w:p>
    <w:p>
      <w:pPr>
        <w:spacing w:after="0" w:line="21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 contemporaneously on the Closing Date, the Seller desires to acquire certain of the Closing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Participation Interests (as defined below) from the Financing Subsidiary, (ii) contemporaneously on the Closing Date, the Buyer desires to acquire from the Seller the Collateral Obligations, as listed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(including the Closing Date Participation Interests) and (iii) from time to time after the Closing Date, the Buyer may acquire from the Seller certain additional Collateral Obligations and Substitute Collateral Obligations hereunder, together with certain related property as more fully described herein and included as part of the “Assets” in the Indenture and Security Agreement, dated as of February 20, 2025 (as amended, modified, restated or supplemented from time to time,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between the Buyer, as issuer, and Western Alliance Trust Company, N.A., as collateral trustee (together with its successors and assigns in such capacity,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it is the Seller’s and the Buyer’s intention that the conveyance of the Collateral Obligations and Substitute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Collateral Obligations under this Agreement is a “true sale” for all purposes, such that, upon payment of the purchase price therefor or the making of a contribution, the Collateral Obligations and Substitute Collateral Obligations will constitute property of the Buyer from and after the applicable transfer date.</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good and valuable consideration, the receipt and sufficiency of which are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acknowledged, the parties hereto, intending to be legally bound, hereby agree as follows: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Capitalized terms used but not defined in this Agreement shall have the meanings attributed to such terms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Indenture, unless the context otherwise requires. As used herein, the following defined terms shall have the following meanings:</w:t>
      </w:r>
    </w:p>
    <w:p>
      <w:pPr>
        <w:spacing w:after="0" w:line="194"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 Originated Collateral Obligations</w:t>
      </w:r>
      <w:r>
        <w:rPr>
          <w:rFonts w:ascii="Times New Roman" w:cs="Times New Roman" w:eastAsia="Times New Roman" w:hAnsi="Times New Roman"/>
          <w:sz w:val="22"/>
          <w:szCs w:val="22"/>
          <w:color w:val="auto"/>
        </w:rPr>
        <w:t>” means any Collateral Obligation with respect to which the Seller, either itself or through related entities (including without limitation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22"/>
          <w:szCs w:val="22"/>
          <w:color w:val="auto"/>
        </w:rPr>
        <w:t>directly or indirectly, was involved in the original agreement which created such Collateral Obligation.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provided in the first paragraph of this Agreement.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means any nation or government, any state or other political subdivision thereof, any agency, authority, instrumentality, regulatory body, public body, administrative tribunal, central bank, public office, court, arbitration or mediation panel, or other entity exercising executive, legislative, judicial, taxing, regulatory or administrative powers or functions of government, including the FINRA,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Officer</w:t>
      </w:r>
      <w:r>
        <w:rPr>
          <w:rFonts w:ascii="Times New Roman" w:cs="Times New Roman" w:eastAsia="Times New Roman" w:hAnsi="Times New Roman"/>
          <w:sz w:val="22"/>
          <w:szCs w:val="22"/>
          <w:color w:val="auto"/>
        </w:rPr>
        <w:t>” means, with respect to the Seller, any Person who is authorized to act for the Seller in matters relating thereto, and binding thereupon, in connection with the transactions contemplated by this Agreement and the other Transaction Documents to which such Person is a party.</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has the meaning provided in the first paragraph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Participation Interest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xml:space="preserve">” has the meaning provided in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Trustee</w:t>
      </w:r>
      <w:r>
        <w:rPr>
          <w:rFonts w:ascii="Times New Roman" w:cs="Times New Roman" w:eastAsia="Times New Roman" w:hAnsi="Times New Roman"/>
          <w:sz w:val="22"/>
          <w:szCs w:val="22"/>
          <w:color w:val="auto"/>
        </w:rPr>
        <w:t>” has the meaning provided in the Preamble to this Agreement.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Elevation</w:t>
      </w:r>
      <w:r>
        <w:rPr>
          <w:rFonts w:ascii="Times New Roman" w:cs="Times New Roman" w:eastAsia="Times New Roman" w:hAnsi="Times New Roman"/>
          <w:sz w:val="22"/>
          <w:szCs w:val="22"/>
          <w:color w:val="auto"/>
        </w:rPr>
        <w:t>” means, with respect to each Closing Date Participation Interest, such Closing Date Participation Interest is elevated to an assignment.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Elevation Date</w:t>
      </w:r>
      <w:r>
        <w:rPr>
          <w:rFonts w:ascii="Times New Roman" w:cs="Times New Roman" w:eastAsia="Times New Roman" w:hAnsi="Times New Roman"/>
          <w:sz w:val="22"/>
          <w:szCs w:val="22"/>
          <w:color w:val="auto"/>
        </w:rPr>
        <w:t>” means, with respect to each Closing Date Participation Interest, the date of its Elevation.</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Amounts</w:t>
      </w:r>
      <w:r>
        <w:rPr>
          <w:rFonts w:ascii="Times New Roman" w:cs="Times New Roman" w:eastAsia="Times New Roman" w:hAnsi="Times New Roman"/>
          <w:sz w:val="22"/>
          <w:szCs w:val="22"/>
          <w:color w:val="auto"/>
        </w:rPr>
        <w:t>” means (a) any amount received by, on or with respect to any Collateral Obligation in the Collateral, which amount is attributable to the payment of any tax, fee or other charge imposed by any Authority on such Collateral Obligation, (b) any amount representing escrows relating to taxes, insurance and other amounts in connection with any Collateral Obligation which is held in an escrow account for the benefit of the related Obligor and the secured party (other than the Seller in its capacity as lender with respect to such Collateral Obligation) pursuant to escrow arrangements, (c) any Retained Fee retained by the Person(s) entitled thereto in connection with the origination of any Collateral Obligation and (d) any Equity Security related to any Collateral Obligation that the Seller determines will not be transferred by the Seller in connection with the sale of any related Collateral Obligation hereunder.</w:t>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Authorizations</w:t>
      </w:r>
      <w:r>
        <w:rPr>
          <w:rFonts w:ascii="Times New Roman" w:cs="Times New Roman" w:eastAsia="Times New Roman" w:hAnsi="Times New Roman"/>
          <w:sz w:val="22"/>
          <w:szCs w:val="22"/>
          <w:color w:val="auto"/>
        </w:rPr>
        <w:t>” means all franchises, permits, licenses, approvals, consents, orders and other authorizations of all Authorities.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7" w:name="page418"/>
    <w:bookmarkEnd w:id="417"/>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Filings</w:t>
      </w:r>
      <w:r>
        <w:rPr>
          <w:rFonts w:ascii="Times New Roman" w:cs="Times New Roman" w:eastAsia="Times New Roman" w:hAnsi="Times New Roman"/>
          <w:sz w:val="22"/>
          <w:szCs w:val="22"/>
          <w:color w:val="auto"/>
        </w:rPr>
        <w:t>” means all filings, including franchise and similar tax filings, and the payment of all fees, assessments, interests and penalties associated with such fillings with all Authorities.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Income Collections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has the meaning provided in the Preamble to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Ineligible Collateral Obligation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grant of a security interest in, mortgage, deed of trust, pledge, hypothecation, assignment, deposit arrangement, encumbrance, lien (statutory or other), preference, priority or other security agreement or preferential arrangement of any kind or nature whatsoever, including, without limitation, any conditional sale or other title retention agreement, and any financing lease having substantially the same economic effect as any of the foregoing (including any UCC financing statement or any similar instrument filed against a Person’s assets or properties).</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List</w:t>
      </w:r>
      <w:r>
        <w:rPr>
          <w:rFonts w:ascii="Times New Roman" w:cs="Times New Roman" w:eastAsia="Times New Roman" w:hAnsi="Times New Roman"/>
          <w:sz w:val="22"/>
          <w:szCs w:val="22"/>
          <w:color w:val="auto"/>
        </w:rPr>
        <w:t xml:space="preserve">” means the list of Collateral Obligations set forth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as such list may be amended, supplemented or modified from time to time in accordance with this Agreement.</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with respect to the Person making the related representation and warranty or agreeing to the related covenant, any event that has, or could reasonably be expected to have, a material adverse effect on (a) the business, assets, financial condition or operations of such Person (b) the ability of such Person to perform its obligations under the Transaction Documents to which it is a party or (c) the rights, interests, remedies or benefits (taken as a whole) available to the Collateral Trustee under the Transaction Documents.</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Purchased Loan Balance</w:t>
      </w:r>
      <w:r>
        <w:rPr>
          <w:rFonts w:ascii="Times New Roman" w:cs="Times New Roman" w:eastAsia="Times New Roman" w:hAnsi="Times New Roman"/>
          <w:sz w:val="22"/>
          <w:szCs w:val="22"/>
          <w:color w:val="auto"/>
        </w:rPr>
        <w:t>” means, as of any date of determination, an amount equal to (a) the sum of (i) the Aggregate Principal Balance of all Collateral Obligations conveyed, directly or indirectly, by the Seller to the Buyer pursuant to this Agreement prior to such date, calculated as of the respective Cut-Off Dates of such Collateral Obligations, and (ii) the Aggregate Principal Balance of all Collateral Obligations acquired by the Buyer other than directly or indirectly from the Seller prior to such date minus (b) the Aggregate Principal Balance of all Collateral Obligations (other than Ineligible Collateral Obligations) repurchased or substituted by the Seller prior to such date.</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in Full</w:t>
      </w:r>
      <w:r>
        <w:rPr>
          <w:rFonts w:ascii="Times New Roman" w:cs="Times New Roman" w:eastAsia="Times New Roman" w:hAnsi="Times New Roman"/>
          <w:sz w:val="22"/>
          <w:szCs w:val="22"/>
          <w:color w:val="auto"/>
        </w:rPr>
        <w:t>” means payment in full of the Secured Debt and of all other obligations then due and payable by the Buyer pursuant to and in accordance with the Indenture.</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in Full Date</w:t>
      </w:r>
      <w:r>
        <w:rPr>
          <w:rFonts w:ascii="Times New Roman" w:cs="Times New Roman" w:eastAsia="Times New Roman" w:hAnsi="Times New Roman"/>
          <w:sz w:val="22"/>
          <w:szCs w:val="22"/>
          <w:color w:val="auto"/>
        </w:rPr>
        <w:t>” means the date on which a Payment in Full occurs or the Indenture is otherwise satisfied and discharged in accordance with its terms.</w:t>
      </w:r>
    </w:p>
    <w:p>
      <w:pPr>
        <w:spacing w:after="0" w:line="15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Liens</w:t>
      </w:r>
      <w:r>
        <w:rPr>
          <w:rFonts w:ascii="Times New Roman" w:cs="Times New Roman" w:eastAsia="Times New Roman" w:hAnsi="Times New Roman"/>
          <w:sz w:val="21"/>
          <w:szCs w:val="21"/>
          <w:color w:val="auto"/>
        </w:rPr>
        <w:t>” means, with respect to the interest of the Seller and the Buyer in the Collateral Obligations, as applicable: (i) security interests, liens and other encumbrances in favor of the Buyer pursuant to this Agreement, (ii) security interests, liens and other encumbrances in favor of the Collateral Trustee created pursuant to the Indenture and/or this Agreement,</w:t>
      </w:r>
    </w:p>
    <w:p>
      <w:pPr>
        <w:spacing w:after="0" w:line="1" w:lineRule="exact"/>
        <w:rPr>
          <w:sz w:val="20"/>
          <w:szCs w:val="20"/>
          <w:color w:val="auto"/>
        </w:rPr>
      </w:pPr>
    </w:p>
    <w:p>
      <w:pPr>
        <w:ind w:left="440" w:right="1920" w:hanging="432"/>
        <w:spacing w:after="0" w:line="453" w:lineRule="auto"/>
        <w:tabs>
          <w:tab w:leader="none" w:pos="386" w:val="left"/>
        </w:tabs>
        <w:numPr>
          <w:ilvl w:val="0"/>
          <w:numId w:val="4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agented Collateral Obligations, security interests, liens and other encumbrances in favor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8" w:name="page419"/>
    <w:bookmarkEnd w:id="418"/>
    <w:p>
      <w:pPr>
        <w:jc w:val="both"/>
        <w:spacing w:after="0" w:line="249" w:lineRule="auto"/>
        <w:rPr>
          <w:sz w:val="20"/>
          <w:szCs w:val="20"/>
          <w:color w:val="auto"/>
        </w:rPr>
      </w:pPr>
      <w:r>
        <w:rPr>
          <w:rFonts w:ascii="Times New Roman" w:cs="Times New Roman" w:eastAsia="Times New Roman" w:hAnsi="Times New Roman"/>
          <w:sz w:val="21"/>
          <w:szCs w:val="21"/>
          <w:color w:val="auto"/>
        </w:rPr>
        <w:t>of the lead agent, the collateral agent or the paying agent on behalf of all holders of indebtedness of such Obligor under the related facility, (iv) with respect to any Equity Security, any security interests, liens and other encumbrances granted on such Equity Security to secure indebtedness of the related Obligor and/or any security interests, liens and other rights or encumbrances granted under any governing documents or other agreement between or among or binding upon the Buyer as the holder of equity in such Obligor and (v) security interests, liens and other encumbrances, if any, which have priority over first priority perfected security interests in the Collateral Obligations or any portion thereof under the UCC or any other applicable law.</w:t>
      </w:r>
    </w:p>
    <w:p>
      <w:pPr>
        <w:spacing w:after="0" w:line="1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w:t>
      </w:r>
      <w:r>
        <w:rPr>
          <w:rFonts w:ascii="Times New Roman" w:cs="Times New Roman" w:eastAsia="Times New Roman" w:hAnsi="Times New Roman"/>
          <w:sz w:val="22"/>
          <w:szCs w:val="22"/>
          <w:color w:val="auto"/>
        </w:rPr>
        <w:t xml:space="preserve">” means, as applicable, (i) a purchase or other acquisition of Collateral by the Buyer from the Seller or (ii) a purchase or other acquisition of Collateral by the Buyer from or as directed or referred by the Seller, in each case under clause (i) or clause (ii)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as applicable.</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Date</w:t>
      </w:r>
      <w:r>
        <w:rPr>
          <w:rFonts w:ascii="Times New Roman" w:cs="Times New Roman" w:eastAsia="Times New Roman" w:hAnsi="Times New Roman"/>
          <w:sz w:val="22"/>
          <w:szCs w:val="22"/>
          <w:color w:val="auto"/>
        </w:rPr>
        <w:t>” means (i) the Closing Date with respect to any Collateral Obligation acquired by the Buyer from the Seller pursuant to the terms of this Agreement and (ii) the Closing Date or any day thereafter on which any Collateral Obligation is acquired by the Buyer from the Seller pursuant to the terms of this Agreement and including, for the avoidance of doubt, any date on which any Collateral Obligation is acquired by the Buyer in a secondary market transaction entered into by the Buyer as provided herein.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has the meaning provided in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Contracts</w:t>
      </w:r>
      <w:r>
        <w:rPr>
          <w:rFonts w:ascii="Times New Roman" w:cs="Times New Roman" w:eastAsia="Times New Roman" w:hAnsi="Times New Roman"/>
          <w:sz w:val="22"/>
          <w:szCs w:val="22"/>
          <w:color w:val="auto"/>
        </w:rPr>
        <w:t>” means all credit agreements, indentures, notes, security agreements, leases, financing statements, guaranties, and other contracts, agreements, instruments and other papers evidencing, securing, guaranteeing or otherwise relating to any Collateral Obligation or Eligible Investment or other investment with respect to any Collateral or proceeds thereof (including the related Underlying Documents), together with all of the Seller’s right, title and interest in, to and under all property or assets securing or otherwise relating to any Collateral Obligation or Eligible Investment or other investment with respect to any Collateral or proceeds thereof or of any Related Contract.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Repurchase and Substitution Limit</w:t>
      </w:r>
      <w:r>
        <w:rPr>
          <w:rFonts w:ascii="Times New Roman" w:cs="Times New Roman" w:eastAsia="Times New Roman" w:hAnsi="Times New Roman"/>
          <w:sz w:val="22"/>
          <w:szCs w:val="22"/>
          <w:color w:val="auto"/>
        </w:rPr>
        <w:t xml:space="preserve">” has the meaning provided in </w:t>
      </w:r>
      <w:r>
        <w:rPr>
          <w:rFonts w:ascii="Times New Roman" w:cs="Times New Roman" w:eastAsia="Times New Roman" w:hAnsi="Times New Roman"/>
          <w:sz w:val="22"/>
          <w:szCs w:val="22"/>
          <w:u w:val="single" w:color="auto"/>
          <w:color w:val="auto"/>
        </w:rPr>
        <w:t>Section 2.06(a)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Fee</w:t>
      </w:r>
      <w:r>
        <w:rPr>
          <w:rFonts w:ascii="Times New Roman" w:cs="Times New Roman" w:eastAsia="Times New Roman" w:hAnsi="Times New Roman"/>
          <w:sz w:val="22"/>
          <w:szCs w:val="22"/>
          <w:color w:val="auto"/>
        </w:rPr>
        <w:t>” means any reasonable origination, structuring or similar closing fee charged by the Person originating a loan on behalf of its lenders for services it has performed in connection with such origination, which is not customarily made available to the lenders as part of their return with respect to such loan, and provided such Person is entitled to retain the same in accordance with applicable law.</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has the meaning provided in the first paragraph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Substitution Period</w:t>
      </w:r>
      <w:r>
        <w:rPr>
          <w:rFonts w:ascii="Times New Roman" w:cs="Times New Roman" w:eastAsia="Times New Roman" w:hAnsi="Times New Roman"/>
          <w:sz w:val="22"/>
          <w:szCs w:val="22"/>
          <w:color w:val="auto"/>
        </w:rPr>
        <w:t xml:space="preserve">” has the meaning provided in </w:t>
      </w:r>
      <w:r>
        <w:rPr>
          <w:rFonts w:ascii="Times New Roman" w:cs="Times New Roman" w:eastAsia="Times New Roman" w:hAnsi="Times New Roman"/>
          <w:sz w:val="22"/>
          <w:szCs w:val="22"/>
          <w:u w:val="single" w:color="auto"/>
          <w:color w:val="auto"/>
        </w:rPr>
        <w:t>Section 2.08(b)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Deposit Amount</w:t>
      </w:r>
      <w:r>
        <w:rPr>
          <w:rFonts w:ascii="Times New Roman" w:cs="Times New Roman" w:eastAsia="Times New Roman" w:hAnsi="Times New Roman"/>
          <w:sz w:val="22"/>
          <w:szCs w:val="22"/>
          <w:color w:val="auto"/>
        </w:rPr>
        <w:t>” means, on any date of determination with respect to any Collateral Obligation, an amount equal to the sum of the outstanding Principal Balance of such Collateral Obligation, together with accrued interest thereon through such date of determination (but in no event less than the fair market value thereof).</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9" w:name="page420"/>
    <w:bookmarkEnd w:id="419"/>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1.02</w:t>
      </w:r>
      <w:r>
        <w:rPr>
          <w:sz w:val="20"/>
          <w:szCs w:val="20"/>
          <w:color w:val="auto"/>
        </w:rPr>
        <w:tab/>
      </w:r>
      <w:r>
        <w:rPr>
          <w:rFonts w:ascii="Times New Roman" w:cs="Times New Roman" w:eastAsia="Times New Roman" w:hAnsi="Times New Roman"/>
          <w:sz w:val="21"/>
          <w:szCs w:val="21"/>
          <w:b w:val="1"/>
          <w:bCs w:val="1"/>
          <w:u w:val="single" w:color="auto"/>
          <w:color w:val="auto"/>
        </w:rPr>
        <w:t>Other Terms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All accounting terms used but not specifically defined herein shall be construed in accordance with generally accepted accounting principles in the United States. The symbol “$” shall mean the lawful currency of the United States of America. All terms used in Article 9 of the UCC in the State of New York, and not specifically defined herein, are used herein as defined in such Article 9.</w:t>
      </w:r>
    </w:p>
    <w:p>
      <w:pPr>
        <w:spacing w:after="0" w:line="17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1.03</w:t>
      </w:r>
      <w:r>
        <w:rPr>
          <w:sz w:val="20"/>
          <w:szCs w:val="20"/>
          <w:color w:val="auto"/>
        </w:rPr>
        <w:tab/>
      </w:r>
      <w:r>
        <w:rPr>
          <w:rFonts w:ascii="Times New Roman" w:cs="Times New Roman" w:eastAsia="Times New Roman" w:hAnsi="Times New Roman"/>
          <w:sz w:val="21"/>
          <w:szCs w:val="21"/>
          <w:b w:val="1"/>
          <w:bCs w:val="1"/>
          <w:u w:val="single" w:color="auto"/>
          <w:color w:val="auto"/>
        </w:rPr>
        <w:t>Computation of Time Periods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Unless otherwise stated in this Agreement, in the computation of a period of time from a specified date to a later specified date, the word “from” means “from and including,” the words “to” and “until” each mean “to but excluding”.</w:t>
      </w:r>
    </w:p>
    <w:p>
      <w:pPr>
        <w:spacing w:after="0" w:line="15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1.04</w:t>
      </w:r>
      <w:r>
        <w:rPr>
          <w:sz w:val="20"/>
          <w:szCs w:val="20"/>
          <w:color w:val="auto"/>
        </w:rPr>
        <w:tab/>
      </w:r>
      <w:r>
        <w:rPr>
          <w:rFonts w:ascii="Times New Roman" w:cs="Times New Roman" w:eastAsia="Times New Roman" w:hAnsi="Times New Roman"/>
          <w:sz w:val="21"/>
          <w:szCs w:val="21"/>
          <w:b w:val="1"/>
          <w:bCs w:val="1"/>
          <w:u w:val="single" w:color="auto"/>
          <w:color w:val="auto"/>
        </w:rPr>
        <w:t>Interpretation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this Agreement, unless a contrary intention appears:</w:t>
      </w:r>
    </w:p>
    <w:p>
      <w:pPr>
        <w:spacing w:after="0" w:line="202" w:lineRule="exact"/>
        <w:rPr>
          <w:sz w:val="20"/>
          <w:szCs w:val="20"/>
          <w:color w:val="auto"/>
        </w:rPr>
      </w:pPr>
    </w:p>
    <w:p>
      <w:pPr>
        <w:ind w:left="1180" w:hanging="423"/>
        <w:spacing w:after="0"/>
        <w:tabs>
          <w:tab w:leader="none" w:pos="1180"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singular number includes the plural number and </w:t>
      </w:r>
      <w:r>
        <w:rPr>
          <w:rFonts w:ascii="Times New Roman" w:cs="Times New Roman" w:eastAsia="Times New Roman" w:hAnsi="Times New Roman"/>
          <w:sz w:val="22"/>
          <w:szCs w:val="22"/>
          <w:i w:val="1"/>
          <w:iCs w:val="1"/>
          <w:color w:val="auto"/>
        </w:rPr>
        <w:t>vice versa</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any Person includes such Person’s successors and assigns but, if applicable, only if such successors and assigns are permitted by the Transaction Documents;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“including” means “including, without limitation”;</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day or days without further qualification means calendar days;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stated, reference to any time means New York, New York time;</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“writing” include printing, typing, lithography, electronic or other means of reproducing words in a</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visible form;</w:t>
      </w:r>
    </w:p>
    <w:p>
      <w:pPr>
        <w:spacing w:after="0" w:line="182" w:lineRule="exact"/>
        <w:rPr>
          <w:rFonts w:ascii="Times New Roman" w:cs="Times New Roman" w:eastAsia="Times New Roman" w:hAnsi="Times New Roman"/>
          <w:sz w:val="22"/>
          <w:szCs w:val="22"/>
          <w:color w:val="auto"/>
        </w:rPr>
      </w:pPr>
    </w:p>
    <w:p>
      <w:pPr>
        <w:jc w:val="both"/>
        <w:ind w:firstLine="757"/>
        <w:spacing w:after="0" w:line="255" w:lineRule="auto"/>
        <w:tabs>
          <w:tab w:leader="none" w:pos="1181" w:val="left"/>
        </w:tabs>
        <w:numPr>
          <w:ilvl w:val="0"/>
          <w:numId w:val="4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 to any agreement (including any Transaction Document), document or instrument means such agreement, document or instrument as amended, modified, supplemented, replaced, restated, waived or extended and in effect from time to time in accordance with the terms thereof and, if applicable, the terms of the other Transaction Documents, and reference to any promissory note includes any promissory note that is an extension or renewal thereof or a substitute or replacement therefore;</w:t>
      </w:r>
    </w:p>
    <w:p>
      <w:pPr>
        <w:spacing w:after="0" w:line="161" w:lineRule="exact"/>
        <w:rPr>
          <w:rFonts w:ascii="Times New Roman" w:cs="Times New Roman" w:eastAsia="Times New Roman" w:hAnsi="Times New Roman"/>
          <w:sz w:val="21"/>
          <w:szCs w:val="21"/>
          <w:color w:val="auto"/>
        </w:rPr>
      </w:pPr>
    </w:p>
    <w:p>
      <w:pPr>
        <w:jc w:val="both"/>
        <w:ind w:firstLine="757"/>
        <w:spacing w:after="0" w:line="238" w:lineRule="auto"/>
        <w:tabs>
          <w:tab w:leader="none" w:pos="1181"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any applicable law means such applicable law as amended, modified, codified, replaced or reenacted, in whole or in part, and in effect from time to time, including rules and regulations promulgated thereunder and reference to any Section or other provision of any applicable law means that provision of such applicable law from time to time in effect and constituting the substantive amendment, modification, codification, replacement or reenactment of such Section or other provision; and</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any gender includes each other gender.</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20" w:name="page421"/>
    <w:bookmarkEnd w:id="420"/>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1.05</w:t>
      </w:r>
      <w:r>
        <w:rPr>
          <w:sz w:val="20"/>
          <w:szCs w:val="20"/>
          <w:color w:val="auto"/>
        </w:rPr>
        <w:tab/>
      </w:r>
      <w:r>
        <w:rPr>
          <w:rFonts w:ascii="Times New Roman" w:cs="Times New Roman" w:eastAsia="Times New Roman" w:hAnsi="Times New Roman"/>
          <w:sz w:val="21"/>
          <w:szCs w:val="21"/>
          <w:b w:val="1"/>
          <w:bCs w:val="1"/>
          <w:u w:val="single" w:color="auto"/>
          <w:color w:val="auto"/>
        </w:rPr>
        <w:t>References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All section references (including references to the preamble), unless otherwise indicated, shall be to Sections (and the preamble) in this Agreement.</w:t>
      </w:r>
    </w:p>
    <w:p>
      <w:pPr>
        <w:spacing w:after="0" w:line="15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1.06</w:t>
      </w:r>
      <w:r>
        <w:rPr>
          <w:sz w:val="20"/>
          <w:szCs w:val="20"/>
          <w:color w:val="auto"/>
        </w:rPr>
        <w:tab/>
      </w:r>
      <w:r>
        <w:rPr>
          <w:rFonts w:ascii="Times New Roman" w:cs="Times New Roman" w:eastAsia="Times New Roman" w:hAnsi="Times New Roman"/>
          <w:sz w:val="21"/>
          <w:szCs w:val="21"/>
          <w:b w:val="1"/>
          <w:bCs w:val="1"/>
          <w:u w:val="single" w:color="auto"/>
          <w:color w:val="auto"/>
        </w:rPr>
        <w:t>Calculations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Except as otherwise provided herein, all interest rate and basis point calculations hereunder will be made on the basis of a 360-day year and the actual days elapsed in the relevant period and will be carried out to at least three decimal places.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TRANSFER OF LOAN ASSETS</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2.01</w:t>
      </w:r>
      <w:r>
        <w:rPr>
          <w:sz w:val="20"/>
          <w:szCs w:val="20"/>
          <w:color w:val="auto"/>
        </w:rPr>
        <w:tab/>
      </w:r>
      <w:r>
        <w:rPr>
          <w:rFonts w:ascii="Times New Roman" w:cs="Times New Roman" w:eastAsia="Times New Roman" w:hAnsi="Times New Roman"/>
          <w:sz w:val="21"/>
          <w:szCs w:val="21"/>
          <w:b w:val="1"/>
          <w:bCs w:val="1"/>
          <w:u w:val="single" w:color="auto"/>
          <w:color w:val="auto"/>
        </w:rPr>
        <w:t>Sale, Transfer and Assignment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57"/>
        <w:spacing w:after="0" w:line="233" w:lineRule="auto"/>
        <w:tabs>
          <w:tab w:leader="none" w:pos="1181" w:val="left"/>
        </w:tabs>
        <w:numPr>
          <w:ilvl w:val="0"/>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from the Seller to the Buyer on the Closing Date</w:t>
      </w:r>
      <w:r>
        <w:rPr>
          <w:rFonts w:ascii="Times New Roman" w:cs="Times New Roman" w:eastAsia="Times New Roman" w:hAnsi="Times New Roman"/>
          <w:sz w:val="22"/>
          <w:szCs w:val="22"/>
          <w:color w:val="auto"/>
        </w:rPr>
        <w:t xml:space="preserve">. Subject to and upon the terms and conditions set forth in this Agreement (including the conditions to purchase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on the Closing Date (or, in the case of each Closing Date Participation Interest, the Elevation Date), the Seller hereby sells, transfers, assigns, sets over and otherwise conveys to the Buyer and the Buyer hereby purchases and takes from the Seller all right, title and interest (whether now owned or hereafter acquired or arising and wherever located) of the Seller (including all obligations of the Seller as lender to fund any Revolving Collateral Obligation or Delayed Drawdown Collateral Obligation conveyed by the Seller to the Buyer hereunder which obligations the Buyer hereby assumes) in the property identified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and all accounts, cash and currency, chattel paper, tangible chattel paper, electronic chattel paper, copyrights, copyright licenses, equipment, fixtures, general intangibles, instruments, commercial tort claims, deposit accounts, inventory, investment property, letter-of-credit rights, accessions, proceeds and other property consisting of, arising out of, or related to any of the following (in each case excluding the Excluded Amounts) (collectively, together with any of the following relating to any Collateral Obligation conveyed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below,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Obligations (including the Closing Date Participation Interests and any Income Collections thereon) listed on the Loan List delivered on the Closing Date by the Seller to the Buyer (as set forth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and all monies due, to become due or paid in respect of such Collateral Obligations on and after the related Purchase Date, including but not limited to all collections on such Collateral Obligations and other recoveries thereon, in each case as they arise after the related Purchase Date;</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Liens with respect to the Collateral Obligations referred to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Related Contracts with respect to the Collateral Obligations referred to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collateral security granted under any Related Contracts; and</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21" w:name="page422"/>
    <w:bookmarkEnd w:id="421"/>
    <w:p>
      <w:pPr>
        <w:ind w:left="1940" w:hanging="435"/>
        <w:spacing w:after="0"/>
        <w:tabs>
          <w:tab w:leader="none" w:pos="1940" w:val="left"/>
        </w:tabs>
        <w:numPr>
          <w:ilvl w:val="1"/>
          <w:numId w:val="4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income and proceeds of the foregoing.</w:t>
      </w:r>
    </w:p>
    <w:p>
      <w:pPr>
        <w:spacing w:after="0" w:line="206" w:lineRule="exact"/>
        <w:rPr>
          <w:rFonts w:ascii="Times New Roman" w:cs="Times New Roman" w:eastAsia="Times New Roman" w:hAnsi="Times New Roman"/>
          <w:sz w:val="22"/>
          <w:szCs w:val="22"/>
          <w:color w:val="auto"/>
        </w:rPr>
      </w:pPr>
    </w:p>
    <w:p>
      <w:pPr>
        <w:jc w:val="both"/>
        <w:ind w:firstLine="757"/>
        <w:spacing w:after="0" w:line="243" w:lineRule="auto"/>
        <w:tabs>
          <w:tab w:leader="none" w:pos="1181" w:val="left"/>
        </w:tabs>
        <w:numPr>
          <w:ilvl w:val="0"/>
          <w:numId w:val="4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Closing Date Participation Interests</w:t>
      </w:r>
      <w:r>
        <w:rPr>
          <w:rFonts w:ascii="Times New Roman" w:cs="Times New Roman" w:eastAsia="Times New Roman" w:hAnsi="Times New Roman"/>
          <w:sz w:val="21"/>
          <w:szCs w:val="21"/>
          <w:color w:val="auto"/>
        </w:rPr>
        <w:t xml:space="preserve">. It is understood and agreed by the parties hereto that certain of the Collateral Obligations being transferred hereunder from the Seller to the Buyer are not expected to settle on the Closing Date. Therefore, in order to grant the economic benefits associated with such Collateral Obligations to the Buyer on the Closing Date, (i) the Seller agrees to sell, transfer, assign, set over and otherwise convey to the Buyer, without recourse except to the extent specifically provided herein, and the Buyer agrees to purchase from the Seller, a 100% undivided participation interest in the Seller’s (and, with respect to the Collateral Obligations held by the Financing Subsidiary on the Closing Date, the Financing Subsidiary’s) interests in each Collateral Obligation listed on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and identified as a “participation” (each such Collateral Obligation, a “</w:t>
      </w:r>
      <w:r>
        <w:rPr>
          <w:rFonts w:ascii="Times New Roman" w:cs="Times New Roman" w:eastAsia="Times New Roman" w:hAnsi="Times New Roman"/>
          <w:sz w:val="21"/>
          <w:szCs w:val="21"/>
          <w:u w:val="single" w:color="auto"/>
          <w:color w:val="auto"/>
        </w:rPr>
        <w:t>Closing Date Participation Interest</w:t>
      </w:r>
      <w:r>
        <w:rPr>
          <w:rFonts w:ascii="Times New Roman" w:cs="Times New Roman" w:eastAsia="Times New Roman" w:hAnsi="Times New Roman"/>
          <w:sz w:val="21"/>
          <w:szCs w:val="21"/>
          <w:color w:val="auto"/>
        </w:rPr>
        <w:t xml:space="preserve">”), which interest shall be understood to include all the Seller’s (and, with respect to the Collateral Obligations held by the Financing Subsidiary on the Closing Date, the Financing Subsidiary’s) right, title, benefit and interest in and to any interest accruing from and after the Closing Date, any payments, proceeds or other period distributions to the extent provided in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Income Collections</w:t>
      </w:r>
      <w:r>
        <w:rPr>
          <w:rFonts w:ascii="Times New Roman" w:cs="Times New Roman" w:eastAsia="Times New Roman" w:hAnsi="Times New Roman"/>
          <w:sz w:val="21"/>
          <w:szCs w:val="21"/>
          <w:color w:val="auto"/>
        </w:rPr>
        <w:t>”), the legal title to which is held by the Seller (or, with respect to the Collateral Obligations held by the Financing Subsidiary on the Closing Date, the Financing Subsidiary), and (ii) the Buyer hereby acquires the Closing Date Participation Interests and assumes and agrees to perform and comply with all assumed obligations of the Seller with respect thereto. The parties hereby agree to treat the transfer of the Closing Date Participation Interests by the Seller to the Buyer as a sale and purchase on all of their respective relevant books and records. For administrative convenience, the Closing Date Participation Interests held by the Financing Subsidiary on the Closing Date will be transferred directly from the Financing Subsidiary to the Buyer, but such Closing Date Participations shall be deemed to have been distributed (through an intermediate entity) by the Financing Subsidiary to the Seller and sold by the Seller to the Buyer hereunder.</w:t>
      </w:r>
    </w:p>
    <w:p>
      <w:pPr>
        <w:spacing w:after="0" w:line="188" w:lineRule="exact"/>
        <w:rPr>
          <w:rFonts w:ascii="Times New Roman" w:cs="Times New Roman" w:eastAsia="Times New Roman" w:hAnsi="Times New Roman"/>
          <w:sz w:val="21"/>
          <w:szCs w:val="21"/>
          <w:color w:val="auto"/>
        </w:rPr>
      </w:pPr>
    </w:p>
    <w:p>
      <w:pPr>
        <w:jc w:val="both"/>
        <w:ind w:firstLine="757"/>
        <w:spacing w:after="0" w:line="235" w:lineRule="auto"/>
        <w:tabs>
          <w:tab w:leader="none" w:pos="1181" w:val="left"/>
        </w:tabs>
        <w:numPr>
          <w:ilvl w:val="0"/>
          <w:numId w:val="4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from the Seller to the Buyer on each Purchase Date after the Closing Date</w:t>
      </w:r>
      <w:r>
        <w:rPr>
          <w:rFonts w:ascii="Times New Roman" w:cs="Times New Roman" w:eastAsia="Times New Roman" w:hAnsi="Times New Roman"/>
          <w:sz w:val="22"/>
          <w:szCs w:val="22"/>
          <w:color w:val="auto"/>
        </w:rPr>
        <w:t xml:space="preserve">. Subject to and upon the terms and conditions set forth in this Agreement (including the conditions to purchase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on each Purchase Date occurring after the Closing Date, with respect to the items of Collateral conveyed on such Purchase Date by the Seller to the Buyer hereunder, the Seller hereby sells, transfers, assigns, sets over and otherwise conveys to the Buyer, and the Buyer hereby purchases and takes from the Seller all right, title and interest (whether now owned or hereafter acquired or arising and wherever located) of the Seller (including all obligations of the Seller as lender to fund any Revolving Collateral Obligation or Delayed Drawdown Collateral Obligation conveyed by the Seller to the Buyer hereunder which obligations the Buyer hereby assumes) in such Collateral.</w:t>
      </w:r>
    </w:p>
    <w:p>
      <w:pPr>
        <w:spacing w:after="0" w:line="17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each Purchase Date, the Collateral listed on the relevant Loan List shall be deemed to be Collateral</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hereunder.</w:t>
      </w:r>
    </w:p>
    <w:p>
      <w:pPr>
        <w:spacing w:after="0" w:line="182" w:lineRule="exact"/>
        <w:rPr>
          <w:rFonts w:ascii="Times New Roman" w:cs="Times New Roman" w:eastAsia="Times New Roman" w:hAnsi="Times New Roman"/>
          <w:sz w:val="21"/>
          <w:szCs w:val="21"/>
          <w:color w:val="auto"/>
        </w:rPr>
      </w:pPr>
    </w:p>
    <w:p>
      <w:pPr>
        <w:jc w:val="both"/>
        <w:ind w:right="20" w:firstLine="757"/>
        <w:spacing w:after="0" w:line="239" w:lineRule="auto"/>
        <w:tabs>
          <w:tab w:leader="none" w:pos="1181" w:val="left"/>
        </w:tabs>
        <w:numPr>
          <w:ilvl w:val="0"/>
          <w:numId w:val="4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any Purchase Date with respect to the Collateral to be acquired by the Buyer on that date, the Seller shall be deemed to, and hereby does, certify to the Buyer and to the Collateral Trustee, on behalf of the Secured Parties, as of such Purchase Date, that each of the representations and warranties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is true and correct in all material respects as of such Purchase Date.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2" w:name="page423"/>
    <w:bookmarkEnd w:id="422"/>
    <w:p>
      <w:pPr>
        <w:jc w:val="both"/>
        <w:ind w:left="-440" w:firstLine="757"/>
        <w:spacing w:after="0" w:line="239" w:lineRule="auto"/>
        <w:tabs>
          <w:tab w:leader="none" w:pos="741" w:val="left"/>
        </w:tabs>
        <w:numPr>
          <w:ilvl w:val="0"/>
          <w:numId w:val="4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provided in this Agreement, the sale and purchase of Collateral under this Agreement shall be without recourse to the Seller; it being understood that the Seller shall be liable to the Buyer for all representations and warranties made by the Seller pursuant to the terms of this Agreement, all of which obligations are limited so as not to constitute recourse to the Seller for the credit risk of the Obligors.</w:t>
      </w:r>
    </w:p>
    <w:p>
      <w:pPr>
        <w:spacing w:after="0" w:line="180" w:lineRule="exact"/>
        <w:rPr>
          <w:rFonts w:ascii="Times New Roman" w:cs="Times New Roman" w:eastAsia="Times New Roman" w:hAnsi="Times New Roman"/>
          <w:sz w:val="22"/>
          <w:szCs w:val="22"/>
          <w:color w:val="auto"/>
        </w:rPr>
      </w:pPr>
    </w:p>
    <w:p>
      <w:pPr>
        <w:jc w:val="both"/>
        <w:ind w:left="-440" w:firstLine="757"/>
        <w:spacing w:after="0" w:line="238" w:lineRule="auto"/>
        <w:tabs>
          <w:tab w:leader="none" w:pos="741" w:val="left"/>
        </w:tabs>
        <w:numPr>
          <w:ilvl w:val="0"/>
          <w:numId w:val="4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each Purchase of Collateral from the Seller to the Buyer on and after the Closing Date as contemplated by this Agreement, the Buyer hereby directs the Seller to, and the Seller agrees that it will, Deliver in accordance with the Indenture, or cause to be Delivered in accordance with the Indenture (on behalf of the Buyer), to the Custodian or the Collateral Trustee, as applicable, each Collateral Obligation being transferred to the Buyer on such Purchase Date in accordance with the applicable provisions of the Indenture.</w:t>
      </w:r>
    </w:p>
    <w:p>
      <w:pPr>
        <w:spacing w:after="0" w:line="176" w:lineRule="exact"/>
        <w:rPr>
          <w:rFonts w:ascii="Times New Roman" w:cs="Times New Roman" w:eastAsia="Times New Roman" w:hAnsi="Times New Roman"/>
          <w:sz w:val="22"/>
          <w:szCs w:val="22"/>
          <w:color w:val="auto"/>
        </w:rPr>
      </w:pPr>
    </w:p>
    <w:p>
      <w:pPr>
        <w:jc w:val="both"/>
        <w:ind w:left="-440" w:firstLine="757"/>
        <w:spacing w:after="0" w:line="244" w:lineRule="auto"/>
        <w:tabs>
          <w:tab w:leader="none" w:pos="741" w:val="left"/>
        </w:tabs>
        <w:numPr>
          <w:ilvl w:val="0"/>
          <w:numId w:val="4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take such action requested by the Buyer, from time-to-time hereafter, that may be necessary or appropriate to ensure that the Buyer has an enforceable ownership interest and its assigns under the Indenture have an enforceable and perfected security interest in the Collateral purchased by the Buyer as contemplated by this Agreement.</w:t>
      </w:r>
    </w:p>
    <w:p>
      <w:pPr>
        <w:spacing w:after="0" w:line="173" w:lineRule="exact"/>
        <w:rPr>
          <w:rFonts w:ascii="Times New Roman" w:cs="Times New Roman" w:eastAsia="Times New Roman" w:hAnsi="Times New Roman"/>
          <w:sz w:val="22"/>
          <w:szCs w:val="22"/>
          <w:color w:val="auto"/>
        </w:rPr>
      </w:pPr>
    </w:p>
    <w:p>
      <w:pPr>
        <w:jc w:val="both"/>
        <w:ind w:left="-440" w:firstLine="757"/>
        <w:spacing w:after="0" w:line="234" w:lineRule="auto"/>
        <w:tabs>
          <w:tab w:leader="none" w:pos="741" w:val="left"/>
        </w:tabs>
        <w:numPr>
          <w:ilvl w:val="0"/>
          <w:numId w:val="4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the Purchase by the Buyer of the Collateral as contemplated by this Agreement, (i) with respect to the Collateral Purchased on the Closing Date in accordance with this Agreement, the Seller agrees that it will, at its own expense, indicate clearly and unambiguously in its computer files on and after the Closing Date that such Collateral has been purchased by the Buyer and (ii) with respect to the Collateral purchased on and after the Closing Date from the Seller to the Buyer in accordance with this Agreement, the Seller agrees that it will, at its own expense, indicate clearly and unambiguously in its computer files on and after each such Purchase that such Collateral has been purchased by the Buyer and in each case under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2.01(i)</w:t>
      </w:r>
      <w:r>
        <w:rPr>
          <w:rFonts w:ascii="Times New Roman" w:cs="Times New Roman" w:eastAsia="Times New Roman" w:hAnsi="Times New Roman"/>
          <w:sz w:val="22"/>
          <w:szCs w:val="22"/>
          <w:color w:val="auto"/>
        </w:rPr>
        <w:t>, the Seller agrees that it will indicate clearly and unambiguously on and after the related Purchase Date in its financial statements that such Collateral is owned by the Buyer and is not available to pay creditors of the Seller.</w:t>
      </w:r>
    </w:p>
    <w:p>
      <w:pPr>
        <w:spacing w:after="0" w:line="183" w:lineRule="exact"/>
        <w:rPr>
          <w:rFonts w:ascii="Times New Roman" w:cs="Times New Roman" w:eastAsia="Times New Roman" w:hAnsi="Times New Roman"/>
          <w:sz w:val="22"/>
          <w:szCs w:val="22"/>
          <w:color w:val="auto"/>
        </w:rPr>
      </w:pPr>
    </w:p>
    <w:p>
      <w:pPr>
        <w:jc w:val="both"/>
        <w:ind w:left="-440" w:firstLine="757"/>
        <w:spacing w:after="0" w:line="234" w:lineRule="auto"/>
        <w:tabs>
          <w:tab w:leader="none" w:pos="741" w:val="left"/>
        </w:tabs>
        <w:numPr>
          <w:ilvl w:val="0"/>
          <w:numId w:val="4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agrees to deliver to the Buyer (with a copy to the Custodian and the Collateral Trustee) on or before the Closing Date and to the Buyer (with a copy to the Custodian and the Collateral Trustee) on or before each Purchase Date after the Closing Date a computer file containing a true, complete and correct Loan List (which shall contain the related Principal Balance, outstanding principal balance, loan number and Obligor name for each Collateral Obligation) as of the Closing Date or related Purchase Date, as applicable. Such file or list shall be marked as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as applicable, to this Agreement, shall be delivered to the Buyer (with a copy to the Custodian and the Collateral Trustee) as confidential and proprietary, and is hereby incorporated into and made a part of this Agreement, as such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may be supplemented and amended from time to time. In addition, with respect to each Collateral Obligation sold by the Seller to the Buyer hereunder after the Closing Date, the Seller shall deliver to the Buyer (with a copy to the Custodian and the Collateral Trustee) an assignment of such Collateral Obligation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179" w:lineRule="exact"/>
        <w:rPr>
          <w:rFonts w:ascii="Times New Roman" w:cs="Times New Roman" w:eastAsia="Times New Roman" w:hAnsi="Times New Roman"/>
          <w:sz w:val="22"/>
          <w:szCs w:val="22"/>
          <w:color w:val="auto"/>
        </w:rPr>
      </w:pPr>
    </w:p>
    <w:p>
      <w:pPr>
        <w:jc w:val="both"/>
        <w:ind w:left="-440" w:right="20" w:firstLine="757"/>
        <w:spacing w:after="0" w:line="244" w:lineRule="auto"/>
        <w:tabs>
          <w:tab w:leader="none" w:pos="741" w:val="left"/>
        </w:tabs>
        <w:numPr>
          <w:ilvl w:val="0"/>
          <w:numId w:val="4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 series of contemporaneous transactions on the Closing Date (i) the Financing Subsidiary shall, subject to the terms of the applicable credit facility, sell and/or distribute the Closing Date Participation Interests owned by the Financing Subsidiary to the Seller (with respect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727075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08" w:right="339" w:bottom="1440" w:gutter="0" w:footer="0" w:header="0"/>
        </w:sectPr>
      </w:pPr>
    </w:p>
    <w:bookmarkStart w:id="423" w:name="page424"/>
    <w:bookmarkEnd w:id="423"/>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to any distribution, in its capacity as sole member of the Financing Subsidiary), (ii) the Seller shall transfer the Collateral Obligations (as set forth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to the Buyer and (iii) as consideration for its acquisition of the Collateral Obligations listed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from the Seller, the Buyer shall convey to the Seller all of the Subordinated Notes and the net proceeds from the issuance of the other classes of Secured Debt.</w:t>
      </w:r>
    </w:p>
    <w:p>
      <w:pPr>
        <w:spacing w:after="0" w:line="180" w:lineRule="exact"/>
        <w:rPr>
          <w:sz w:val="20"/>
          <w:szCs w:val="20"/>
          <w:color w:val="auto"/>
        </w:rPr>
      </w:pPr>
    </w:p>
    <w:p>
      <w:pPr>
        <w:jc w:val="both"/>
        <w:ind w:firstLine="757"/>
        <w:spacing w:after="0" w:line="236" w:lineRule="auto"/>
        <w:tabs>
          <w:tab w:leader="none" w:pos="1181" w:val="left"/>
        </w:tabs>
        <w:numPr>
          <w:ilvl w:val="0"/>
          <w:numId w:val="4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administrative convenience, (i) Collateral Obligations (including certain of the Closing Date Participation Interests) being transferred first from the Financing Subsidiary to the Seller and second from the Seller to the Buyer may settle directly from the Financing Subsidiary to the Buyer, (ii) Collateral Obligations being acquired by the Seller from any seller and then sold first by such seller to the Seller and second by the Seller to the Buyer, may settle directly from such seller to the Buyer and (iii) any of the steps or transfers of cash or assets described in this </w:t>
      </w:r>
      <w:r>
        <w:rPr>
          <w:rFonts w:ascii="Times New Roman" w:cs="Times New Roman" w:eastAsia="Times New Roman" w:hAnsi="Times New Roman"/>
          <w:sz w:val="22"/>
          <w:szCs w:val="22"/>
          <w:u w:val="single" w:color="auto"/>
          <w:color w:val="auto"/>
        </w:rPr>
        <w:t>clause (l)</w:t>
      </w:r>
      <w:r>
        <w:rPr>
          <w:rFonts w:ascii="Times New Roman" w:cs="Times New Roman" w:eastAsia="Times New Roman" w:hAnsi="Times New Roman"/>
          <w:sz w:val="22"/>
          <w:szCs w:val="22"/>
          <w:color w:val="auto"/>
        </w:rPr>
        <w:t xml:space="preserve"> that take place on the same day may be made on a net basis (any amounts owing by one party may be offset by amounts owed to such party, and vice versa).</w:t>
      </w:r>
    </w:p>
    <w:p>
      <w:pPr>
        <w:spacing w:after="0" w:line="181" w:lineRule="exact"/>
        <w:rPr>
          <w:rFonts w:ascii="Times New Roman" w:cs="Times New Roman" w:eastAsia="Times New Roman" w:hAnsi="Times New Roman"/>
          <w:sz w:val="22"/>
          <w:szCs w:val="22"/>
          <w:color w:val="auto"/>
        </w:rPr>
      </w:pPr>
    </w:p>
    <w:p>
      <w:pPr>
        <w:jc w:val="both"/>
        <w:ind w:firstLine="757"/>
        <w:spacing w:after="0" w:line="249" w:lineRule="auto"/>
        <w:tabs>
          <w:tab w:leader="none" w:pos="1181" w:val="left"/>
        </w:tabs>
        <w:numPr>
          <w:ilvl w:val="0"/>
          <w:numId w:val="4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It is the intention of the parties hereto that the conveyance of all right, title and interest in and to the Collateral to the Buyer by the Seller as provided in this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is intended and shall, in each and every case, constitute an absolute sale, assignment, conveyance and transfer of ownership of such Collateral conveying good title, free and clear of any Lien (other than Permitted Liens) and that the Collateral shall not be part of the Seller’s bankruptcy estate in the event of any bankruptcy or insolvency proceedings with respect to the Seller. Furthermore, it is not intended that any such conveyance be deemed a pledge of the Collateral Obligations and the other Collateral to the Buyer to secure a debt or other obligation of the Seller.</w:t>
      </w:r>
    </w:p>
    <w:p>
      <w:pPr>
        <w:spacing w:after="0" w:line="170" w:lineRule="exact"/>
        <w:rPr>
          <w:rFonts w:ascii="Times New Roman" w:cs="Times New Roman" w:eastAsia="Times New Roman" w:hAnsi="Times New Roman"/>
          <w:sz w:val="21"/>
          <w:szCs w:val="21"/>
          <w:color w:val="auto"/>
        </w:rPr>
      </w:pPr>
    </w:p>
    <w:p>
      <w:pPr>
        <w:jc w:val="both"/>
        <w:ind w:firstLine="757"/>
        <w:spacing w:after="0" w:line="233" w:lineRule="auto"/>
        <w:tabs>
          <w:tab w:leader="none" w:pos="1181" w:val="left"/>
        </w:tabs>
        <w:numPr>
          <w:ilvl w:val="0"/>
          <w:numId w:val="4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however, notwithstanding the intention of the parties set forth in </w:t>
      </w:r>
      <w:r>
        <w:rPr>
          <w:rFonts w:ascii="Times New Roman" w:cs="Times New Roman" w:eastAsia="Times New Roman" w:hAnsi="Times New Roman"/>
          <w:sz w:val="22"/>
          <w:szCs w:val="22"/>
          <w:u w:val="single" w:color="auto"/>
          <w:color w:val="auto"/>
        </w:rPr>
        <w:t>Section 2.01(m)</w:t>
      </w:r>
      <w:r>
        <w:rPr>
          <w:rFonts w:ascii="Times New Roman" w:cs="Times New Roman" w:eastAsia="Times New Roman" w:hAnsi="Times New Roman"/>
          <w:sz w:val="22"/>
          <w:szCs w:val="22"/>
          <w:color w:val="auto"/>
        </w:rPr>
        <w:t xml:space="preserve">, any of the conveyances provided for in this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by the Seller are determined to be a transfer to secure indebtedness, then this Agreement shall also be deemed to be, and hereby is, a “security agreement” within the meaning of Article 9 of the UCC. With respect to the Collateral related to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hereunder, (A) the Seller hereby grants to the Buyer, as the case may be, a duly perfected, first priority “security interest” within the meaning of Article 9 of the UCC in all of its right, title and interest in and to such Collateral, now existing and hereafter created, to secure the prompt and complete payment of a loan deemed to have been made in an amount equal to the aggregate Purchase Price of such Collateral, (B) the Buyer shall have, in addition to the rights and remedies which it may have under this Agreement, all other rights and remedies provided to a secured creditor under the UCC and other applicable law with respect thereto, which rights and remedies shall be cumulative, and (C) the Seller authorizes the Buyer and, so long as the Payment in Full Date has not occurred, the Seller authorizes the Collateral Trustee on behalf of the Secured Parties, subject to the terms of Section 7.5 of the Indenture, to file UCC financing statements and amendments, as necessary, naming the Seller as “debtor,” the Buyer as “assignor secured party” and the Collateral Trustee as “assignee secured party” or similar applicable designations, each describing such Collateral, in each jurisdiction that the Buyer deems necessary in order to protect the security interests in the Collateral granted under this </w:t>
      </w:r>
      <w:r>
        <w:rPr>
          <w:rFonts w:ascii="Times New Roman" w:cs="Times New Roman" w:eastAsia="Times New Roman" w:hAnsi="Times New Roman"/>
          <w:sz w:val="22"/>
          <w:szCs w:val="22"/>
          <w:u w:val="single" w:color="auto"/>
          <w:color w:val="auto"/>
        </w:rPr>
        <w:t>Section 2.01(n)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4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and the Buyer hereby acknowledge and agree that (i) the conveyance of the Closing Date Participation Interests is being effectuated pursuant to this Agreement instead of an assignment of the Seller’s (and, with respect to the Collateral Obligations held by the Financing</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4" w:name="page425"/>
    <w:bookmarkEnd w:id="424"/>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Subsidiary on the Closing Date, the Financing Subsidiary’s) legal interest in and title to each of the Closing Date Participation Interests (the transfer of which to the Buyer will not be effective until the individual assignments of each Closing Date Participation Interest become effective) because the conditions precedent under the related Underlying Documents to the transfer, assignment and conveyance of the Seller’s (and, with respect to the Collateral Obligations held by the Financing Subsidiary on the Closing Date, the Financing Subsidiary’s) legal interest in and title to the Closing Date Participation Interests may otherwise not be fully satisfied as of the Closing Date and (ii) the conveyance of the Closing Date Participation Interests hereunder shall have the consequence that the Seller does not have an equitable interest in the Closing Date Participation Interests and the Buyer holds 100% of the equitable interest in the Closing Date Participation Interests. The Buyer has prepared individual assignments consistent with the requirements of the related Underlying Documents and provided them to the Persons required under such Underlying Documents, which assignments will become effective in accordance with such Underlying Documents upon obtaining certain consents thereto or upon the passage of time or both. Upon receipt by the Seller or the Buyer of the effective assignment of any Closing Date Participation Interest participated pursuant to this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the Seller, for value received, hereby sells to the Buyer, and the Buyer hereby purchases from the Seller, all of the Seller’s (and, with respect to the Collateral Obligations held by the Financing Subsidiary on the Closing Date, the Financing Subsidiary’s), right, title and interest in, to and under such Closing Date Participation Interest.</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b w:val="1"/>
          <w:bCs w:val="1"/>
          <w:color w:val="auto"/>
        </w:rPr>
        <w:t>Purchase Price.</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purchase price for each Collateral Obligation sold pursuant to this Agreement shall be a dollar amount equal to the fair market value thereof as determined by the Seller and/or the Buyer, as applicable, and shall be on terms no less favorable to the buyer than such buyer would then obtain in a comparable arm’s length transaction with a person that is not an Affiliate (in each case,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1"/>
          <w:szCs w:val="21"/>
          <w:b w:val="1"/>
          <w:bCs w:val="1"/>
          <w:u w:val="single" w:color="auto"/>
          <w:color w:val="auto"/>
        </w:rPr>
        <w:t>Payment of Purchase Price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57"/>
        <w:spacing w:after="0" w:line="234" w:lineRule="auto"/>
        <w:tabs>
          <w:tab w:leader="none" w:pos="1181" w:val="left"/>
        </w:tabs>
        <w:numPr>
          <w:ilvl w:val="0"/>
          <w:numId w:val="4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 Price for any Collateral related to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acquired by the Buyer from the Seller (including the Closing Date Participation Interests) on the Closing Date shall be paid by a combination of cash and the issuance of the Subordinated Notes by the Buyer to the Seller and by transfer of cash from the Buyer to the Seller. With respect to any Purchase Date after the Closing Date, to the extent the value of the Collateral transferred by the Seller to the Buyer exceeds the value of the cash received by the Seller for such assets, such excess shall be deemed to constitute a capital contribution from the Seller to the Buyer. The Purchase Price for any Collateral acquired by the Buyer from the Seller on any Purchase Date after the Closing Date pursuant to this Agreement shall be paid in a combination of (i) immediately available funds in cash and (ii) if the Buyer does not have sufficient funds in cash to pay the full amount of the Purchase Price, by means of a capital contribution by the Seller to the Buyer.</w:t>
      </w:r>
    </w:p>
    <w:p>
      <w:pPr>
        <w:spacing w:after="0" w:line="183"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4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 Price for any Collateral purchased by the Buyer to be settled directly with a subsidiary of the Seller on any Purchase Date after the Closing Date shall be paid in immediately available funds, which may comprise, if the Buyer does not have sufficient funds in cash to pay the full amount of the Purchase Price, amounts contributed by the Seller to the Buyer.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5" w:name="page426"/>
    <w:bookmarkEnd w:id="425"/>
    <w:p>
      <w:pPr>
        <w:jc w:val="both"/>
        <w:ind w:left="-440" w:firstLine="757"/>
        <w:spacing w:after="0" w:line="238" w:lineRule="auto"/>
        <w:tabs>
          <w:tab w:leader="none" w:pos="741" w:val="left"/>
        </w:tabs>
        <w:numPr>
          <w:ilvl w:val="0"/>
          <w:numId w:val="4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herein to the contrary, the Seller may on any Purchase Date occurring after the Closing Date elect to designate all or a portion of the Collateral proposed to be transferred to the Buyer on such date as a capital contribution to the Buyer. In such event, the cash portion of the Purchase Price payable with respect to such transfer shall be reduced by that portion of the Purchase Price of the Collateral that was so contributed;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Collateral contributed to the Buyer as capital shall constitute Collateral for all purposes of this Agreement.</w:t>
      </w:r>
    </w:p>
    <w:p>
      <w:pPr>
        <w:spacing w:after="0" w:line="176" w:lineRule="exact"/>
        <w:rPr>
          <w:rFonts w:ascii="Times New Roman" w:cs="Times New Roman" w:eastAsia="Times New Roman" w:hAnsi="Times New Roman"/>
          <w:sz w:val="22"/>
          <w:szCs w:val="22"/>
          <w:color w:val="auto"/>
        </w:rPr>
      </w:pPr>
    </w:p>
    <w:p>
      <w:pPr>
        <w:jc w:val="both"/>
        <w:ind w:left="-440" w:right="20" w:firstLine="757"/>
        <w:spacing w:after="0" w:line="239" w:lineRule="auto"/>
        <w:tabs>
          <w:tab w:leader="none" w:pos="741" w:val="left"/>
        </w:tabs>
        <w:numPr>
          <w:ilvl w:val="0"/>
          <w:numId w:val="4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in connection with each Purchase hereunder relating to any Collateral, shall be deemed to have certified, and hereby does certify, with respect to the Collateral to be purchased by the Buyer on such day, that its representations and warranties contained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are true and correct on and as of such day, with the same effect as though made on and as of such day.</w:t>
      </w:r>
    </w:p>
    <w:p>
      <w:pPr>
        <w:spacing w:after="0" w:line="180" w:lineRule="exact"/>
        <w:rPr>
          <w:rFonts w:ascii="Times New Roman" w:cs="Times New Roman" w:eastAsia="Times New Roman" w:hAnsi="Times New Roman"/>
          <w:sz w:val="22"/>
          <w:szCs w:val="22"/>
          <w:color w:val="auto"/>
        </w:rPr>
      </w:pPr>
    </w:p>
    <w:p>
      <w:pPr>
        <w:jc w:val="both"/>
        <w:ind w:left="-440" w:firstLine="757"/>
        <w:spacing w:after="0" w:line="238" w:lineRule="auto"/>
        <w:tabs>
          <w:tab w:leader="none" w:pos="741" w:val="left"/>
        </w:tabs>
        <w:numPr>
          <w:ilvl w:val="0"/>
          <w:numId w:val="4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payment of the Purchase Price for any Purchase, title to the Collateral included in such Purchase shall vest in the case of Collateral related to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in the Buyer as provided herein, whether or not the conditions precedent to such Purchase and the other covenants and agreements contained herein were in fact satisfied;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Buyer shall not be deemed to have waived any claim it may have under this Agreement for the failure by the Seller in fact to satisfy any such condition precedent, covenant or agreement.</w:t>
      </w:r>
    </w:p>
    <w:p>
      <w:pPr>
        <w:spacing w:after="0" w:line="176" w:lineRule="exact"/>
        <w:rPr>
          <w:rFonts w:ascii="Times New Roman" w:cs="Times New Roman" w:eastAsia="Times New Roman" w:hAnsi="Times New Roman"/>
          <w:sz w:val="22"/>
          <w:szCs w:val="22"/>
          <w:color w:val="auto"/>
        </w:rPr>
      </w:pPr>
    </w:p>
    <w:p>
      <w:pPr>
        <w:jc w:val="both"/>
        <w:ind w:left="-440" w:firstLine="757"/>
        <w:spacing w:after="0" w:line="239" w:lineRule="auto"/>
        <w:tabs>
          <w:tab w:leader="none" w:pos="741" w:val="left"/>
        </w:tabs>
        <w:numPr>
          <w:ilvl w:val="0"/>
          <w:numId w:val="4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Collateral Obligations may be purchased or acquired from time to time by the Buyer from the Seller or any of its Affiliates hereunder only if (i) the terms and conditions thereof are no less favorable to the Buyer than the terms it would obtain in a comparable, timely purchase or acquisition with a non-Affiliate and (ii) the transactions are effected in accordance with all applicable laws.</w:t>
      </w:r>
    </w:p>
    <w:p>
      <w:pPr>
        <w:spacing w:after="0" w:line="176" w:lineRule="exact"/>
        <w:rPr>
          <w:sz w:val="20"/>
          <w:szCs w:val="20"/>
          <w:color w:val="auto"/>
        </w:rPr>
      </w:pPr>
    </w:p>
    <w:p>
      <w:pPr>
        <w:ind w:left="320"/>
        <w:spacing w:after="0"/>
        <w:tabs>
          <w:tab w:leader="none" w:pos="160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b w:val="1"/>
          <w:bCs w:val="1"/>
          <w:u w:val="single" w:color="auto"/>
          <w:color w:val="auto"/>
        </w:rPr>
        <w:t>Income Collections on Closing Date Participation Interests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440" w:right="20" w:firstLine="757"/>
        <w:spacing w:after="0" w:line="258" w:lineRule="auto"/>
        <w:tabs>
          <w:tab w:leader="none" w:pos="741" w:val="left"/>
        </w:tabs>
        <w:numPr>
          <w:ilvl w:val="0"/>
          <w:numId w:val="4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Closing Date Participation Interest, the Buyer shall acquire all rights to Income Collections that, as of the Closing Date, are accrued but unpaid with respect to the period from and after the Closing Date.</w:t>
      </w:r>
    </w:p>
    <w:p>
      <w:pPr>
        <w:spacing w:after="0" w:line="158" w:lineRule="exact"/>
        <w:rPr>
          <w:rFonts w:ascii="Times New Roman" w:cs="Times New Roman" w:eastAsia="Times New Roman" w:hAnsi="Times New Roman"/>
          <w:sz w:val="22"/>
          <w:szCs w:val="22"/>
          <w:color w:val="auto"/>
        </w:rPr>
      </w:pPr>
    </w:p>
    <w:p>
      <w:pPr>
        <w:jc w:val="both"/>
        <w:ind w:left="-440" w:firstLine="757"/>
        <w:spacing w:after="0" w:line="236" w:lineRule="auto"/>
        <w:tabs>
          <w:tab w:leader="none" w:pos="741" w:val="left"/>
        </w:tabs>
        <w:numPr>
          <w:ilvl w:val="0"/>
          <w:numId w:val="4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after the Closing Date the Seller receives any Income Collections, the Seller shall deliver such Income Collections promptly to the Buyer. If at any time after the Closing Date the Seller receives any other payment (including principal, interest (to the extent relating to the period from and after the Closing Date) or any other amount) with respect to a Closing Date Participation Interest, the Seller shall deliver such payment promptly to the Buyer, and in the case of any such payment of interest, the Seller shall provide a written notice to the Buyer at the time of such delivery setting forth calculations and certifying as to the portion of any interest received that relates to the period from and after the Closing Date.</w:t>
      </w:r>
    </w:p>
    <w:p>
      <w:pPr>
        <w:spacing w:after="0" w:line="181" w:lineRule="exact"/>
        <w:rPr>
          <w:rFonts w:ascii="Times New Roman" w:cs="Times New Roman" w:eastAsia="Times New Roman" w:hAnsi="Times New Roman"/>
          <w:sz w:val="22"/>
          <w:szCs w:val="22"/>
          <w:color w:val="auto"/>
        </w:rPr>
      </w:pPr>
    </w:p>
    <w:p>
      <w:pPr>
        <w:jc w:val="both"/>
        <w:ind w:left="-440" w:firstLine="757"/>
        <w:spacing w:after="0" w:line="239" w:lineRule="auto"/>
        <w:tabs>
          <w:tab w:leader="none" w:pos="741" w:val="left"/>
        </w:tabs>
        <w:numPr>
          <w:ilvl w:val="0"/>
          <w:numId w:val="4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the Seller and the Financing Subsidiary agree (i) until the Elevation of each Closing Date Participation Interest has been completed, to maintain its existing custodial arrangements and bank accounts established to receive proceeds of such Closing Date Participation Interest and (ii) to remit to the Buyer, promptly (but not more than three Business Days) after receipt of such payment and identification thereof, each payment received 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727075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08" w:right="339" w:bottom="1440" w:gutter="0" w:footer="0" w:header="0"/>
        </w:sectPr>
      </w:pPr>
    </w:p>
    <w:bookmarkStart w:id="426" w:name="page427"/>
    <w:bookmarkEnd w:id="426"/>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connection with each Closing Date Participation Interest to which the Buyer is entitled in accordance with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(which, for the avoidance of doubt, shall not include any Excluded Amounts). The Seller and the Financing Subsidiary acknowledge that from and after the Closing Date it shall have no equitable or beneficial interest in any payment received by it with respect to any Closing Date Participation Interest (other than any accrued and unpaid interest with respect to the period of time prior to and excluding the Closing Date). If the Seller modifies or amends (or directs the Financing Subsidiary to modify or amend) the standing instructions delivered to the Seller’s (or the Financing Subsidiary’s) custodian on the date hereof in connection with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the Seller shall notify the Buyer of such modification or amendment.</w:t>
      </w:r>
    </w:p>
    <w:p>
      <w:pPr>
        <w:spacing w:after="0" w:line="17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b w:val="1"/>
          <w:bCs w:val="1"/>
          <w:u w:val="single" w:color="auto"/>
          <w:color w:val="auto"/>
        </w:rPr>
        <w:t>Elevation of the Closing Date Participation Interests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57"/>
        <w:spacing w:after="0" w:line="234" w:lineRule="auto"/>
        <w:tabs>
          <w:tab w:leader="none" w:pos="1181" w:val="left"/>
        </w:tabs>
        <w:numPr>
          <w:ilvl w:val="0"/>
          <w:numId w:val="4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provisions of the applicable Closing Date Participation Interest and of applicable law, the Seller and the Financing Subsidiary shall use commercially reasonable efforts to effect an Elevation, as soon as reasonably practicable, with respect to each such Closing Date Participation and take such action (including the execution and delivery of an assignment agreement) as shall be mutually agreeable in connection therewith and in accordance with the terms and conditions of each such Closing Date Participation Interest and consistent with the terms of this Agreement. The Seller and Financing Subsidiary shall pay any transfer fees and other expenses payable in connection with an Elevation and the Buyer will reimburse the Seller for half of such fees and expenses after receipt of an invoice therefor from the Seller detailing such amounts. The Buyer shall be responsible for any expenses of administering each Closing Date Participation Interest prior to its Elevation. At Elevation, the Seller and the Financing Subsidiary shall deliver such assignment and the credit documentation with respect to the related Closing Date Participation Interest in its possession to or as directed by the Buyer.</w:t>
      </w:r>
    </w:p>
    <w:p>
      <w:pPr>
        <w:spacing w:after="0" w:line="179"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4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Seller or the Financing Subsidiary has not effected an Elevation of a Closing Date Participation Interest on or before the day that is 90 days from the Closing Date for whatever reason or if at any time prior thereto the Seller or the Financing Subsidiary is dissolved prior to effecting an Elevation, the Seller or the Financing Subsidiary and the Buyer agree that the Participation Interests in each of the Closing Date Participation Interests shall elevate automatically and immediately to an assignment and all of the Seller’s (or, with respect to the Collateral Obligations held by the Financing Subsidiary on the Closing Date, the Financing Subsidiary’s) rights, title, interests and ownership of such Closing Date Participations shall vest in Buyer. The Seller or the Financing Subsidiary shall be deemed to have consented and agreed to Elevation for each of the Closing Date Participations upon the execution of this Agreement. The Seller and the Financing Subsidiary agree that, following any such date, the Buyer shall be permitted to take any and all action necessary to effectuate an Elevation and/or finalize an assignment of any of the Closing Date Participation Interests, and in furtherance of the foregoing, effective immediately upon such date, the Seller and the Financing Subsidiary hereby make, constitute and appoint the Buyer, with full power of substitution, as its true and lawful agent and attorney-in-fact, with full power and authority in its name, place and stead, to sign, execute, certify, swear to, acknowledge, deliver, file, receive and record any and all documents that the Buyer reasonably deems appropriate or necessary in connection with any Elevation or finalization of an assignment of any of the Closing Date Participation Interests. In addition, the Seller and the Financing Subsidiary, effective as of the date hereof, hereby make, constitute and appoint the Buyer, with full power of substitution, as its true and lawful agent and attorney-in-fact, with full</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7" w:name="page428"/>
    <w:bookmarkEnd w:id="427"/>
    <w:p>
      <w:pPr>
        <w:jc w:val="both"/>
        <w:spacing w:after="0" w:line="238" w:lineRule="auto"/>
        <w:rPr>
          <w:sz w:val="20"/>
          <w:szCs w:val="20"/>
          <w:color w:val="auto"/>
        </w:rPr>
      </w:pPr>
      <w:r>
        <w:rPr>
          <w:rFonts w:ascii="Times New Roman" w:cs="Times New Roman" w:eastAsia="Times New Roman" w:hAnsi="Times New Roman"/>
          <w:sz w:val="22"/>
          <w:szCs w:val="22"/>
          <w:color w:val="auto"/>
        </w:rPr>
        <w:t>power and authority in its name, place and stead, to sign, execute, certify, swear to, acknowledge, deliver, file, receive and record any and all documents that the Buyer reasonably deems appropriate or necessary to direct the obligor or agent bank with respect to any Closing Date Participation Interests to deposit Income Collections directly into an account chosen by the Buyer or the Financing Subsidiary, as applicable. The foregoing powers of attorney are hereby declared to be irrevocable and a power coupled with an interest, and shall survive and not be affected by the bankruptcy or insolvency or dissolution of the Seller.</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2.06</w:t>
      </w:r>
      <w:r>
        <w:rPr>
          <w:sz w:val="20"/>
          <w:szCs w:val="20"/>
          <w:color w:val="auto"/>
        </w:rPr>
        <w:tab/>
      </w:r>
      <w:r>
        <w:rPr>
          <w:rFonts w:ascii="Times New Roman" w:cs="Times New Roman" w:eastAsia="Times New Roman" w:hAnsi="Times New Roman"/>
          <w:sz w:val="21"/>
          <w:szCs w:val="21"/>
          <w:b w:val="1"/>
          <w:bCs w:val="1"/>
          <w:u w:val="single" w:color="auto"/>
          <w:color w:val="auto"/>
        </w:rPr>
        <w:t>Limitation on Sales to Seller and Affiliates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57"/>
        <w:spacing w:after="0" w:line="232" w:lineRule="auto"/>
        <w:tabs>
          <w:tab w:leader="none" w:pos="1181" w:val="left"/>
        </w:tabs>
        <w:numPr>
          <w:ilvl w:val="0"/>
          <w:numId w:val="4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all times, (i) the Aggregate Principal Balance of all Collateral Obligations that are Substitute Collateral Obligations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Aggregate Principal Balance related to all Collateral Obligations that have been repurchased by the Seller hereunder pursuant to its right of optional repurchase or substitution and not subsequently applied to purchase a Substitute Collateral Obligation may not exceed an amount equal to 15% of the Net Purchased Loan Balance;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2.06(a)</w:t>
      </w:r>
      <w:r>
        <w:rPr>
          <w:rFonts w:ascii="Times New Roman" w:cs="Times New Roman" w:eastAsia="Times New Roman" w:hAnsi="Times New Roman"/>
          <w:sz w:val="22"/>
          <w:szCs w:val="22"/>
          <w:color w:val="auto"/>
        </w:rPr>
        <w:t xml:space="preserve"> shall not include (A) if such calculation is made during the Reinvestment Period only, the Principal Balance related to any Collateral Obligation that is repurchased by the Seller in connection with a proposed Specified Amendment to such Collateral Obligation so long as (x) the Seller certifies in writing to the Collateral Manager, the Collateral Trustee, the Collateral Administrator and the Loan Agent that such purchase is, in the commercially reasonable business judgment of the Seller, necessary or advisable in connection with the restructuring of such Collateral Obligation and such restructuring is expected to result in a Specified Amendment to such Collateral Obligation, and (y) the Collateral Manager certifies in writing to the Collateral Trustee, the Collateral Administrator and the Loan Agent that the Collateral Manager either would not be permitted to or would not elect to enter into such Specified Amendment pursuant to the Collateral Manager Standard or any provision of the Indenture or the Collateral Management Agreement, (B) the purchase price of any Collateral Obligations or, for the avoidance of doubt, any Equity Securities sold by and at the option of the Buyer to the Seller pursuant to Section 12.1(d) of the Indenture or Section 12.1(h) of the Indenture as determined described in Section 12.1(h)(i) of the Indenture and (C) the Principal Balance related to any Ineligible Collateral Obligation that is repurchased or substituted by the Seller in connection with a mandatory repurchase or substitution pursuant to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The foregoing provisions in this paragraph constitute the “</w:t>
      </w:r>
      <w:r>
        <w:rPr>
          <w:rFonts w:ascii="Times New Roman" w:cs="Times New Roman" w:eastAsia="Times New Roman" w:hAnsi="Times New Roman"/>
          <w:sz w:val="22"/>
          <w:szCs w:val="22"/>
          <w:u w:val="single" w:color="auto"/>
          <w:color w:val="auto"/>
        </w:rPr>
        <w:t>Repurchase and Substitution Limit</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4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agrees to identify to the Buyer each Affiliate Originated Collateral Obligation. Notwithstanding any other provisions herein, the Buyer, so long as the Acquisition Test and the other applicable conditions set forth in the Indenture are met, may also purchase Collateral Obligations that are not Affiliate Originated Collateral Obligations directly from third parties or may acquire Collateral Obligations as a lender at the closing thereof.</w:t>
      </w:r>
    </w:p>
    <w:p>
      <w:pPr>
        <w:spacing w:after="0" w:line="17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2.07</w:t>
      </w:r>
      <w:r>
        <w:rPr>
          <w:sz w:val="20"/>
          <w:szCs w:val="20"/>
          <w:color w:val="auto"/>
        </w:rPr>
        <w:tab/>
      </w:r>
      <w:r>
        <w:rPr>
          <w:rFonts w:ascii="Times New Roman" w:cs="Times New Roman" w:eastAsia="Times New Roman" w:hAnsi="Times New Roman"/>
          <w:sz w:val="21"/>
          <w:szCs w:val="21"/>
          <w:b w:val="1"/>
          <w:bCs w:val="1"/>
          <w:u w:val="single" w:color="auto"/>
          <w:color w:val="auto"/>
        </w:rPr>
        <w:t>Mandatory Repurchases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Upon discovery by a Responsible Officer of the Collateral Manager of a breach of the representation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4.02</w:t>
      </w:r>
      <w:r>
        <w:rPr>
          <w:rFonts w:ascii="Times New Roman" w:cs="Times New Roman" w:eastAsia="Times New Roman" w:hAnsi="Times New Roman"/>
          <w:sz w:val="22"/>
          <w:szCs w:val="22"/>
          <w:color w:val="auto"/>
        </w:rPr>
        <w:t xml:space="preserve"> which materially and adversely affects the value of the Collateral Obligations or the interest therein of the Noteholders or the Class A-1 Lenders or which materially and adversely affects the interests of the Noteholders or the Class A-1 Lenders in the related Collateral Obligations in the case of a representation and warranty relating to a particular</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8" w:name="page429"/>
    <w:bookmarkEnd w:id="428"/>
    <w:p>
      <w:pPr>
        <w:jc w:val="both"/>
        <w:spacing w:after="0" w:line="233" w:lineRule="auto"/>
        <w:rPr>
          <w:sz w:val="20"/>
          <w:szCs w:val="20"/>
          <w:color w:val="auto"/>
        </w:rPr>
      </w:pPr>
      <w:r>
        <w:rPr>
          <w:rFonts w:ascii="Times New Roman" w:cs="Times New Roman" w:eastAsia="Times New Roman" w:hAnsi="Times New Roman"/>
          <w:sz w:val="22"/>
          <w:szCs w:val="22"/>
          <w:color w:val="auto"/>
        </w:rPr>
        <w:t>Collateral Obligation (each such Collateral Obligation, an “</w:t>
      </w:r>
      <w:r>
        <w:rPr>
          <w:rFonts w:ascii="Times New Roman" w:cs="Times New Roman" w:eastAsia="Times New Roman" w:hAnsi="Times New Roman"/>
          <w:sz w:val="22"/>
          <w:szCs w:val="22"/>
          <w:u w:val="single" w:color="auto"/>
          <w:color w:val="auto"/>
        </w:rPr>
        <w:t>Ineligible Collateral Obligation</w:t>
      </w:r>
      <w:r>
        <w:rPr>
          <w:rFonts w:ascii="Times New Roman" w:cs="Times New Roman" w:eastAsia="Times New Roman" w:hAnsi="Times New Roman"/>
          <w:sz w:val="22"/>
          <w:szCs w:val="22"/>
          <w:color w:val="auto"/>
        </w:rPr>
        <w:t xml:space="preserve">”), the Collateral Manager shall give prompt written notice of such breach or failure to the parties hereunder and the Collateral Trustee. Within 30 days of the earlier of the discovery by a Responsible Officer of the Seller of any such breach or its receipt of notice of any such breach from the Collateral Manager or the Buyer, the Seller shall (a) promptly cure such breach in all material respects, (b) purchase the Collateral Obligation by depositing in the Collection Account, within such 30-day period, an amount equal to the Transfer Deposit Amount of such Collateral Obligation or (c) remove such Collateral Obligation from the Buyer and substitute therefor one or more Substitute Collateral Obligations satisfying the criteria listed under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of this Agreement and Section 12.3 of the Indenture by not later than 30 days after notice or discovery of such breach. The Repurchase and Substitution Limit will not apply to any Ineligible Collateral Obligation that is repurchased or substituted by the Seller in connection with a mandatory repurchase or substitution. Such repurchase and substitution obligations constitute the sole remedy available for a breach of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2.08</w:t>
      </w:r>
      <w:r>
        <w:rPr>
          <w:sz w:val="20"/>
          <w:szCs w:val="20"/>
          <w:color w:val="auto"/>
        </w:rPr>
        <w:tab/>
      </w:r>
      <w:r>
        <w:rPr>
          <w:rFonts w:ascii="Times New Roman" w:cs="Times New Roman" w:eastAsia="Times New Roman" w:hAnsi="Times New Roman"/>
          <w:sz w:val="21"/>
          <w:szCs w:val="21"/>
          <w:b w:val="1"/>
          <w:bCs w:val="1"/>
          <w:u w:val="single" w:color="auto"/>
          <w:color w:val="auto"/>
        </w:rPr>
        <w:t>Optional Substitution of Collateral Obligations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57"/>
        <w:spacing w:after="0" w:line="236" w:lineRule="auto"/>
        <w:tabs>
          <w:tab w:leader="none" w:pos="1181" w:val="left"/>
        </w:tabs>
        <w:numPr>
          <w:ilvl w:val="0"/>
          <w:numId w:val="4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any applicable provisions of Sections 12.3 and 12.4 of the Indenture, this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and the Repurchase and Substitution Limit set forth in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of this Agreement, with respect to any Collateral Obligation as to which a Substitution Event has occurred, the Seller may (but shall not be obligated to) either (i) convey to the Buyer one or more Collateral Obligations in exchange for such Collateral Obligation or (ii) deposit into the Principal Collection Subaccount the Transfer Deposit Amount with respect to such Collateral Obligation and then, prior to the expiration of the Substitution Period, convey to the Buyer one or more Collateral Obligations in exchange for the funds so deposited or a portion thereof.</w:t>
      </w:r>
    </w:p>
    <w:p>
      <w:pPr>
        <w:spacing w:after="0" w:line="181"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4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substitution pursuant to this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shall be initiated by delivery of a Notice of Substitution, as set forth in the Indenture, by the Seller to the Collateral Trustee, the Loan Agent, the Buyer and the Collateral Manager that the Seller intends to substitute a Collateral Obligation pursuant to this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and shall be completed prior to the earliest of: (i) the expiration of ninety (90) days after delivery of such notice; or (ii) in the case of a Collateral Obligation which has become subject to a Specified Amendment, the effective date set forth in such Specified Amendment (such period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2.08(b)</w:t>
      </w:r>
      <w:r>
        <w:rPr>
          <w:rFonts w:ascii="Times New Roman" w:cs="Times New Roman" w:eastAsia="Times New Roman" w:hAnsi="Times New Roman"/>
          <w:sz w:val="22"/>
          <w:szCs w:val="22"/>
          <w:color w:val="auto"/>
        </w:rPr>
        <w:t>, as applicable, being the “</w:t>
      </w:r>
      <w:r>
        <w:rPr>
          <w:rFonts w:ascii="Times New Roman" w:cs="Times New Roman" w:eastAsia="Times New Roman" w:hAnsi="Times New Roman"/>
          <w:sz w:val="22"/>
          <w:szCs w:val="22"/>
          <w:u w:val="single" w:color="auto"/>
          <w:color w:val="auto"/>
        </w:rPr>
        <w:t>Substitution Period</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4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Notice of Substitution shall specify the Collateral Obligation to be substituted, the reasons for such substitution and the Transfer Deposit Amount with respect to the Collateral Obligation. On the last day of any Substitution Period, any amounts previously deposited in accordance with </w:t>
      </w:r>
      <w:r>
        <w:rPr>
          <w:rFonts w:ascii="Times New Roman" w:cs="Times New Roman" w:eastAsia="Times New Roman" w:hAnsi="Times New Roman"/>
          <w:sz w:val="22"/>
          <w:szCs w:val="22"/>
          <w:u w:val="single" w:color="auto"/>
          <w:color w:val="auto"/>
        </w:rPr>
        <w:t>Section 2.08(a)(ii)</w:t>
      </w:r>
      <w:r>
        <w:rPr>
          <w:rFonts w:ascii="Times New Roman" w:cs="Times New Roman" w:eastAsia="Times New Roman" w:hAnsi="Times New Roman"/>
          <w:sz w:val="22"/>
          <w:szCs w:val="22"/>
          <w:color w:val="auto"/>
        </w:rPr>
        <w:t xml:space="preserve"> which relate to such Substitution Period that have not been applied to purchase one or more Substitute Collateral Obligations or to fund the Revolver Funding Account if necessary with respect thereto shall be deemed to constitute Principal Proceeds;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prior to the expiration of the related Substitution Period any such amounts shall not be deemed to be Principal Proceeds and shall remain in the Principal Collection Subaccount until applied to acquire Substitute Collateral Obligations or to fund the Revolver Funding Account if necessary with respect thereto. The price paid (or deemed paid, in the case of a contemporaneous conveyance of a Substitute Collateral Obligation pursuant to </w:t>
      </w:r>
      <w:r>
        <w:rPr>
          <w:rFonts w:ascii="Times New Roman" w:cs="Times New Roman" w:eastAsia="Times New Roman" w:hAnsi="Times New Roman"/>
          <w:sz w:val="22"/>
          <w:szCs w:val="22"/>
          <w:u w:val="single" w:color="auto"/>
          <w:color w:val="auto"/>
        </w:rPr>
        <w:t>Section 2.08(a)(i)</w:t>
      </w:r>
      <w:r>
        <w:rPr>
          <w:rFonts w:ascii="Times New Roman" w:cs="Times New Roman" w:eastAsia="Times New Roman" w:hAnsi="Times New Roman"/>
          <w:sz w:val="22"/>
          <w:szCs w:val="22"/>
          <w:color w:val="auto"/>
        </w:rPr>
        <w:t>) by the Buyer to the Seller for any Substitute Collateral Obligation shall be an amount equal to the Market Value</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9" w:name="page430"/>
    <w:bookmarkEnd w:id="429"/>
    <w:p>
      <w:pPr>
        <w:jc w:val="both"/>
        <w:spacing w:after="0" w:line="239" w:lineRule="auto"/>
        <w:rPr>
          <w:sz w:val="20"/>
          <w:szCs w:val="20"/>
          <w:color w:val="auto"/>
        </w:rPr>
      </w:pPr>
      <w:r>
        <w:rPr>
          <w:rFonts w:ascii="Times New Roman" w:cs="Times New Roman" w:eastAsia="Times New Roman" w:hAnsi="Times New Roman"/>
          <w:sz w:val="22"/>
          <w:szCs w:val="22"/>
          <w:color w:val="auto"/>
        </w:rPr>
        <w:t>thereof, as determined by the Collateral Manager in accordance with the Collateral Manager Standard (but in no event less than the fair market value thereof). To the extent any cash or other property received by the Buyer from the Seller in connection with a Substitution Event as set forth herein and in the Indenture exceeds the fair market value of the replaced Collateral Obligation, such excess shall be deemed a capital contribution from the Seller to the Buyer.</w:t>
      </w:r>
    </w:p>
    <w:p>
      <w:pPr>
        <w:spacing w:after="0" w:line="180" w:lineRule="exact"/>
        <w:rPr>
          <w:sz w:val="20"/>
          <w:szCs w:val="20"/>
          <w:color w:val="auto"/>
        </w:rPr>
      </w:pPr>
    </w:p>
    <w:p>
      <w:pPr>
        <w:jc w:val="both"/>
        <w:ind w:firstLine="757"/>
        <w:spacing w:after="0" w:line="244" w:lineRule="auto"/>
        <w:tabs>
          <w:tab w:leader="none" w:pos="1181" w:val="left"/>
        </w:tabs>
        <w:numPr>
          <w:ilvl w:val="0"/>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substitution of any Substitute Collateral Obligation will be subject to the satisfaction of the Substitute Collateral Obligations Qualification Conditions as of the related Cut-Off Date for each such Collateral Obligation (after giving effect to such substitution).</w:t>
      </w:r>
    </w:p>
    <w:p>
      <w:pPr>
        <w:spacing w:after="0" w:line="173"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Substitute Collateral Obligations to be conveyed to the Buyer by the Seller as described in this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the Seller hereby sells, transfers, assigns, sets over and otherwise conveys to the Buyer, without recourse other than as expressly provided herein (and the Buyer shall purchase through cash payment and/or by exchange of one or more related Collateral Obligations released by the Buyer to the Seller on the related Cut-Off Date), all the right, title and interest of the Seller in and to the Substitute Collateral Obligation. To the extent any cash or other property received by the Buyer from the Seller in connection with a Substitution Event as set forth herein and in the Indenture exceeds the fair market value of the replaced Collateral Obligation, such excess shall be deemed a capital contribution from the Seller to the Buyer.</w:t>
      </w:r>
    </w:p>
    <w:p>
      <w:pPr>
        <w:spacing w:after="0" w:line="183" w:lineRule="exact"/>
        <w:rPr>
          <w:rFonts w:ascii="Times New Roman" w:cs="Times New Roman" w:eastAsia="Times New Roman" w:hAnsi="Times New Roman"/>
          <w:sz w:val="22"/>
          <w:szCs w:val="22"/>
          <w:color w:val="auto"/>
        </w:rPr>
      </w:pPr>
    </w:p>
    <w:p>
      <w:pPr>
        <w:jc w:val="both"/>
        <w:ind w:right="20" w:firstLine="757"/>
        <w:spacing w:after="0" w:line="261" w:lineRule="auto"/>
        <w:tabs>
          <w:tab w:leader="none" w:pos="1181" w:val="left"/>
        </w:tabs>
        <w:numPr>
          <w:ilvl w:val="0"/>
          <w:numId w:val="4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shall execute and deliver to the Buyer and the Collateral Trustee a Subsequent Transfer Agreement with respect to each Substitute Collateral Obligation and shall cooperate with the Collateral Manager and the Buyer so that they may satisfy their respective obligations with respect to any substitution of Collateral Obligations pursuant to the Indenture.</w:t>
      </w:r>
    </w:p>
    <w:p>
      <w:pPr>
        <w:spacing w:after="0" w:line="157" w:lineRule="exact"/>
        <w:rPr>
          <w:rFonts w:ascii="Times New Roman" w:cs="Times New Roman" w:eastAsia="Times New Roman" w:hAnsi="Times New Roman"/>
          <w:sz w:val="21"/>
          <w:szCs w:val="21"/>
          <w:color w:val="auto"/>
        </w:rPr>
      </w:pPr>
    </w:p>
    <w:p>
      <w:pPr>
        <w:ind w:right="40" w:firstLine="757"/>
        <w:spacing w:after="0" w:line="258" w:lineRule="auto"/>
        <w:tabs>
          <w:tab w:leader="none" w:pos="1181" w:val="left"/>
        </w:tabs>
        <w:numPr>
          <w:ilvl w:val="0"/>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bear all transaction costs incurred in connection with a substitution of Collateral Obligations effected pursuant to this Agreement and the Indenture.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3.01</w:t>
      </w:r>
      <w:r>
        <w:rPr>
          <w:sz w:val="20"/>
          <w:szCs w:val="20"/>
          <w:color w:val="auto"/>
        </w:rPr>
        <w:tab/>
      </w:r>
      <w:r>
        <w:rPr>
          <w:rFonts w:ascii="Times New Roman" w:cs="Times New Roman" w:eastAsia="Times New Roman" w:hAnsi="Times New Roman"/>
          <w:sz w:val="21"/>
          <w:szCs w:val="21"/>
          <w:b w:val="1"/>
          <w:bCs w:val="1"/>
          <w:u w:val="single" w:color="auto"/>
          <w:color w:val="auto"/>
        </w:rPr>
        <w:t>Conditions Precedent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Agreement is subject to the conditions precedent that on or prior to the Closing Date each of the conditions precedent to the execution, delivery and effectiveness of each other Transaction Document (other than a condition precedent in any such other Transaction Document relating to the effectiveness of this Agreement) shall have been fulfilled, and:</w:t>
      </w:r>
    </w:p>
    <w:p>
      <w:pPr>
        <w:spacing w:after="0" w:line="65"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Counterparts of this Agreement shall have been executed and delivered by or on behalf of the Seller and the Buyer;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182" w:lineRule="exact"/>
        <w:rPr>
          <w:sz w:val="20"/>
          <w:szCs w:val="20"/>
          <w:color w:val="auto"/>
        </w:rPr>
      </w:pPr>
    </w:p>
    <w:p>
      <w:pPr>
        <w:jc w:val="both"/>
        <w:ind w:firstLine="757"/>
        <w:spacing w:after="0" w:line="239" w:lineRule="auto"/>
        <w:tabs>
          <w:tab w:leader="none" w:pos="1181" w:val="left"/>
        </w:tabs>
        <w:numPr>
          <w:ilvl w:val="0"/>
          <w:numId w:val="4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shall have delivered to the Buyer filed UCC-1 financing statements as required by </w:t>
      </w:r>
      <w:r>
        <w:rPr>
          <w:rFonts w:ascii="Times New Roman" w:cs="Times New Roman" w:eastAsia="Times New Roman" w:hAnsi="Times New Roman"/>
          <w:sz w:val="22"/>
          <w:szCs w:val="22"/>
          <w:u w:val="single" w:color="auto"/>
          <w:color w:val="auto"/>
        </w:rPr>
        <w:t>Section 2.01(n)</w:t>
      </w:r>
      <w:r>
        <w:rPr>
          <w:rFonts w:ascii="Times New Roman" w:cs="Times New Roman" w:eastAsia="Times New Roman" w:hAnsi="Times New Roman"/>
          <w:sz w:val="22"/>
          <w:szCs w:val="22"/>
          <w:color w:val="auto"/>
        </w:rPr>
        <w:t xml:space="preserve"> describing the applicable Collateral and meeting the requirements of the laws of each jurisdiction in which it is necessary or reasonably desirable, or in which the Seller is required by applicable law, and in such manner as is necessary or reasonably desirable, to perfect the back-up security interest granted under </w:t>
      </w:r>
      <w:r>
        <w:rPr>
          <w:rFonts w:ascii="Times New Roman" w:cs="Times New Roman" w:eastAsia="Times New Roman" w:hAnsi="Times New Roman"/>
          <w:sz w:val="22"/>
          <w:szCs w:val="22"/>
          <w:u w:val="single" w:color="auto"/>
          <w:color w:val="auto"/>
        </w:rPr>
        <w:t>Section 2.01(n)</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0" w:name="page431"/>
    <w:bookmarkEnd w:id="430"/>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3.02</w:t>
      </w:r>
      <w:r>
        <w:rPr>
          <w:sz w:val="20"/>
          <w:szCs w:val="20"/>
          <w:color w:val="auto"/>
        </w:rPr>
        <w:tab/>
      </w:r>
      <w:r>
        <w:rPr>
          <w:rFonts w:ascii="Times New Roman" w:cs="Times New Roman" w:eastAsia="Times New Roman" w:hAnsi="Times New Roman"/>
          <w:sz w:val="21"/>
          <w:szCs w:val="21"/>
          <w:b w:val="1"/>
          <w:bCs w:val="1"/>
          <w:u w:val="single" w:color="auto"/>
          <w:color w:val="auto"/>
        </w:rPr>
        <w:t>Conditions Precedent to all Purchases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20" w:firstLine="757"/>
        <w:spacing w:after="0" w:line="258" w:lineRule="auto"/>
        <w:tabs>
          <w:tab w:leader="none" w:pos="1181" w:val="left"/>
        </w:tabs>
        <w:numPr>
          <w:ilvl w:val="0"/>
          <w:numId w:val="4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the Buyer to purchase the Collateral from the Seller on the Closing Date shall be subject to the satisfaction of the following conditions precedent that:</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4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representations and warranties of the Seller contained in </w:t>
      </w:r>
      <w:r>
        <w:rPr>
          <w:rFonts w:ascii="Times New Roman" w:cs="Times New Roman" w:eastAsia="Times New Roman" w:hAnsi="Times New Roman"/>
          <w:sz w:val="22"/>
          <w:szCs w:val="22"/>
          <w:u w:val="single" w:color="auto"/>
          <w:color w:val="auto"/>
        </w:rPr>
        <w:t>Sections 4.01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4.02</w:t>
      </w:r>
      <w:r>
        <w:rPr>
          <w:rFonts w:ascii="Times New Roman" w:cs="Times New Roman" w:eastAsia="Times New Roman" w:hAnsi="Times New Roman"/>
          <w:sz w:val="22"/>
          <w:szCs w:val="22"/>
          <w:color w:val="auto"/>
        </w:rPr>
        <w:t xml:space="preserve"> shall be true and correct in all material respects on and as the Closing Date (unless stated to relate solely to an earlier date, in which case such representations and warranties shall be true and correct in all material respects as of such earlier date); and</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4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have delivered to the Buyer duly completed Loan Lists that are true, accurate and complete in all respects as of the Closing Date, which lists are made a part of this Agreement.</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4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the Buyer to purchase the Collateral from the Seller on any Purchase Date after the Closing Date shall be subject to the satisfaction of the following conditions precedent that:</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4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representations and warranties of the Seller contained in </w:t>
      </w:r>
      <w:r>
        <w:rPr>
          <w:rFonts w:ascii="Times New Roman" w:cs="Times New Roman" w:eastAsia="Times New Roman" w:hAnsi="Times New Roman"/>
          <w:sz w:val="22"/>
          <w:szCs w:val="22"/>
          <w:u w:val="single" w:color="auto"/>
          <w:color w:val="auto"/>
        </w:rPr>
        <w:t>Sections 4.01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4.02</w:t>
      </w:r>
      <w:r>
        <w:rPr>
          <w:rFonts w:ascii="Times New Roman" w:cs="Times New Roman" w:eastAsia="Times New Roman" w:hAnsi="Times New Roman"/>
          <w:sz w:val="22"/>
          <w:szCs w:val="22"/>
          <w:color w:val="auto"/>
        </w:rPr>
        <w:t xml:space="preserve"> shall be true and correct in all material respects on and as of such date as though made on and as of such date and shall be deemed to have been made on and as of such date (unless stated to relate solely to an earlier date, in which case such representations and warranties shall be true and correct in all material respects as of such earlier date); and</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4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shall have delivered to the Buyer a duly completed Loan List that is true, accurate and complete in all respects as of the related Purchase Date, which list shall be as of such date incorporated into and made a part of this Agreement and an assignment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as applicable.</w:t>
      </w:r>
    </w:p>
    <w:p>
      <w:pPr>
        <w:spacing w:after="0" w:line="16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3.03</w:t>
      </w:r>
      <w:r>
        <w:rPr>
          <w:sz w:val="20"/>
          <w:szCs w:val="20"/>
          <w:color w:val="auto"/>
        </w:rPr>
        <w:tab/>
      </w:r>
      <w:r>
        <w:rPr>
          <w:rFonts w:ascii="Times New Roman" w:cs="Times New Roman" w:eastAsia="Times New Roman" w:hAnsi="Times New Roman"/>
          <w:sz w:val="21"/>
          <w:szCs w:val="21"/>
          <w:b w:val="1"/>
          <w:bCs w:val="1"/>
          <w:u w:val="single" w:color="auto"/>
          <w:color w:val="auto"/>
        </w:rPr>
        <w:t>Release of Excluded Amounts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parties acknowledge and agree that the Buyer has no interest in the Excluded Amounts. Promptly upon the receipt by or release to the Buyer of any Excluded Amounts, the Buyer hereby irrevocably agrees to deliver and release to (or as directed by) the Seller such Excluded Amounts, which release shall be automatic and shall require no further act by the Buyer;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Buyer agrees that it will execute and deliver such instruments of release and assignment or other documents, or otherwise confirm the foregoing release of such Excluded Amounts, as may be reasonably requested by the Seller in writing.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ind w:left="760" w:right="3520" w:firstLine="2773"/>
        <w:spacing w:after="0" w:line="458" w:lineRule="auto"/>
        <w:rPr>
          <w:sz w:val="20"/>
          <w:szCs w:val="20"/>
          <w:color w:val="auto"/>
        </w:rPr>
      </w:pPr>
      <w:r>
        <w:rPr>
          <w:rFonts w:ascii="Times New Roman" w:cs="Times New Roman" w:eastAsia="Times New Roman" w:hAnsi="Times New Roman"/>
          <w:sz w:val="21"/>
          <w:szCs w:val="21"/>
          <w:b w:val="1"/>
          <w:bCs w:val="1"/>
          <w:color w:val="auto"/>
        </w:rPr>
        <w:t xml:space="preserve">REPRESENTATIONS AND WARRANTIES </w:t>
      </w:r>
      <w:r>
        <w:rPr>
          <w:rFonts w:ascii="Times New Roman" w:cs="Times New Roman" w:eastAsia="Times New Roman" w:hAnsi="Times New Roman"/>
          <w:sz w:val="21"/>
          <w:szCs w:val="21"/>
          <w:color w:val="auto"/>
        </w:rPr>
        <w:t xml:space="preserve">Section 4.01 </w:t>
      </w:r>
      <w:r>
        <w:rPr>
          <w:rFonts w:ascii="Times New Roman" w:cs="Times New Roman" w:eastAsia="Times New Roman" w:hAnsi="Times New Roman"/>
          <w:sz w:val="21"/>
          <w:szCs w:val="21"/>
          <w:b w:val="1"/>
          <w:bCs w:val="1"/>
          <w:u w:val="single" w:color="auto"/>
          <w:color w:val="auto"/>
        </w:rPr>
        <w:t>Representations and Warranties Regarding the Seller</w:t>
      </w:r>
      <w:r>
        <w:rPr>
          <w:rFonts w:ascii="Times New Roman" w:cs="Times New Roman" w:eastAsia="Times New Roman" w:hAnsi="Times New Roman"/>
          <w:sz w:val="21"/>
          <w:szCs w:val="21"/>
          <w:color w:val="auto"/>
        </w:rPr>
        <w:t>.</w:t>
      </w: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Seller makes the following representations and warranties, on which the Buyer relies in acquiring the Collateral purchased hereunder and each of the Secured Parties relies upon in entering into the Indenture, purchasing the Notes or extending the Class A-1 Loans, as applicable.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31" w:name="page432"/>
    <w:bookmarkEnd w:id="431"/>
    <w:p>
      <w:pPr>
        <w:ind w:right="20"/>
        <w:spacing w:after="0" w:line="258" w:lineRule="auto"/>
        <w:rPr>
          <w:sz w:val="20"/>
          <w:szCs w:val="20"/>
          <w:color w:val="auto"/>
        </w:rPr>
      </w:pPr>
      <w:r>
        <w:rPr>
          <w:rFonts w:ascii="Times New Roman" w:cs="Times New Roman" w:eastAsia="Times New Roman" w:hAnsi="Times New Roman"/>
          <w:sz w:val="22"/>
          <w:szCs w:val="22"/>
          <w:color w:val="auto"/>
        </w:rPr>
        <w:t>As of the Closing Date and each Purchase Date (unless a specific date is specified below), the Seller represents and warrants to the Buyer for the benefit of the Buyer and its successors and assigns that:</w:t>
      </w:r>
    </w:p>
    <w:p>
      <w:pPr>
        <w:spacing w:after="0" w:line="158" w:lineRule="exact"/>
        <w:rPr>
          <w:sz w:val="20"/>
          <w:szCs w:val="20"/>
          <w:color w:val="auto"/>
        </w:rPr>
      </w:pPr>
    </w:p>
    <w:p>
      <w:pPr>
        <w:jc w:val="both"/>
        <w:ind w:firstLine="757"/>
        <w:spacing w:after="0" w:line="238" w:lineRule="auto"/>
        <w:tabs>
          <w:tab w:leader="none" w:pos="1194" w:val="left"/>
        </w:tabs>
        <w:numPr>
          <w:ilvl w:val="0"/>
          <w:numId w:val="4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The Seller has been duly organized and is validly existing as a corporation in good standing under the laws of the State of Maryland, with all requisite corporate power and authority to own or lease its properties and to conduct its business as such business is presently conducted, and had at all relevant times, and now has, all necessary power, authority and legal right to acquire and own each Collateral Obligation and to sell or contribute such Collateral Obligation to the Buyer hereunder.</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221" w:val="left"/>
        </w:tabs>
        <w:numPr>
          <w:ilvl w:val="0"/>
          <w:numId w:val="4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Qualification</w:t>
      </w:r>
      <w:r>
        <w:rPr>
          <w:rFonts w:ascii="Times New Roman" w:cs="Times New Roman" w:eastAsia="Times New Roman" w:hAnsi="Times New Roman"/>
          <w:sz w:val="22"/>
          <w:szCs w:val="22"/>
          <w:color w:val="auto"/>
        </w:rPr>
        <w:t>. The Seller is duly qualified to do business and has obtained all necessary licenses and approvals, in all jurisdictions in which the ownership or lease of its property or the conduct of its business requires such qualification, licenses and/or approvals as required in each jurisdiction in which the failure to be so qualified or obtain such license or approval, is likely to have a Material Adverse Effect.</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4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and Authority; Due Authorization; Execution and Delivery</w:t>
      </w:r>
      <w:r>
        <w:rPr>
          <w:rFonts w:ascii="Times New Roman" w:cs="Times New Roman" w:eastAsia="Times New Roman" w:hAnsi="Times New Roman"/>
          <w:sz w:val="22"/>
          <w:szCs w:val="22"/>
          <w:color w:val="auto"/>
        </w:rPr>
        <w:t>. The Seller (i) has all necessary corporate power, authority and legal right to (a) execute and deliver this Agreement and (b) carry out the terms of this Agreement and (ii) has duly authorized by all necessary corporate action the execution, delivery and performance of this Agreement and the sale and assignment of an ownership interest in each Collateral Obligation on the terms and conditions herein provided. This Agreement has been duly executed and delivered by the Seller.</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194" w:val="left"/>
        </w:tabs>
        <w:numPr>
          <w:ilvl w:val="0"/>
          <w:numId w:val="4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 Conveyance; Binding Obligations</w:t>
      </w:r>
      <w:r>
        <w:rPr>
          <w:rFonts w:ascii="Times New Roman" w:cs="Times New Roman" w:eastAsia="Times New Roman" w:hAnsi="Times New Roman"/>
          <w:sz w:val="22"/>
          <w:szCs w:val="22"/>
          <w:color w:val="auto"/>
        </w:rPr>
        <w:t>. This Agreement will be duly executed and delivered by the Seller, and this Agreement, other than for accounting and tax purposes, shall effect valid sales of each Collateral Obligation, enforceable against the Seller and creditors of and purchasers from the Seller, and this Agreement shall constitute legal, valid and binding obligations of the Seller enforceable against the Seller in accordance with their respective terms, except as enforceability may be limited by the Bankruptcy Code and all other applicable liquidation, conservatorship, bankruptcy, moratorium, rearrangement, receivership, insolvency, reorganization, suspension of payments, or similar debtor relief laws from time to time in effect affecting the rights of creditors generally and general principles of equity (whether such enforceability is considered in a suit at law or in equity).</w:t>
      </w:r>
    </w:p>
    <w:p>
      <w:pPr>
        <w:spacing w:after="0" w:line="178" w:lineRule="exact"/>
        <w:rPr>
          <w:rFonts w:ascii="Times New Roman" w:cs="Times New Roman" w:eastAsia="Times New Roman" w:hAnsi="Times New Roman"/>
          <w:sz w:val="22"/>
          <w:szCs w:val="22"/>
          <w:color w:val="auto"/>
        </w:rPr>
      </w:pPr>
    </w:p>
    <w:p>
      <w:pPr>
        <w:jc w:val="both"/>
        <w:ind w:firstLine="757"/>
        <w:spacing w:after="0" w:line="235" w:lineRule="auto"/>
        <w:tabs>
          <w:tab w:leader="none" w:pos="1235" w:val="left"/>
        </w:tabs>
        <w:numPr>
          <w:ilvl w:val="0"/>
          <w:numId w:val="4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execution, delivery and performance of this Agreement and all other agreements and instruments executed and delivered or to be executed and delivered by the Seller pursuant hereto or thereto in connection with the sale of any Collateral Obligation will not (i) conflict with, result in any breach of any of the terms and provisions of, or constitute (with or without notice or lapse of time or both) a default under, the Seller’s organizational documentation or any contractual obligation of the Seller, (ii) result in the creation or imposition of any Lien (other than Permitted Liens) upon any of the Seller’s properties pursuant to the terms of any such contractual obligation, other than this Agreement, or (iii) violate any applicable law in any material respect.</w:t>
      </w:r>
    </w:p>
    <w:p>
      <w:pPr>
        <w:spacing w:after="0" w:line="183" w:lineRule="exact"/>
        <w:rPr>
          <w:rFonts w:ascii="Times New Roman" w:cs="Times New Roman" w:eastAsia="Times New Roman" w:hAnsi="Times New Roman"/>
          <w:sz w:val="22"/>
          <w:szCs w:val="22"/>
          <w:color w:val="auto"/>
        </w:rPr>
      </w:pPr>
    </w:p>
    <w:p>
      <w:pPr>
        <w:ind w:firstLine="757"/>
        <w:spacing w:after="0" w:line="258" w:lineRule="auto"/>
        <w:tabs>
          <w:tab w:leader="none" w:pos="1208" w:val="left"/>
        </w:tabs>
        <w:numPr>
          <w:ilvl w:val="0"/>
          <w:numId w:val="4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Proceedings</w:t>
      </w:r>
      <w:r>
        <w:rPr>
          <w:rFonts w:ascii="Times New Roman" w:cs="Times New Roman" w:eastAsia="Times New Roman" w:hAnsi="Times New Roman"/>
          <w:sz w:val="22"/>
          <w:szCs w:val="22"/>
          <w:color w:val="auto"/>
        </w:rPr>
        <w:t>. There is no litigation, proceeding or investigation pending or, to the knowledge of the Seller, threatened against the Seller, before any Authority (i) asserting the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2" w:name="page433"/>
    <w:bookmarkEnd w:id="432"/>
    <w:p>
      <w:pPr>
        <w:spacing w:after="0" w:line="258" w:lineRule="auto"/>
        <w:rPr>
          <w:sz w:val="20"/>
          <w:szCs w:val="20"/>
          <w:color w:val="auto"/>
        </w:rPr>
      </w:pPr>
      <w:r>
        <w:rPr>
          <w:rFonts w:ascii="Times New Roman" w:cs="Times New Roman" w:eastAsia="Times New Roman" w:hAnsi="Times New Roman"/>
          <w:sz w:val="22"/>
          <w:szCs w:val="22"/>
          <w:color w:val="auto"/>
        </w:rPr>
        <w:t>invalidity of this Agreement, (ii) seeking to prevent the consummation of any of the transactions contemplated by this Agreement or (iii) seeking any determination or ruling that could reasonably be expected to have a Material Adverse Effect.</w:t>
      </w:r>
    </w:p>
    <w:p>
      <w:pPr>
        <w:spacing w:after="0" w:line="158" w:lineRule="exact"/>
        <w:rPr>
          <w:sz w:val="20"/>
          <w:szCs w:val="20"/>
          <w:color w:val="auto"/>
        </w:rPr>
      </w:pPr>
    </w:p>
    <w:p>
      <w:pPr>
        <w:jc w:val="both"/>
        <w:ind w:firstLine="757"/>
        <w:spacing w:after="0" w:line="244" w:lineRule="auto"/>
        <w:tabs>
          <w:tab w:leader="none" w:pos="1181" w:val="left"/>
        </w:tabs>
        <w:numPr>
          <w:ilvl w:val="0"/>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Consents Required</w:t>
      </w:r>
      <w:r>
        <w:rPr>
          <w:rFonts w:ascii="Times New Roman" w:cs="Times New Roman" w:eastAsia="Times New Roman" w:hAnsi="Times New Roman"/>
          <w:sz w:val="22"/>
          <w:szCs w:val="22"/>
          <w:color w:val="auto"/>
        </w:rPr>
        <w:t>. All approvals, authorizations, consents, orders, licenses or other actions of any Person or of any Authority (if any) required for the due execution, delivery, performance, validity or enforceability of this Agreement to which the Seller is a party have been obtained.</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221" w:val="left"/>
        </w:tabs>
        <w:numPr>
          <w:ilvl w:val="0"/>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 of Organization, Etc</w:t>
      </w:r>
      <w:r>
        <w:rPr>
          <w:rFonts w:ascii="Times New Roman" w:cs="Times New Roman" w:eastAsia="Times New Roman" w:hAnsi="Times New Roman"/>
          <w:sz w:val="22"/>
          <w:szCs w:val="22"/>
          <w:color w:val="auto"/>
        </w:rPr>
        <w:t xml:space="preserve">. The Seller has not changed its name since its incorporation. Except as permitted hereunder, the chief executive office of the Seller (and the location of the Seller’s records regarding the Collateral Obligations (other than those delivered to the Custodian)) is at the address of the Seller set forth in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The Seller’s only jurisdiction of incorporation is Maryland, and, except as permitted hereunder, the Seller has not changed its jurisdiction of incorporation.</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The Seller is not the subject of any bankruptcy proceedings. The Seller is solvent and will not become insolvent after giving effect to the transactions contemplated by this Agreement and the other Transaction Documents. The Seller, after giving effect to the transactions contemplated by this Agreement and the other Transaction Documents, will have an adequate amount of capital to conduct its business.</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The Seller has complied in all material respects with all applicable law to which it may be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subject.</w:t>
      </w:r>
    </w:p>
    <w:p>
      <w:pPr>
        <w:spacing w:after="0" w:line="182" w:lineRule="exact"/>
        <w:rPr>
          <w:rFonts w:ascii="Times New Roman" w:cs="Times New Roman" w:eastAsia="Times New Roman" w:hAnsi="Times New Roman"/>
          <w:sz w:val="21"/>
          <w:szCs w:val="21"/>
          <w:color w:val="auto"/>
        </w:rPr>
      </w:pPr>
    </w:p>
    <w:p>
      <w:pPr>
        <w:jc w:val="both"/>
        <w:ind w:firstLine="757"/>
        <w:spacing w:after="0" w:line="236" w:lineRule="auto"/>
        <w:tabs>
          <w:tab w:leader="none" w:pos="1194" w:val="left"/>
        </w:tabs>
        <w:numPr>
          <w:ilvl w:val="0"/>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Seller has filed or caused to be filed all tax returns that are required to be filed by it (subject to any extensions to file properly obtained by the same). The Seller has paid or made adequate provisions for the payment of all Taxes and all assessments made against it or any of its property (other than any amount of Tax the validity of which is currently being contested in good faith by appropriate proceedings and with respect to which reserves in accordance with GAAP have been provided on the books of the Seller), and no tax lien has been filed and, to the Seller’s knowledge, no claim is being asserted, with respect to any such Tax, assessment or other charge.</w:t>
      </w:r>
    </w:p>
    <w:p>
      <w:pPr>
        <w:spacing w:after="0" w:line="181" w:lineRule="exact"/>
        <w:rPr>
          <w:rFonts w:ascii="Times New Roman" w:cs="Times New Roman" w:eastAsia="Times New Roman" w:hAnsi="Times New Roman"/>
          <w:sz w:val="22"/>
          <w:szCs w:val="22"/>
          <w:color w:val="auto"/>
        </w:rPr>
      </w:pPr>
    </w:p>
    <w:p>
      <w:pPr>
        <w:jc w:val="both"/>
        <w:ind w:firstLine="757"/>
        <w:spacing w:after="0" w:line="236" w:lineRule="auto"/>
        <w:tabs>
          <w:tab w:leader="none" w:pos="1194" w:val="left"/>
        </w:tabs>
        <w:numPr>
          <w:ilvl w:val="0"/>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Act Compliance; Regulations T, U and X</w:t>
      </w:r>
      <w:r>
        <w:rPr>
          <w:rFonts w:ascii="Times New Roman" w:cs="Times New Roman" w:eastAsia="Times New Roman" w:hAnsi="Times New Roman"/>
          <w:sz w:val="22"/>
          <w:szCs w:val="22"/>
          <w:color w:val="auto"/>
        </w:rPr>
        <w:t>. None of the transactions contemplated herein or in the other Transaction Documents (including, without limitation, the use of the proceeds from the sale of any Collateral Obligation) will violate or result in a violation of Section 7 of the Exchange Act, or any regulations issued pursuant thereto, including, without limitation, Regulations T, U and X of the Board of Governors of the Federal Reserve System, 12 C.F.R., Chapter II. The Seller does not own or intend to carry or purchase, and no proceeds from the sale of the Collateral Obligations will be used to carry or purchase, any Margin Stock or to extend “purpose credit” within the meaning of such Regulation U.</w:t>
      </w:r>
    </w:p>
    <w:p>
      <w:pPr>
        <w:spacing w:after="0" w:line="181"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4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Liens, Etc</w:t>
      </w:r>
      <w:r>
        <w:rPr>
          <w:rFonts w:ascii="Times New Roman" w:cs="Times New Roman" w:eastAsia="Times New Roman" w:hAnsi="Times New Roman"/>
          <w:sz w:val="21"/>
          <w:szCs w:val="21"/>
          <w:color w:val="auto"/>
        </w:rPr>
        <w:t>. Each Collateral Obligation or participation interest therein to be acquired by the Buyer hereunder is owned by the Seller free and clear of any Lien, security interest, charge or encumbrance (subject only to Permitted Liens), and the Seller has the full right, corporate power and lawful authority to sell the same and interests therein and, upon the sale thereof</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3" w:name="page434"/>
    <w:bookmarkEnd w:id="433"/>
    <w:p>
      <w:pPr>
        <w:jc w:val="both"/>
        <w:spacing w:after="0" w:line="244" w:lineRule="auto"/>
        <w:rPr>
          <w:sz w:val="20"/>
          <w:szCs w:val="20"/>
          <w:color w:val="auto"/>
        </w:rPr>
      </w:pPr>
      <w:r>
        <w:rPr>
          <w:rFonts w:ascii="Times New Roman" w:cs="Times New Roman" w:eastAsia="Times New Roman" w:hAnsi="Times New Roman"/>
          <w:sz w:val="22"/>
          <w:szCs w:val="22"/>
          <w:color w:val="auto"/>
        </w:rPr>
        <w:t>hereunder, the Buyer will have acquired good and marketable title to and a valid and perfected ownership interest in such Collateral Obligation or participation interests therein, free and clear of any Lien, security interest, charge or encumbrance (subject only to Permitted Liens).</w:t>
      </w:r>
    </w:p>
    <w:p>
      <w:pPr>
        <w:spacing w:after="0" w:line="173" w:lineRule="exact"/>
        <w:rPr>
          <w:sz w:val="20"/>
          <w:szCs w:val="20"/>
          <w:color w:val="auto"/>
        </w:rPr>
      </w:pPr>
    </w:p>
    <w:p>
      <w:pPr>
        <w:jc w:val="both"/>
        <w:ind w:firstLine="757"/>
        <w:spacing w:after="0" w:line="233" w:lineRule="auto"/>
        <w:tabs>
          <w:tab w:leader="none" w:pos="1181" w:val="left"/>
        </w:tabs>
        <w:numPr>
          <w:ilvl w:val="0"/>
          <w:numId w:val="4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True and Correct</w:t>
      </w:r>
      <w:r>
        <w:rPr>
          <w:rFonts w:ascii="Times New Roman" w:cs="Times New Roman" w:eastAsia="Times New Roman" w:hAnsi="Times New Roman"/>
          <w:sz w:val="22"/>
          <w:szCs w:val="22"/>
          <w:color w:val="auto"/>
        </w:rPr>
        <w:t>. All written information (other than projections, other forward-looking information, information of a general economic or general industry nature and pro forma financial information) heretofore (as of each date when this representation and warranty is made) furnished by or on behalf of the Seller to the Buyer or any assignee thereof in connection with this Agreement or any transaction contemplated hereby is true and accurate in all material respects (to the best knowledge of the Seller, in the case of information obtained by the Seller from Obligors or other unaffiliated third parties), and, taken as a whole, contained as of the date of delivery thereof no untrue statement of a material fact (to the best knowledge of the Seller, in the case of information obtained by the Seller from Obligors or other unaffiliated third parties) and did not omit to state a material fact necessary in order to make the statements contained herein or therein not misleading in light of the circumstances under which such information was furnished (to the best knowledge of the Seller, in the case of information obtained by the Seller from Obligors or other unaffiliated third parties) as of the date such information was furnished. The projections and pro forma financial information contained in the materials referenced above are based upon good faith estimates and assumptions believed by management of the Seller to be reasonable at the time made, it being recognized by the Buyer that such projections and pro forma financial information as it relates to future events are not to be viewed as fact and that actual results during the period or periods covered by such projections and pro forma financial information may differ from the projected and pro forma results set forth therein by a material amount.</w:t>
      </w:r>
    </w:p>
    <w:p>
      <w:pPr>
        <w:spacing w:after="0" w:line="177"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4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Intent of the Seller</w:t>
      </w:r>
      <w:r>
        <w:rPr>
          <w:rFonts w:ascii="Times New Roman" w:cs="Times New Roman" w:eastAsia="Times New Roman" w:hAnsi="Times New Roman"/>
          <w:sz w:val="22"/>
          <w:szCs w:val="22"/>
          <w:color w:val="auto"/>
        </w:rPr>
        <w:t>. The Seller has not sold, contributed, transferred, assigned or otherwise conveyed any interest in any Collateral Obligation or participation interest therein to the Buyer with any intent to hinder, delay or defraud any of the Seller’s creditors.</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4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 Given</w:t>
      </w:r>
      <w:r>
        <w:rPr>
          <w:rFonts w:ascii="Times New Roman" w:cs="Times New Roman" w:eastAsia="Times New Roman" w:hAnsi="Times New Roman"/>
          <w:sz w:val="22"/>
          <w:szCs w:val="22"/>
          <w:color w:val="auto"/>
        </w:rPr>
        <w:t>. The Seller has received reasonably equivalent value from the Buyer in exchange for the sale of such Collateral Obligations sold hereunder. No such sale has been made for or on account of an antecedent debt owed by the Seller and no such transfer is or may be voidable or subject to avoidance under any section of the Bankruptcy Code.</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94" w:val="left"/>
        </w:tabs>
        <w:numPr>
          <w:ilvl w:val="0"/>
          <w:numId w:val="4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 Given</w:t>
      </w:r>
      <w:r>
        <w:rPr>
          <w:rFonts w:ascii="Times New Roman" w:cs="Times New Roman" w:eastAsia="Times New Roman" w:hAnsi="Times New Roman"/>
          <w:sz w:val="22"/>
          <w:szCs w:val="22"/>
          <w:color w:val="auto"/>
        </w:rPr>
        <w:t xml:space="preserve">. The Seller shall not make statements or disclosures, or treat the transactions contemplated by this Agreement (other than for consolidated accounting purposes) in any manner other than as a “true sale” of the title to and sole record and beneficial ownership interest of the Collateral Obligations and the Substitute Collateral Obligations conveyed or purported to be conveyed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Seller may consolidate the Buyer and/or its properties and other assets for accounting purposes in accordance with GAAP if any consolidated financial statements of the Seller contain footnotes disclosing that the Collateral Obligations or the Substitute Collateral Obligations have been sold to the Buyer.</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94" w:val="left"/>
        </w:tabs>
        <w:numPr>
          <w:ilvl w:val="0"/>
          <w:numId w:val="4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Refrain From Action</w:t>
      </w:r>
      <w:r>
        <w:rPr>
          <w:rFonts w:ascii="Times New Roman" w:cs="Times New Roman" w:eastAsia="Times New Roman" w:hAnsi="Times New Roman"/>
          <w:sz w:val="22"/>
          <w:szCs w:val="22"/>
          <w:color w:val="auto"/>
        </w:rPr>
        <w:t>. Unless restricted or prohibited under applicable law, rule, order or the relevant Underlying Documents, the Seller will not take or refrain from taking any action with respect to the Collateral except as directed by the Buyer.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4" w:name="page435"/>
    <w:bookmarkEnd w:id="434"/>
    <w:p>
      <w:pPr>
        <w:jc w:val="both"/>
        <w:ind w:firstLine="757"/>
        <w:spacing w:after="0" w:line="239" w:lineRule="auto"/>
        <w:tabs>
          <w:tab w:leader="none" w:pos="1181" w:val="left"/>
        </w:tabs>
        <w:numPr>
          <w:ilvl w:val="0"/>
          <w:numId w:val="5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In making, managing, handling and transferring the Collateral, the Seller shall exercise the same care as it normally exercises with respect to loans held for its own account, but the Seller shall have no further responsibility to the Buyer except as expressly provided herein and except for its own gross negligence or willful misconduct which results in actual loss to the Buyer.</w:t>
      </w:r>
    </w:p>
    <w:p>
      <w:pPr>
        <w:spacing w:after="0" w:line="17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4.02</w:t>
      </w:r>
      <w:r>
        <w:rPr>
          <w:sz w:val="20"/>
          <w:szCs w:val="20"/>
          <w:color w:val="auto"/>
        </w:rPr>
        <w:tab/>
      </w:r>
      <w:r>
        <w:rPr>
          <w:rFonts w:ascii="Times New Roman" w:cs="Times New Roman" w:eastAsia="Times New Roman" w:hAnsi="Times New Roman"/>
          <w:sz w:val="21"/>
          <w:szCs w:val="21"/>
          <w:b w:val="1"/>
          <w:bCs w:val="1"/>
          <w:u w:val="single" w:color="auto"/>
          <w:color w:val="auto"/>
        </w:rPr>
        <w:t>Representations and Warranties of the Seller Relating to the Agreement and the Collateral</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Seller makes the following representations and warranties, on which the Buyer relies in acquiring each Collateral Obligation purchased hereunder and each of the Secured Parties relies upon in entering into the Indenture, purchasing the Notes or extending the Class A-1 Loans, as applicable. As of the Closing Date and each Purchase Date, the Seller represents and warrants to the Buyer for the benefit of the Buyer and each of its successors and assigns that:</w:t>
      </w:r>
    </w:p>
    <w:p>
      <w:pPr>
        <w:spacing w:after="0" w:line="180" w:lineRule="exact"/>
        <w:rPr>
          <w:sz w:val="20"/>
          <w:szCs w:val="20"/>
          <w:color w:val="auto"/>
        </w:rPr>
      </w:pPr>
    </w:p>
    <w:p>
      <w:pPr>
        <w:jc w:val="both"/>
        <w:ind w:firstLine="757"/>
        <w:spacing w:after="0" w:line="235" w:lineRule="auto"/>
        <w:tabs>
          <w:tab w:leader="none" w:pos="1181" w:val="left"/>
        </w:tabs>
        <w:numPr>
          <w:ilvl w:val="0"/>
          <w:numId w:val="5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 Transfer and Security Interest</w:t>
      </w:r>
      <w:r>
        <w:rPr>
          <w:rFonts w:ascii="Times New Roman" w:cs="Times New Roman" w:eastAsia="Times New Roman" w:hAnsi="Times New Roman"/>
          <w:sz w:val="22"/>
          <w:szCs w:val="22"/>
          <w:color w:val="auto"/>
        </w:rPr>
        <w:t>. This Agreement constitutes a valid transfer to the Buyer of all right, title and interest in, to and under each Collateral Obligation, free and clear of any Lien of any Person claiming through or under the Seller or its Affiliates, except for Permitted Liens. If the conveyances contemplated by this Agreement are determined to be a transfer for security, then this Agreement constitutes a grant of a security interest in each Collateral Obligation to the Buyer which upon the delivery of the Collateral Obligation, in accordance with the definition of “Deliver” under the Indenture, to the Custodian on behalf of the Collateral Trustee, for the benefit of the Secured Parties, and the filing of the financing statements shall be a first priority perfected security interest in each such Collateral Obligation, subject only to Permitted Liens.</w:t>
      </w:r>
    </w:p>
    <w:p>
      <w:pPr>
        <w:spacing w:after="0" w:line="183" w:lineRule="exact"/>
        <w:rPr>
          <w:rFonts w:ascii="Times New Roman" w:cs="Times New Roman" w:eastAsia="Times New Roman" w:hAnsi="Times New Roman"/>
          <w:sz w:val="22"/>
          <w:szCs w:val="22"/>
          <w:color w:val="auto"/>
        </w:rPr>
      </w:pPr>
    </w:p>
    <w:p>
      <w:pPr>
        <w:jc w:val="both"/>
        <w:ind w:firstLine="757"/>
        <w:spacing w:after="0" w:line="235" w:lineRule="auto"/>
        <w:tabs>
          <w:tab w:leader="none" w:pos="1208" w:val="left"/>
        </w:tabs>
        <w:numPr>
          <w:ilvl w:val="0"/>
          <w:numId w:val="5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 of Sale Portfolio</w:t>
      </w:r>
      <w:r>
        <w:rPr>
          <w:rFonts w:ascii="Times New Roman" w:cs="Times New Roman" w:eastAsia="Times New Roman" w:hAnsi="Times New Roman"/>
          <w:sz w:val="22"/>
          <w:szCs w:val="22"/>
          <w:color w:val="auto"/>
        </w:rPr>
        <w:t xml:space="preserve">. (i)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is an accurate and complete listing of each Collateral Obligation transferred to the Buyer as of the Closing Date and the information contained therein with respect to the identity of such Collateral Obligations and the amounts owing thereunder is true and correct as of the Closing Date, (ii) with respect to each Collateral Obligation, all consents, licenses, approvals or authorizations of or registrations or declarations of any governmental authority or any Person required to be obtained, effected or given by the Seller in connection with the transfer of an ownership interest or security interest in each Collateral Obligation to the Buyer have been duly obtained, effected or given and are in full force and effect and (iii) each Collateral Obligation conveyed by the Transferor hereunder, as of the Closing Date or related Cut-Off Date, as applicable, satisfies the definition of “Collateral Obligation”.</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It is understood and agreed that the representations and warranties provided in this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shall survive (x) the sale of the Collateral Obligations to the Buyer, (y) the grant of a first priority perfected security interest in, to and under each Collateral Obligation pursuant to the Indenture by the Buyer and (z) the termination of this Agreement and the Indenture. Upon discovery by the Seller or the Buyer of a breach of any of the foregoing representations and warranties, the party discovering such breach shall give prompt written notice thereof to the other and to the Collateral Trustee immediately upon obtaining knowledge of such breach.</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5" w:name="page436"/>
    <w:bookmarkEnd w:id="435"/>
    <w:p>
      <w:pPr>
        <w:ind w:left="320"/>
        <w:spacing w:after="0"/>
        <w:tabs>
          <w:tab w:leader="none" w:pos="1600" w:val="left"/>
        </w:tabs>
        <w:rPr>
          <w:sz w:val="20"/>
          <w:szCs w:val="20"/>
          <w:color w:val="auto"/>
        </w:rPr>
      </w:pPr>
      <w:r>
        <w:rPr>
          <w:rFonts w:ascii="Times New Roman" w:cs="Times New Roman" w:eastAsia="Times New Roman" w:hAnsi="Times New Roman"/>
          <w:sz w:val="22"/>
          <w:szCs w:val="22"/>
          <w:color w:val="auto"/>
        </w:rPr>
        <w:t>Section 4.03</w:t>
      </w:r>
      <w:r>
        <w:rPr>
          <w:sz w:val="20"/>
          <w:szCs w:val="20"/>
          <w:color w:val="auto"/>
        </w:rPr>
        <w:tab/>
      </w:r>
      <w:r>
        <w:rPr>
          <w:rFonts w:ascii="Times New Roman" w:cs="Times New Roman" w:eastAsia="Times New Roman" w:hAnsi="Times New Roman"/>
          <w:sz w:val="21"/>
          <w:szCs w:val="21"/>
          <w:b w:val="1"/>
          <w:bCs w:val="1"/>
          <w:u w:val="single" w:color="auto"/>
          <w:color w:val="auto"/>
        </w:rPr>
        <w:t>Representations and Warranties Regarding the Buyer</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By its execution of this Agreement, the Buyer represents and warrants to the Seller that:</w:t>
      </w:r>
    </w:p>
    <w:p>
      <w:pPr>
        <w:spacing w:after="0" w:line="206" w:lineRule="exact"/>
        <w:rPr>
          <w:sz w:val="20"/>
          <w:szCs w:val="20"/>
          <w:color w:val="auto"/>
        </w:rPr>
      </w:pPr>
    </w:p>
    <w:p>
      <w:pPr>
        <w:jc w:val="both"/>
        <w:ind w:left="-440" w:firstLine="757"/>
        <w:spacing w:after="0" w:line="239" w:lineRule="auto"/>
        <w:tabs>
          <w:tab w:leader="none" w:pos="741" w:val="left"/>
        </w:tabs>
        <w:numPr>
          <w:ilvl w:val="0"/>
          <w:numId w:val="5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Organization</w:t>
      </w:r>
      <w:r>
        <w:rPr>
          <w:rFonts w:ascii="Times New Roman" w:cs="Times New Roman" w:eastAsia="Times New Roman" w:hAnsi="Times New Roman"/>
          <w:sz w:val="22"/>
          <w:szCs w:val="22"/>
          <w:color w:val="auto"/>
        </w:rPr>
        <w:t>. The Buyer is a limited liability company duly formed and validly existing under the laws of the State of Delaware, with full power and authority to own and operate its assets and properties, conduct the business in which it is now engaged and to execute and deliver and perform its obligations under this Agreement and the other Transaction Documents to which it is a party.</w:t>
      </w:r>
    </w:p>
    <w:p>
      <w:pPr>
        <w:spacing w:after="0" w:line="180" w:lineRule="exact"/>
        <w:rPr>
          <w:rFonts w:ascii="Times New Roman" w:cs="Times New Roman" w:eastAsia="Times New Roman" w:hAnsi="Times New Roman"/>
          <w:sz w:val="22"/>
          <w:szCs w:val="22"/>
          <w:color w:val="auto"/>
        </w:rPr>
      </w:pPr>
    </w:p>
    <w:p>
      <w:pPr>
        <w:jc w:val="both"/>
        <w:ind w:left="-440" w:firstLine="757"/>
        <w:spacing w:after="0" w:line="236" w:lineRule="auto"/>
        <w:tabs>
          <w:tab w:leader="none" w:pos="741" w:val="left"/>
        </w:tabs>
        <w:numPr>
          <w:ilvl w:val="0"/>
          <w:numId w:val="5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Qualification and Good Standing</w:t>
      </w:r>
      <w:r>
        <w:rPr>
          <w:rFonts w:ascii="Times New Roman" w:cs="Times New Roman" w:eastAsia="Times New Roman" w:hAnsi="Times New Roman"/>
          <w:sz w:val="22"/>
          <w:szCs w:val="22"/>
          <w:color w:val="auto"/>
        </w:rPr>
        <w:t>. The Buyer is in good standing in the State of Delaware. The Buyer is duly qualified to do business and, to the extent applicable, is in good standing and has obtained or will obtain all material governmental licenses and approvals as required in Delaware and each other jurisdiction in which the nature of its business, assets and properties, including the performance of its obligations under this Agreement and the other Transaction Documents to which it is a party requires such qualification, except where the failure to be so qualified, maintain good standing or obtain such license or approval would not reasonably be expected to have a Material Adverse Effect.</w:t>
      </w:r>
    </w:p>
    <w:p>
      <w:pPr>
        <w:spacing w:after="0" w:line="181" w:lineRule="exact"/>
        <w:rPr>
          <w:rFonts w:ascii="Times New Roman" w:cs="Times New Roman" w:eastAsia="Times New Roman" w:hAnsi="Times New Roman"/>
          <w:sz w:val="22"/>
          <w:szCs w:val="22"/>
          <w:color w:val="auto"/>
        </w:rPr>
      </w:pPr>
    </w:p>
    <w:p>
      <w:pPr>
        <w:jc w:val="both"/>
        <w:ind w:left="-440" w:firstLine="757"/>
        <w:spacing w:after="0" w:line="235" w:lineRule="auto"/>
        <w:tabs>
          <w:tab w:leader="none" w:pos="741" w:val="left"/>
        </w:tabs>
        <w:numPr>
          <w:ilvl w:val="0"/>
          <w:numId w:val="5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Authorization; Execution and Delivery; Legal, Valid and Binding; Enforceability</w:t>
      </w:r>
      <w:r>
        <w:rPr>
          <w:rFonts w:ascii="Times New Roman" w:cs="Times New Roman" w:eastAsia="Times New Roman" w:hAnsi="Times New Roman"/>
          <w:sz w:val="22"/>
          <w:szCs w:val="22"/>
          <w:color w:val="auto"/>
        </w:rPr>
        <w:t>. The execution and delivery by the Buyer of, and the performance of its obligations under this Agreement, the other Transaction Documents to which it is a party and the other instruments, certificates and agreements contemplated hereby or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83" w:lineRule="exact"/>
        <w:rPr>
          <w:rFonts w:ascii="Times New Roman" w:cs="Times New Roman" w:eastAsia="Times New Roman" w:hAnsi="Times New Roman"/>
          <w:sz w:val="22"/>
          <w:szCs w:val="22"/>
          <w:color w:val="auto"/>
        </w:rPr>
      </w:pPr>
    </w:p>
    <w:p>
      <w:pPr>
        <w:jc w:val="both"/>
        <w:ind w:left="-440" w:firstLine="757"/>
        <w:spacing w:after="0" w:line="245" w:lineRule="auto"/>
        <w:tabs>
          <w:tab w:leader="none" w:pos="754" w:val="left"/>
        </w:tabs>
        <w:numPr>
          <w:ilvl w:val="0"/>
          <w:numId w:val="5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Non-Contravention</w:t>
      </w:r>
      <w:r>
        <w:rPr>
          <w:rFonts w:ascii="Times New Roman" w:cs="Times New Roman" w:eastAsia="Times New Roman" w:hAnsi="Times New Roman"/>
          <w:sz w:val="21"/>
          <w:szCs w:val="21"/>
          <w:color w:val="auto"/>
        </w:rPr>
        <w:t xml:space="preserve">. None of the execution and delivery by the Buyer of this Agreement or the other Transaction Documents to which it is a party, the consummation of the transactions herein or therein contemplated, or performance and compliance by it with the terms, conditions and provisions hereof or thereof, will (i) contravene in any material respect or result in any breach of, any of the terms and provisions of, its certificate of formation and the Issuer LLCA, (ii) conflict with or contravene (A) any applicable law, (B) any indenture, agreement or other contractual restriction binding on or affecting it or any of its assets, including any Related Contract,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 in each case under this </w:t>
      </w:r>
      <w:r>
        <w:rPr>
          <w:rFonts w:ascii="Times New Roman" w:cs="Times New Roman" w:eastAsia="Times New Roman" w:hAnsi="Times New Roman"/>
          <w:sz w:val="21"/>
          <w:szCs w:val="21"/>
          <w:u w:val="single" w:color="auto"/>
          <w:color w:val="auto"/>
        </w:rPr>
        <w:t>Section 4.03(d)</w:t>
      </w:r>
      <w:r>
        <w:rPr>
          <w:rFonts w:ascii="Times New Roman" w:cs="Times New Roman" w:eastAsia="Times New Roman" w:hAnsi="Times New Roman"/>
          <w:sz w:val="21"/>
          <w:szCs w:val="21"/>
          <w:color w:val="auto"/>
        </w:rPr>
        <w:t xml:space="preserve"> which would have a Material Adverse Effect.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727075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04" w:right="339" w:bottom="1440" w:gutter="0" w:footer="0" w:header="0"/>
        </w:sectPr>
      </w:pPr>
    </w:p>
    <w:bookmarkStart w:id="436" w:name="page437"/>
    <w:bookmarkEnd w:id="436"/>
    <w:p>
      <w:pPr>
        <w:jc w:val="both"/>
        <w:ind w:firstLine="757"/>
        <w:spacing w:after="0" w:line="247" w:lineRule="auto"/>
        <w:tabs>
          <w:tab w:leader="none" w:pos="1181" w:val="left"/>
        </w:tabs>
        <w:numPr>
          <w:ilvl w:val="0"/>
          <w:numId w:val="5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Governmental Authorizations; Private Authorizations; Governmental Filings</w:t>
      </w:r>
      <w:r>
        <w:rPr>
          <w:rFonts w:ascii="Times New Roman" w:cs="Times New Roman" w:eastAsia="Times New Roman" w:hAnsi="Times New Roman"/>
          <w:sz w:val="21"/>
          <w:szCs w:val="21"/>
          <w:color w:val="auto"/>
        </w:rPr>
        <w:t>. No order, consent, approval, license, authorization, or validation of, or filing, recording or registration with, or exemption by, any governmental or public body or authority, or any subdivision thereof, is required to authorize, or is required in connection with the execution, delivery and performance of any Transaction Documents to which the Buyer is a party or the consummation of any of the transactions contemplated thereby other than those that have already been duly made or obtained and remain in full force and effect or those recordings and filings in connection with the Liens granted to the Collateral Trustee under the Transaction Documents, except for any order, consent, approval, license, authorization, or validation of, or filing, recording or registration with, or exemption, that, if not obtained, would not, either individually or in the aggregate, reasonably be expected to have a Material Adverse Effect.</w:t>
      </w:r>
    </w:p>
    <w:p>
      <w:pPr>
        <w:spacing w:after="0" w:line="171" w:lineRule="exact"/>
        <w:rPr>
          <w:rFonts w:ascii="Times New Roman" w:cs="Times New Roman" w:eastAsia="Times New Roman" w:hAnsi="Times New Roman"/>
          <w:sz w:val="21"/>
          <w:szCs w:val="21"/>
          <w:color w:val="auto"/>
        </w:rPr>
      </w:pPr>
    </w:p>
    <w:p>
      <w:pPr>
        <w:ind w:right="20" w:firstLine="757"/>
        <w:spacing w:after="0" w:line="258" w:lineRule="auto"/>
        <w:tabs>
          <w:tab w:leader="none" w:pos="1181" w:val="left"/>
        </w:tabs>
        <w:numPr>
          <w:ilvl w:val="0"/>
          <w:numId w:val="5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 of Business; No Changes</w:t>
      </w:r>
      <w:r>
        <w:rPr>
          <w:rFonts w:ascii="Times New Roman" w:cs="Times New Roman" w:eastAsia="Times New Roman" w:hAnsi="Times New Roman"/>
          <w:sz w:val="22"/>
          <w:szCs w:val="22"/>
          <w:color w:val="auto"/>
        </w:rPr>
        <w:t>. The Buyer’s location (within the meaning of Article 9 of the UCC) is Delaware. The Buyer has not changed its name nor its location, within the four months preceding the Closing Date.</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208" w:val="left"/>
        </w:tabs>
        <w:numPr>
          <w:ilvl w:val="0"/>
          <w:numId w:val="5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Treatment</w:t>
      </w:r>
      <w:r>
        <w:rPr>
          <w:rFonts w:ascii="Times New Roman" w:cs="Times New Roman" w:eastAsia="Times New Roman" w:hAnsi="Times New Roman"/>
          <w:sz w:val="22"/>
          <w:szCs w:val="22"/>
          <w:color w:val="auto"/>
        </w:rPr>
        <w:t>. Other than for consolidated accounting and tax purposes, the Buyer has treated the transfer of Collateral Obligations hereunder to the Buyer for all purposes as a sale by the Seller and purchase by the Buyer on all of its relevant books and records and other applicable documents.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1"/>
          <w:szCs w:val="21"/>
          <w:b w:val="1"/>
          <w:bCs w:val="1"/>
          <w:u w:val="single" w:color="auto"/>
          <w:color w:val="auto"/>
        </w:rPr>
        <w:t>Amendments and Waivers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5" w:lineRule="auto"/>
        <w:tabs>
          <w:tab w:leader="none" w:pos="1181" w:val="left"/>
        </w:tabs>
        <w:numPr>
          <w:ilvl w:val="0"/>
          <w:numId w:val="5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may be amended or waived from time to time by the parties hereto by written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amendment or waiver shall reduce the amount of, or delay the timing of, any amounts received on Collateral Obligations which are required to be distributed with respect to any Class of Secured Debt without the consent of the Holders of each Class materially and adversely affected thereby, or change the rights or obligations of any other party hereto without the consent of such party. Failure of Holders to object within ten Business Days of notice being given of any proposed amendment shall constitute consent for all purposes hereunder. Notwithstanding the foregoing, the Loan Lists may be amended and modified by the Seller at any time in accordance with this Agreement by providing updated Loan Lists to the Buyer and the Collateral Trustee.</w:t>
      </w:r>
    </w:p>
    <w:p>
      <w:pPr>
        <w:spacing w:after="0" w:line="182"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5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execution of any such amendment or waiver, the Buyer shall furnish to the Collateral Manager and the Collateral Trustee (and the Collateral Trustee shall furnish to the Rating Agency and each Holder five Business Days prior to the execution thereof) written notification of the substance of such proposed amendment or waiver, together with a copy thereof.</w:t>
      </w:r>
    </w:p>
    <w:p>
      <w:pPr>
        <w:spacing w:after="0" w:line="157" w:lineRule="exact"/>
        <w:rPr>
          <w:rFonts w:ascii="Times New Roman" w:cs="Times New Roman" w:eastAsia="Times New Roman" w:hAnsi="Times New Roman"/>
          <w:sz w:val="21"/>
          <w:szCs w:val="21"/>
          <w:color w:val="auto"/>
        </w:rPr>
      </w:pPr>
    </w:p>
    <w:p>
      <w:pPr>
        <w:jc w:val="both"/>
        <w:ind w:firstLine="757"/>
        <w:spacing w:after="0" w:line="239" w:lineRule="auto"/>
        <w:tabs>
          <w:tab w:leader="none" w:pos="1181" w:val="left"/>
        </w:tabs>
        <w:numPr>
          <w:ilvl w:val="0"/>
          <w:numId w:val="5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execution of any such amendment or waiver, the Buyer shall furnish (or cause the Collateral Trustee to furnish at the expense of the Borrower) a copy of such amendment or waiver to the Collateral Trustee (if applicable), the Collateral Manager, the Rating Agency and to each Holder. It shall not be necessary for the consent of any Holders pursuant to</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7" w:name="page438"/>
    <w:bookmarkEnd w:id="437"/>
    <w:p>
      <w:pPr>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to approve the particular form of any proposed amendment or consent, but it shall be sufficient if such consent shall approve the substance thereof.</w:t>
      </w:r>
    </w:p>
    <w:p>
      <w:pPr>
        <w:spacing w:after="0" w:line="158" w:lineRule="exact"/>
        <w:rPr>
          <w:sz w:val="20"/>
          <w:szCs w:val="20"/>
          <w:color w:val="auto"/>
        </w:rPr>
      </w:pPr>
    </w:p>
    <w:p>
      <w:pPr>
        <w:jc w:val="both"/>
        <w:ind w:firstLine="757"/>
        <w:spacing w:after="0" w:line="235" w:lineRule="auto"/>
        <w:tabs>
          <w:tab w:leader="none" w:pos="1181" w:val="left"/>
        </w:tabs>
        <w:numPr>
          <w:ilvl w:val="0"/>
          <w:numId w:val="5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execution of any amendment to this Agreement, the Buyer and the Collateral Trustee shall be entitled to receive and rely upon an Opinion of Counsel (which Opinion of Counsel may rely upon one or more certificates from an Authorized Officer of the Seller, the Buyer and/or the Collateral Manager with respect to factual matters and of the Buyer and/or the Collateral Manager with respect to the effect of any such amendment or waiver on the economic interests of the Buyer or the Holders) stating that the execution of such amendment is authorized or permitted by this Agreement and that all conditions precedent thereto have been satisfied. The Collateral Trustee shall not be liable for any reliance made in good faith upon such an Opinion of Counsel.</w:t>
      </w:r>
    </w:p>
    <w:p>
      <w:pPr>
        <w:spacing w:after="0" w:line="17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5.02</w:t>
      </w:r>
      <w:r>
        <w:rPr>
          <w:sz w:val="20"/>
          <w:szCs w:val="20"/>
          <w:color w:val="auto"/>
        </w:rPr>
        <w:tab/>
      </w:r>
      <w:r>
        <w:rPr>
          <w:rFonts w:ascii="Times New Roman" w:cs="Times New Roman" w:eastAsia="Times New Roman" w:hAnsi="Times New Roman"/>
          <w:sz w:val="21"/>
          <w:szCs w:val="21"/>
          <w:b w:val="1"/>
          <w:bCs w:val="1"/>
          <w:u w:val="single" w:color="auto"/>
          <w:color w:val="auto"/>
        </w:rPr>
        <w:t>Notices, Etc</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All demands, notices and other communications hereunder shall, unless otherwise stated herein, be in writing (which shall include facsimile communication and communication by e-mail in portable document format (.pdf)) and faxed, e-mailed or delivered, to each party hereto, at its address set forth below or at such other address as shall be designated by such party in a written notice to the other parties hereto, and to the Collateral Trustee or the Rating Agency, at its address set forth in the Indenture or at such other address as shall be designated by such Person in a written notice to the other parties hereto. Notices and communications by facsimile and e-mail shall be effective when sent (and shall be followed by hard copy sent by regular mail), and notices and communications sent by other means shall be effective when received. Notices and other communications relating to this Agreement to be delivered by the Buyer (or the Collateral Trustee on its behalf) to any Holder shall be delivered as provided in the Indenture.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address for the Seller is the following:</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1691 Michigan Avenue Suite 500</w:t>
      </w:r>
    </w:p>
    <w:p>
      <w:pPr>
        <w:ind w:left="1500"/>
        <w:spacing w:after="0"/>
        <w:rPr>
          <w:sz w:val="20"/>
          <w:szCs w:val="20"/>
          <w:color w:val="auto"/>
        </w:rPr>
      </w:pPr>
      <w:r>
        <w:rPr>
          <w:rFonts w:ascii="Times New Roman" w:cs="Times New Roman" w:eastAsia="Times New Roman" w:hAnsi="Times New Roman"/>
          <w:sz w:val="22"/>
          <w:szCs w:val="22"/>
          <w:color w:val="auto"/>
        </w:rPr>
        <w:t>Miami Beach, Florida 33139</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address for the Buyer is the following:</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PennantPark CLO 11, LLC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c/o PennantPark Investment Administration, LLC</w:t>
      </w:r>
    </w:p>
    <w:p>
      <w:pPr>
        <w:ind w:left="1500"/>
        <w:spacing w:after="0" w:line="230" w:lineRule="auto"/>
        <w:rPr>
          <w:sz w:val="20"/>
          <w:szCs w:val="20"/>
          <w:color w:val="auto"/>
        </w:rPr>
      </w:pPr>
      <w:r>
        <w:rPr>
          <w:rFonts w:ascii="Times New Roman" w:cs="Times New Roman" w:eastAsia="Times New Roman" w:hAnsi="Times New Roman"/>
          <w:sz w:val="22"/>
          <w:szCs w:val="22"/>
          <w:color w:val="auto"/>
        </w:rPr>
        <w:t>1691 Michigan Avenue Suite 500</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Miami Beach, Florida 33139</w:t>
      </w:r>
    </w:p>
    <w:p>
      <w:pPr>
        <w:spacing w:after="0" w:line="205"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5.03</w:t>
      </w:r>
      <w:r>
        <w:rPr>
          <w:sz w:val="20"/>
          <w:szCs w:val="20"/>
          <w:color w:val="auto"/>
        </w:rPr>
        <w:tab/>
      </w:r>
      <w:r>
        <w:rPr>
          <w:rFonts w:ascii="Times New Roman" w:cs="Times New Roman" w:eastAsia="Times New Roman" w:hAnsi="Times New Roman"/>
          <w:sz w:val="21"/>
          <w:szCs w:val="21"/>
          <w:b w:val="1"/>
          <w:bCs w:val="1"/>
          <w:u w:val="single" w:color="auto"/>
          <w:color w:val="auto"/>
        </w:rPr>
        <w:t>Severability of Provisions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If any one or more of the covenants, provisions or terms of this Agreement shall be for any reason whatsoever held invalid, then such covenants, provisions or terms shall be deemed severable from the remaining covenants, provisions or terms of this Agreement and shall in no way affect the validity or enforceability of the other provisions of this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8" w:name="page439"/>
    <w:bookmarkEnd w:id="438"/>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5.04</w:t>
      </w:r>
      <w:r>
        <w:rPr>
          <w:sz w:val="20"/>
          <w:szCs w:val="20"/>
          <w:color w:val="auto"/>
        </w:rPr>
        <w:tab/>
      </w:r>
      <w:r>
        <w:rPr>
          <w:rFonts w:ascii="Times New Roman" w:cs="Times New Roman" w:eastAsia="Times New Roman" w:hAnsi="Times New Roman"/>
          <w:sz w:val="21"/>
          <w:szCs w:val="21"/>
          <w:b w:val="1"/>
          <w:bCs w:val="1"/>
          <w:u w:val="single" w:color="auto"/>
          <w:color w:val="auto"/>
        </w:rPr>
        <w:t>GOVERNING LAW; JURY WAIVER</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THIS AGREEMENT SHALL, IN ACCORDANCE WITH SECTION 5-1401 OF THE GENERAL OBLIGATIONS LAW OF THE STATE OF NEW YORK, BE GOVERNED BY THE LAWS OF THE STATE OF NEW YORK. EACH OF THE PARTIES HERETO WAIVES, TO THE FULLEST EXTENT PERMITTED BY LAW, ANY RIGHT IT MAY HAVE TO A TRIAL BY JURY IN RESPECT OF ANY LITIGATION ARISING DIRECTLY OR INDIRECTLY OUT OF, UNDER OR IN CONNECTION WITH THIS AGREEMENT OR ANY OF THE TRANSACTIONS CONTEMPLATED HEREUNDER.</w:t>
      </w:r>
    </w:p>
    <w:p>
      <w:pPr>
        <w:spacing w:after="0" w:line="16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5.05</w:t>
      </w:r>
      <w:r>
        <w:rPr>
          <w:sz w:val="20"/>
          <w:szCs w:val="20"/>
          <w:color w:val="auto"/>
        </w:rPr>
        <w:tab/>
      </w: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861"/>
        <w:spacing w:after="0" w:line="238" w:lineRule="auto"/>
        <w:rPr>
          <w:sz w:val="20"/>
          <w:szCs w:val="20"/>
          <w:color w:val="auto"/>
        </w:rPr>
      </w:pPr>
      <w:r>
        <w:rPr>
          <w:rFonts w:ascii="Times New Roman" w:cs="Times New Roman" w:eastAsia="Times New Roman" w:hAnsi="Times New Roman"/>
          <w:sz w:val="22"/>
          <w:szCs w:val="22"/>
          <w:color w:val="auto"/>
        </w:rPr>
        <w:t>For the purpose of facilitating the execution of this Agreement and for other purposes, this Agreement may be executed simultaneously in any number of counterparts, each of which counterparts shall be deemed to be an original, and all of which counterparts shall constitute but one and the same instrument. Delivery of an executed counterpart of a signature page to this Agreement by facsimile or e-mail in portable document format (.pdf) shall be effective as delivery of a manually executed counterpart of this Agreement.</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5.06</w:t>
      </w:r>
      <w:r>
        <w:rPr>
          <w:sz w:val="20"/>
          <w:szCs w:val="20"/>
          <w:color w:val="auto"/>
        </w:rPr>
        <w:tab/>
      </w:r>
      <w:r>
        <w:rPr>
          <w:rFonts w:ascii="Times New Roman" w:cs="Times New Roman" w:eastAsia="Times New Roman" w:hAnsi="Times New Roman"/>
          <w:sz w:val="21"/>
          <w:szCs w:val="21"/>
          <w:b w:val="1"/>
          <w:bCs w:val="1"/>
          <w:u w:val="single" w:color="auto"/>
          <w:color w:val="auto"/>
        </w:rPr>
        <w:t>Bankruptcy Non-Petition and Limited Recourse; Claims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Each of the parties hereto hereby agrees that it will not institute against, or join any other Person in instituting against, the other party hereto any bankruptcy or similar proceeding so long as there shall not have elapsed one year and one day (or such longer preference period as shall then be in effect and one day) after payment in full of all Debt. In addition, the obligations of the Buyer under this Agreement (including any claims arising under this Agreement) shall be limited in recourse to the proceeds of the Assets (as defined in and applied in accordance with the Indenture) and to the extent such proceeds are insufficient to meet the obligations of the Buyer under this Agreement in full, the Buyer shall have no further liability and any outstanding obligations of the Buyer and all claims against the Buyer shall be extinguished. The obligations of the Buyer under this Agreement shall be solely the limited liability company obligations of the Buyer. None of the parties hereto shall have any recourse for any amounts payable or any other obligations arising under this Agreement against any officer, member, manager, director, employee, partner, Affiliate or security holder of the other party or any of its successors or assigns. The terms of this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 xml:space="preserve"> shall survive termination of this Agreement.</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5.07</w:t>
      </w:r>
      <w:r>
        <w:rPr>
          <w:sz w:val="20"/>
          <w:szCs w:val="20"/>
          <w:color w:val="auto"/>
        </w:rPr>
        <w:tab/>
      </w:r>
      <w:r>
        <w:rPr>
          <w:rFonts w:ascii="Times New Roman" w:cs="Times New Roman" w:eastAsia="Times New Roman" w:hAnsi="Times New Roman"/>
          <w:sz w:val="21"/>
          <w:szCs w:val="21"/>
          <w:b w:val="1"/>
          <w:bCs w:val="1"/>
          <w:u w:val="single" w:color="auto"/>
          <w:color w:val="auto"/>
        </w:rPr>
        <w:t>Binding Effect; Assignability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Agreement shall be binding upon and inure to the benefit of the parties hereto and their respective successors and permitted assigns. No third party (other than the Collateral Trustee and the other Secured Parties) shall be third-party beneficiaries of this Agreement.</w:t>
      </w:r>
    </w:p>
    <w:p>
      <w:pPr>
        <w:spacing w:after="0" w:line="16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5.08</w:t>
      </w:r>
      <w:r>
        <w:rPr>
          <w:sz w:val="20"/>
          <w:szCs w:val="20"/>
          <w:color w:val="auto"/>
        </w:rPr>
        <w:tab/>
      </w:r>
      <w:r>
        <w:rPr>
          <w:rFonts w:ascii="Times New Roman" w:cs="Times New Roman" w:eastAsia="Times New Roman" w:hAnsi="Times New Roman"/>
          <w:sz w:val="21"/>
          <w:szCs w:val="21"/>
          <w:b w:val="1"/>
          <w:bCs w:val="1"/>
          <w:u w:val="single" w:color="auto"/>
          <w:color w:val="auto"/>
        </w:rPr>
        <w:t>Headings and Exhibits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headings herein are for purposes of references only and shall not otherwise affect the meaning or interpretation of any provision hereof. The schedules and exhibits attached hereto and referred to herein shall constitute a part of this Agreement and are incorporated into this Agreement for all purposes.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39" w:name="page440"/>
    <w:bookmarkEnd w:id="439"/>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5.09</w:t>
      </w:r>
      <w:r>
        <w:rPr>
          <w:sz w:val="20"/>
          <w:szCs w:val="20"/>
          <w:color w:val="auto"/>
        </w:rPr>
        <w:tab/>
      </w:r>
      <w:r>
        <w:rPr>
          <w:rFonts w:ascii="Times New Roman" w:cs="Times New Roman" w:eastAsia="Times New Roman" w:hAnsi="Times New Roman"/>
          <w:sz w:val="21"/>
          <w:szCs w:val="21"/>
          <w:b w:val="1"/>
          <w:bCs w:val="1"/>
          <w:u w:val="single" w:color="auto"/>
          <w:color w:val="auto"/>
        </w:rPr>
        <w:t>No Waiver; Cumulative Remedies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 waiver to exercise and no delay in exercising, on the part of the Buyer, the Seller or the Collateral Trustee,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 provided by law.</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21"/>
          <w:szCs w:val="21"/>
          <w:b w:val="1"/>
          <w:bCs w:val="1"/>
          <w:u w:val="single" w:color="auto"/>
          <w:color w:val="auto"/>
        </w:rPr>
        <w:t>Merger and Integration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Except as specifically stated otherwise herein, this Agreement sets forth the entire understanding of the parties relating to the subject matter hereof, and all prior understandings, written or oral, are superseded by this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 Signature Pages Follow.]</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40" w:name="page441"/>
    <w:bookmarkEnd w:id="440"/>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hereto have caused this Agreement to be duly executed by their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as of the day and year first above written.</w:t>
      </w:r>
    </w:p>
    <w:p>
      <w:pPr>
        <w:spacing w:after="0" w:line="39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as the Seller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10972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 Jeffrey S. Sion</w:t>
      </w:r>
    </w:p>
    <w:p>
      <w:pPr>
        <w:ind w:left="48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6257925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41" w:name="page442"/>
    <w:bookmarkEnd w:id="441"/>
    <w:p>
      <w:pPr>
        <w:ind w:left="3380"/>
        <w:spacing w:after="0"/>
        <w:rPr>
          <w:sz w:val="20"/>
          <w:szCs w:val="20"/>
          <w:color w:val="auto"/>
        </w:rPr>
      </w:pPr>
      <w:r>
        <w:rPr>
          <w:rFonts w:ascii="Times New Roman" w:cs="Times New Roman" w:eastAsia="Times New Roman" w:hAnsi="Times New Roman"/>
          <w:sz w:val="22"/>
          <w:szCs w:val="22"/>
          <w:b w:val="1"/>
          <w:bCs w:val="1"/>
          <w:color w:val="auto"/>
        </w:rPr>
        <w:t>PENNANTPARK CLO 11,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as the Buyer</w:t>
      </w:r>
    </w:p>
    <w:p>
      <w:pPr>
        <w:spacing w:after="0" w:line="20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By: PennantPark Investment Advisers, LLC, as Designated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2421255</wp:posOffset>
            </wp:positionH>
            <wp:positionV relativeFrom="paragraph">
              <wp:posOffset>-13970</wp:posOffset>
            </wp:positionV>
            <wp:extent cx="10972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22"/>
          <w:szCs w:val="22"/>
          <w:color w:val="auto"/>
        </w:rPr>
        <w:t>Name: Jeffrey S. Sion</w:t>
      </w:r>
    </w:p>
    <w:p>
      <w:pPr>
        <w:ind w:left="37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5777865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00"/>
          </w:cols>
          <w:pgMar w:left="1440" w:top="1404" w:right="759" w:bottom="1440" w:gutter="0" w:footer="0" w:header="0"/>
        </w:sectPr>
      </w:pPr>
    </w:p>
    <w:bookmarkStart w:id="442" w:name="page443"/>
    <w:bookmarkEnd w:id="442"/>
    <w:p>
      <w:pPr>
        <w:ind w:left="3380"/>
        <w:spacing w:after="0"/>
        <w:rPr>
          <w:sz w:val="20"/>
          <w:szCs w:val="20"/>
          <w:color w:val="auto"/>
        </w:rPr>
      </w:pPr>
      <w:r>
        <w:rPr>
          <w:rFonts w:ascii="Times New Roman" w:cs="Times New Roman" w:eastAsia="Times New Roman" w:hAnsi="Times New Roman"/>
          <w:sz w:val="22"/>
          <w:szCs w:val="22"/>
          <w:b w:val="1"/>
          <w:bCs w:val="1"/>
          <w:color w:val="auto"/>
        </w:rPr>
        <w:t>PENNANTPARK FLOATING RATE FUNDING I,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as the Financing Subsidiary</w:t>
      </w:r>
    </w:p>
    <w:p>
      <w:pPr>
        <w:spacing w:after="0" w:line="18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By: PennantPark Floating Rate Capital Ltd., its designated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Jeffrey S. Sion</w:t>
      </w:r>
    </w:p>
    <w:p>
      <w:pPr>
        <w:spacing w:after="0" w:line="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 Jeffrey S. Sion</w:t>
      </w:r>
    </w:p>
    <w:p>
      <w:pPr>
        <w:ind w:left="37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1217295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440" w:top="1404" w:right="1219" w:bottom="1440" w:gutter="0" w:footer="0" w:header="0"/>
        </w:sectPr>
      </w:pPr>
    </w:p>
    <w:bookmarkStart w:id="443" w:name="page444"/>
    <w:bookmarkEnd w:id="443"/>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Assignment (Schedule 2)</w:t>
      </w:r>
    </w:p>
    <w:p>
      <w:pPr>
        <w:spacing w:after="0" w:line="210"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21"/>
          <w:szCs w:val="21"/>
          <w:color w:val="auto"/>
        </w:rPr>
        <w:t>[Date]</w:t>
      </w:r>
    </w:p>
    <w:p>
      <w:pPr>
        <w:spacing w:after="0" w:line="21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accordance with the Master Loan Sale Agreement (together with all amendments and modifications from time to time thereto,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February 20, 2025, made by and among the undersigned PENNANTPARK FLOATING RATE CAPITAL LTD., as the Seller (together with its successors and permitted assigns,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PENNANTPARK CLO 11, LLC, as the Buyer (together with its successors and permitted assigns, the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and PENNANTPARK FLOATING RATE FUNDING I, LLC, as the financing subsidiary, the Seller does hereby sell, transfer, convey and assign, set over and otherwise convey to the Buyer, all of the Seller’s right, title and interest in and to the following (including, without limitation, all obligations of the lender to fund any Revolving Collateral Obligation or Delayed Drawdown Collateral Obligation conveyed by the undersigned to the Buyer hereunder which obligations the Buyer hereby assumes):</w:t>
      </w:r>
    </w:p>
    <w:p>
      <w:pPr>
        <w:spacing w:after="0" w:line="178" w:lineRule="exact"/>
        <w:rPr>
          <w:sz w:val="20"/>
          <w:szCs w:val="20"/>
          <w:color w:val="auto"/>
        </w:rPr>
      </w:pPr>
    </w:p>
    <w:p>
      <w:pPr>
        <w:jc w:val="both"/>
        <w:ind w:left="760" w:firstLine="745"/>
        <w:spacing w:after="0" w:line="238" w:lineRule="auto"/>
        <w:tabs>
          <w:tab w:leader="none" w:pos="1941" w:val="left"/>
        </w:tabs>
        <w:numPr>
          <w:ilvl w:val="0"/>
          <w:numId w:val="5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Obligations listed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attached hereto (which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is hereby incorporated by reference in and shall become part of the Loan List referred to as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in the Agreement), all payments paid in respect thereof and all monies due, to become due or paid in respect thereof accruing on and after the Purchase Date and all collections on the Collateral Obligations and other recoveries thereon, in each case as they arise after the Purchase Date;</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Liens with respect to the Collateral Obligations referred to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Related Contracts with respect to the Collateral Obligations referred to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collateral security granted under any Related Contracts; and</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51" w:lineRule="auto"/>
        <w:tabs>
          <w:tab w:leader="none" w:pos="1941" w:val="left"/>
        </w:tabs>
        <w:numPr>
          <w:ilvl w:val="0"/>
          <w:numId w:val="5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income, payments, proceeds and other benefits of any and all of the foregoing, including but not limited to, all accounts, cash and currency, chattel paper, electronic chattel paper, tangible chattel paper, copyrights, copyright licenses, equipment, fixtures, general intangibles, instruments, commercial tort claims, deposit accounts, inventory, investment property, letter of credit rights, software, supporting obligations, accessions, proceeds and other property consisting of, arising out of, or related to the foregoing, but excluding any Excluded Amount with respect thereto.</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Capitalized terms used herein have the meaning given such terms in the Agreement.</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This assignment is made pursuant to and in reliance upon the representations and warranties on the part of the undersigned contained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of the Agreement and no others.</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ASSIGNMENT SHALL BE GOVERNED BY AND CONSTRUED IN ACCORDANCE WITH THE LAW OF THE STATE OF NEW YORK.</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44" w:name="page445"/>
    <w:bookmarkEnd w:id="444"/>
    <w:p>
      <w:pPr>
        <w:ind w:left="32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has caused this Assignment to be duly executed on the date written above.</w:t>
      </w:r>
    </w:p>
    <w:p>
      <w:pPr>
        <w:spacing w:after="0" w:line="21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1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as Seller</w:t>
      </w:r>
    </w:p>
    <w:p>
      <w:pPr>
        <w:spacing w:after="0" w:line="18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2776855</wp:posOffset>
            </wp:positionH>
            <wp:positionV relativeFrom="paragraph">
              <wp:posOffset>-13970</wp:posOffset>
            </wp:positionV>
            <wp:extent cx="172212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-22860</wp:posOffset>
            </wp:positionV>
            <wp:extent cx="124587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-29210</wp:posOffset>
            </wp:positionV>
            <wp:extent cx="131445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727075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760" w:top="1404" w:right="419" w:bottom="1440" w:gutter="0" w:footer="0" w:header="0"/>
        </w:sectPr>
      </w:pPr>
    </w:p>
    <w:bookmarkStart w:id="445" w:name="page446"/>
    <w:bookmarkEnd w:id="445"/>
    <w:p>
      <w:pPr>
        <w:spacing w:after="0" w:line="20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PENNANTPARK CLO 11, LLC,</w:t>
      </w:r>
    </w:p>
    <w:p>
      <w:pPr>
        <w:spacing w:after="0" w:line="1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as the Buyer</w:t>
      </w:r>
    </w:p>
    <w:p>
      <w:pPr>
        <w:spacing w:after="0" w:line="182" w:lineRule="exact"/>
        <w:rPr>
          <w:sz w:val="20"/>
          <w:szCs w:val="20"/>
          <w:color w:val="auto"/>
        </w:rPr>
      </w:pPr>
    </w:p>
    <w:p>
      <w:pPr>
        <w:jc w:val="right"/>
        <w:ind w:right="1779"/>
        <w:spacing w:after="0"/>
        <w:rPr>
          <w:sz w:val="20"/>
          <w:szCs w:val="20"/>
          <w:color w:val="auto"/>
        </w:rPr>
      </w:pPr>
      <w:r>
        <w:rPr>
          <w:rFonts w:ascii="Times New Roman" w:cs="Times New Roman" w:eastAsia="Times New Roman" w:hAnsi="Times New Roman"/>
          <w:sz w:val="22"/>
          <w:szCs w:val="22"/>
          <w:color w:val="auto"/>
        </w:rPr>
        <w:t>By: PennantPark Investment Advisers, LLC,</w:t>
      </w:r>
    </w:p>
    <w:p>
      <w:pPr>
        <w:spacing w:after="0" w:line="1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as Designated Manager</w:t>
      </w:r>
    </w:p>
    <w:p>
      <w:pPr>
        <w:spacing w:after="0" w:line="18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2776855</wp:posOffset>
            </wp:positionH>
            <wp:positionV relativeFrom="paragraph">
              <wp:posOffset>-13970</wp:posOffset>
            </wp:positionV>
            <wp:extent cx="172212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-22860</wp:posOffset>
            </wp:positionV>
            <wp:extent cx="124587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jc w:val="center"/>
        <w:ind w:right="359"/>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-29210</wp:posOffset>
            </wp:positionV>
            <wp:extent cx="131445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727075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1440" w:right="1440" w:bottom="1440" w:gutter="0" w:footer="0" w:header="0"/>
        </w:sectPr>
      </w:pPr>
    </w:p>
    <w:bookmarkStart w:id="446" w:name="page447"/>
    <w:bookmarkEnd w:id="446"/>
    <w:p>
      <w:pPr>
        <w:ind w:left="4060"/>
        <w:spacing w:after="0"/>
        <w:rPr>
          <w:sz w:val="20"/>
          <w:szCs w:val="20"/>
          <w:color w:val="auto"/>
        </w:rPr>
      </w:pPr>
      <w:r>
        <w:rPr>
          <w:rFonts w:ascii="Times New Roman" w:cs="Times New Roman" w:eastAsia="Times New Roman" w:hAnsi="Times New Roman"/>
          <w:sz w:val="22"/>
          <w:szCs w:val="22"/>
          <w:b w:val="1"/>
          <w:bCs w:val="1"/>
          <w:color w:val="auto"/>
        </w:rPr>
        <w:t>PENNANTPARK FLOATING RATE FUNDING I, LLC,</w:t>
      </w:r>
    </w:p>
    <w:p>
      <w:pPr>
        <w:spacing w:after="0" w:line="1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as the Financing Subsidiary</w:t>
      </w:r>
    </w:p>
    <w:p>
      <w:pPr>
        <w:spacing w:after="0" w:line="18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By: PennantPark Floating Rate Capital Ltd., its designated manager</w:t>
      </w:r>
    </w:p>
    <w:p>
      <w:pPr>
        <w:spacing w:after="0" w:line="21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2776855</wp:posOffset>
            </wp:positionH>
            <wp:positionV relativeFrom="paragraph">
              <wp:posOffset>-13970</wp:posOffset>
            </wp:positionV>
            <wp:extent cx="172212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-22860</wp:posOffset>
            </wp:positionV>
            <wp:extent cx="124587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-29210</wp:posOffset>
            </wp:positionV>
            <wp:extent cx="131445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727075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760" w:top="1404" w:right="1219" w:bottom="1440" w:gutter="0" w:footer="0" w:header="0"/>
        </w:sectPr>
      </w:pPr>
    </w:p>
    <w:bookmarkStart w:id="447" w:name="page448"/>
    <w:bookmarkEnd w:id="447"/>
    <w:p>
      <w:pPr>
        <w:jc w:val="center"/>
        <w:spacing w:after="0"/>
        <w:rPr>
          <w:sz w:val="20"/>
          <w:szCs w:val="20"/>
          <w:color w:val="auto"/>
        </w:rPr>
      </w:pPr>
      <w:r>
        <w:rPr>
          <w:rFonts w:ascii="Times New Roman" w:cs="Times New Roman" w:eastAsia="Times New Roman" w:hAnsi="Times New Roman"/>
          <w:sz w:val="22"/>
          <w:szCs w:val="22"/>
          <w:color w:val="auto"/>
        </w:rPr>
        <w:t>Schedule 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Loan List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[To be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1034415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48" w:name="page449"/>
    <w:bookmarkEnd w:id="448"/>
    <w:p>
      <w:pPr>
        <w:jc w:val="right"/>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3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Collateral Obligations</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Loan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1320800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-11430</wp:posOffset>
            </wp:positionV>
            <wp:extent cx="5676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67690" cy="825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49" w:name="page450"/>
    <w:bookmarkEnd w:id="449"/>
    <w:tbl>
      <w:tblPr>
        <w:tblLayout w:type="fixed"/>
        <w:tblInd w:w="0" w:type="dxa"/>
        <w:tblCellMar>
          <w:top w:w="0" w:type="dxa"/>
          <w:left w:w="0" w:type="dxa"/>
          <w:bottom w:w="0" w:type="dxa"/>
          <w:right w:w="0" w:type="dxa"/>
        </w:tblCellMar>
      </w:tblPr>
      <w:tr>
        <w:trPr>
          <w:trHeight w:val="195"/>
        </w:trPr>
        <w:tc>
          <w:tcPr>
            <w:tcW w:w="700" w:type="dxa"/>
            <w:vAlign w:val="bottom"/>
          </w:tcPr>
          <w:p>
            <w:pPr>
              <w:spacing w:after="0"/>
              <w:rPr>
                <w:sz w:val="20"/>
                <w:szCs w:val="20"/>
                <w:color w:val="auto"/>
              </w:rPr>
            </w:pPr>
            <w:r>
              <w:rPr>
                <w:rFonts w:ascii="Arial" w:cs="Arial" w:eastAsia="Arial" w:hAnsi="Arial"/>
                <w:sz w:val="17"/>
                <w:szCs w:val="17"/>
                <w:color w:val="auto"/>
              </w:rPr>
              <w:t>Obligor</w:t>
            </w:r>
          </w:p>
        </w:tc>
        <w:tc>
          <w:tcPr>
            <w:tcW w:w="2220" w:type="dxa"/>
            <w:vAlign w:val="bottom"/>
            <w:gridSpan w:val="3"/>
          </w:tcPr>
          <w:p>
            <w:pPr>
              <w:ind w:left="160"/>
              <w:spacing w:after="0"/>
              <w:rPr>
                <w:sz w:val="20"/>
                <w:szCs w:val="20"/>
                <w:color w:val="auto"/>
              </w:rPr>
            </w:pPr>
            <w:r>
              <w:rPr>
                <w:rFonts w:ascii="Arial" w:cs="Arial" w:eastAsia="Arial" w:hAnsi="Arial"/>
                <w:sz w:val="17"/>
                <w:szCs w:val="17"/>
                <w:color w:val="auto"/>
              </w:rPr>
              <w:t>Principal Amount (U.S.$)</w:t>
            </w:r>
          </w:p>
        </w:tc>
        <w:tc>
          <w:tcPr>
            <w:tcW w:w="36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84"/>
        </w:trPr>
        <w:tc>
          <w:tcPr>
            <w:tcW w:w="1700" w:type="dxa"/>
            <w:vAlign w:val="bottom"/>
            <w:gridSpan w:val="2"/>
          </w:tcPr>
          <w:p>
            <w:pPr>
              <w:spacing w:after="0"/>
              <w:rPr>
                <w:sz w:val="20"/>
                <w:szCs w:val="20"/>
                <w:color w:val="auto"/>
              </w:rPr>
            </w:pPr>
            <w:r>
              <w:rPr>
                <w:rFonts w:ascii="Arial" w:cs="Arial" w:eastAsia="Arial" w:hAnsi="Arial"/>
                <w:sz w:val="17"/>
                <w:szCs w:val="17"/>
                <w:color w:val="auto"/>
                <w:w w:val="94"/>
              </w:rPr>
              <w:t>ACP Avenu Buyer, LLC</w:t>
            </w:r>
          </w:p>
        </w:tc>
        <w:tc>
          <w:tcPr>
            <w:tcW w:w="440" w:type="dxa"/>
            <w:vAlign w:val="bottom"/>
          </w:tcPr>
          <w:p>
            <w:pPr>
              <w:spacing w:after="0"/>
              <w:rPr>
                <w:sz w:val="24"/>
                <w:szCs w:val="24"/>
                <w:color w:val="auto"/>
              </w:rPr>
            </w:pPr>
          </w:p>
        </w:tc>
        <w:tc>
          <w:tcPr>
            <w:tcW w:w="1140" w:type="dxa"/>
            <w:vAlign w:val="bottom"/>
            <w:gridSpan w:val="2"/>
          </w:tcPr>
          <w:p>
            <w:pPr>
              <w:jc w:val="right"/>
              <w:ind w:right="57"/>
              <w:spacing w:after="0"/>
              <w:rPr>
                <w:sz w:val="20"/>
                <w:szCs w:val="20"/>
                <w:color w:val="auto"/>
              </w:rPr>
            </w:pPr>
            <w:r>
              <w:rPr>
                <w:rFonts w:ascii="Arial" w:cs="Arial" w:eastAsia="Arial" w:hAnsi="Arial"/>
                <w:sz w:val="17"/>
                <w:szCs w:val="17"/>
                <w:color w:val="auto"/>
                <w:w w:val="98"/>
              </w:rPr>
              <w:t>3,866,426.61</w:t>
            </w:r>
          </w:p>
        </w:tc>
        <w:tc>
          <w:tcPr>
            <w:tcW w:w="2840" w:type="dxa"/>
            <w:vAlign w:val="bottom"/>
          </w:tcPr>
          <w:p>
            <w:pPr>
              <w:spacing w:after="0"/>
              <w:rPr>
                <w:sz w:val="24"/>
                <w:szCs w:val="24"/>
                <w:color w:val="auto"/>
              </w:rPr>
            </w:pPr>
          </w:p>
        </w:tc>
      </w:tr>
      <w:tr>
        <w:trPr>
          <w:trHeight w:val="270"/>
        </w:trPr>
        <w:tc>
          <w:tcPr>
            <w:tcW w:w="2140" w:type="dxa"/>
            <w:vAlign w:val="bottom"/>
            <w:gridSpan w:val="3"/>
          </w:tcPr>
          <w:p>
            <w:pPr>
              <w:spacing w:after="0"/>
              <w:rPr>
                <w:sz w:val="20"/>
                <w:szCs w:val="20"/>
                <w:color w:val="auto"/>
              </w:rPr>
            </w:pPr>
            <w:r>
              <w:rPr>
                <w:rFonts w:ascii="Arial" w:cs="Arial" w:eastAsia="Arial" w:hAnsi="Arial"/>
                <w:sz w:val="17"/>
                <w:szCs w:val="17"/>
                <w:color w:val="auto"/>
              </w:rPr>
              <w:t>Aechelon Technology, Inc.</w:t>
            </w:r>
          </w:p>
        </w:tc>
        <w:tc>
          <w:tcPr>
            <w:tcW w:w="1140" w:type="dxa"/>
            <w:vAlign w:val="bottom"/>
            <w:gridSpan w:val="2"/>
          </w:tcPr>
          <w:p>
            <w:pPr>
              <w:jc w:val="right"/>
              <w:ind w:right="57"/>
              <w:spacing w:after="0"/>
              <w:rPr>
                <w:sz w:val="20"/>
                <w:szCs w:val="20"/>
                <w:color w:val="auto"/>
              </w:rPr>
            </w:pPr>
            <w:r>
              <w:rPr>
                <w:rFonts w:ascii="Arial" w:cs="Arial" w:eastAsia="Arial" w:hAnsi="Arial"/>
                <w:sz w:val="17"/>
                <w:szCs w:val="17"/>
                <w:color w:val="auto"/>
                <w:w w:val="98"/>
              </w:rPr>
              <w:t>6,930,000.00</w:t>
            </w:r>
          </w:p>
        </w:tc>
        <w:tc>
          <w:tcPr>
            <w:tcW w:w="2840" w:type="dxa"/>
            <w:vAlign w:val="bottom"/>
          </w:tcPr>
          <w:p>
            <w:pPr>
              <w:spacing w:after="0"/>
              <w:rPr>
                <w:sz w:val="23"/>
                <w:szCs w:val="23"/>
                <w:color w:val="auto"/>
              </w:rPr>
            </w:pPr>
          </w:p>
        </w:tc>
      </w:tr>
      <w:tr>
        <w:trPr>
          <w:trHeight w:val="283"/>
        </w:trPr>
        <w:tc>
          <w:tcPr>
            <w:tcW w:w="2140" w:type="dxa"/>
            <w:vAlign w:val="bottom"/>
            <w:gridSpan w:val="3"/>
          </w:tcPr>
          <w:p>
            <w:pPr>
              <w:spacing w:after="0"/>
              <w:rPr>
                <w:sz w:val="20"/>
                <w:szCs w:val="20"/>
                <w:color w:val="auto"/>
              </w:rPr>
            </w:pPr>
            <w:r>
              <w:rPr>
                <w:rFonts w:ascii="Arial" w:cs="Arial" w:eastAsia="Arial" w:hAnsi="Arial"/>
                <w:sz w:val="17"/>
                <w:szCs w:val="17"/>
                <w:color w:val="auto"/>
              </w:rPr>
              <w:t>AFC Dell Holding Corp.</w:t>
            </w:r>
          </w:p>
        </w:tc>
        <w:tc>
          <w:tcPr>
            <w:tcW w:w="1140" w:type="dxa"/>
            <w:vAlign w:val="bottom"/>
            <w:gridSpan w:val="2"/>
          </w:tcPr>
          <w:p>
            <w:pPr>
              <w:jc w:val="right"/>
              <w:ind w:right="57"/>
              <w:spacing w:after="0"/>
              <w:rPr>
                <w:sz w:val="20"/>
                <w:szCs w:val="20"/>
                <w:color w:val="auto"/>
              </w:rPr>
            </w:pPr>
            <w:r>
              <w:rPr>
                <w:rFonts w:ascii="Arial" w:cs="Arial" w:eastAsia="Arial" w:hAnsi="Arial"/>
                <w:sz w:val="17"/>
                <w:szCs w:val="17"/>
                <w:color w:val="auto"/>
                <w:w w:val="98"/>
              </w:rPr>
              <w:t>8,000,000.00</w:t>
            </w:r>
          </w:p>
        </w:tc>
        <w:tc>
          <w:tcPr>
            <w:tcW w:w="2840" w:type="dxa"/>
            <w:vAlign w:val="bottom"/>
          </w:tcPr>
          <w:p>
            <w:pPr>
              <w:spacing w:after="0"/>
              <w:rPr>
                <w:sz w:val="24"/>
                <w:szCs w:val="24"/>
                <w:color w:val="auto"/>
              </w:rPr>
            </w:pPr>
          </w:p>
        </w:tc>
      </w:tr>
      <w:tr>
        <w:trPr>
          <w:trHeight w:val="270"/>
        </w:trPr>
        <w:tc>
          <w:tcPr>
            <w:tcW w:w="6120" w:type="dxa"/>
            <w:vAlign w:val="bottom"/>
            <w:gridSpan w:val="6"/>
          </w:tcPr>
          <w:p>
            <w:pPr>
              <w:spacing w:after="0"/>
              <w:rPr>
                <w:sz w:val="20"/>
                <w:szCs w:val="20"/>
                <w:color w:val="auto"/>
              </w:rPr>
            </w:pPr>
            <w:r>
              <w:rPr>
                <w:rFonts w:ascii="Arial" w:cs="Arial" w:eastAsia="Arial" w:hAnsi="Arial"/>
                <w:sz w:val="17"/>
                <w:szCs w:val="17"/>
                <w:color w:val="auto"/>
              </w:rPr>
              <w:t>Amsive Holding Corporation (f/k/a Vision Purchaser Corporation)   2,110,492.66</w:t>
            </w:r>
          </w:p>
        </w:tc>
      </w:tr>
      <w:tr>
        <w:trPr>
          <w:trHeight w:val="283"/>
        </w:trPr>
        <w:tc>
          <w:tcPr>
            <w:tcW w:w="6120" w:type="dxa"/>
            <w:vAlign w:val="bottom"/>
            <w:gridSpan w:val="6"/>
          </w:tcPr>
          <w:p>
            <w:pPr>
              <w:spacing w:after="0"/>
              <w:rPr>
                <w:sz w:val="20"/>
                <w:szCs w:val="20"/>
                <w:color w:val="auto"/>
              </w:rPr>
            </w:pPr>
            <w:r>
              <w:rPr>
                <w:rFonts w:ascii="Arial" w:cs="Arial" w:eastAsia="Arial" w:hAnsi="Arial"/>
                <w:sz w:val="17"/>
                <w:szCs w:val="17"/>
                <w:color w:val="auto"/>
              </w:rPr>
              <w:t>Applied Technical Services, LLC  1,778,982.07</w:t>
            </w:r>
          </w:p>
        </w:tc>
      </w:tr>
      <w:tr>
        <w:trPr>
          <w:trHeight w:val="270"/>
        </w:trPr>
        <w:tc>
          <w:tcPr>
            <w:tcW w:w="2140" w:type="dxa"/>
            <w:vAlign w:val="bottom"/>
            <w:gridSpan w:val="3"/>
          </w:tcPr>
          <w:p>
            <w:pPr>
              <w:spacing w:after="0"/>
              <w:rPr>
                <w:sz w:val="20"/>
                <w:szCs w:val="20"/>
                <w:color w:val="auto"/>
              </w:rPr>
            </w:pPr>
            <w:r>
              <w:rPr>
                <w:rFonts w:ascii="Arial" w:cs="Arial" w:eastAsia="Arial" w:hAnsi="Arial"/>
                <w:sz w:val="17"/>
                <w:szCs w:val="17"/>
                <w:color w:val="auto"/>
              </w:rPr>
              <w:t>Arcfield Acquisition Corp.</w:t>
            </w:r>
          </w:p>
        </w:tc>
        <w:tc>
          <w:tcPr>
            <w:tcW w:w="1140" w:type="dxa"/>
            <w:vAlign w:val="bottom"/>
            <w:gridSpan w:val="2"/>
          </w:tcPr>
          <w:p>
            <w:pPr>
              <w:jc w:val="right"/>
              <w:ind w:right="57"/>
              <w:spacing w:after="0"/>
              <w:rPr>
                <w:sz w:val="20"/>
                <w:szCs w:val="20"/>
                <w:color w:val="auto"/>
              </w:rPr>
            </w:pPr>
            <w:r>
              <w:rPr>
                <w:rFonts w:ascii="Arial" w:cs="Arial" w:eastAsia="Arial" w:hAnsi="Arial"/>
                <w:sz w:val="17"/>
                <w:szCs w:val="17"/>
                <w:color w:val="auto"/>
                <w:w w:val="98"/>
              </w:rPr>
              <w:t>8,000,000.00</w:t>
            </w:r>
          </w:p>
        </w:tc>
        <w:tc>
          <w:tcPr>
            <w:tcW w:w="2840" w:type="dxa"/>
            <w:vAlign w:val="bottom"/>
          </w:tcPr>
          <w:p>
            <w:pPr>
              <w:spacing w:after="0"/>
              <w:rPr>
                <w:sz w:val="23"/>
                <w:szCs w:val="23"/>
                <w:color w:val="auto"/>
              </w:rPr>
            </w:pPr>
          </w:p>
        </w:tc>
      </w:tr>
      <w:tr>
        <w:trPr>
          <w:trHeight w:val="283"/>
        </w:trPr>
        <w:tc>
          <w:tcPr>
            <w:tcW w:w="1700" w:type="dxa"/>
            <w:vAlign w:val="bottom"/>
            <w:gridSpan w:val="2"/>
          </w:tcPr>
          <w:p>
            <w:pPr>
              <w:spacing w:after="0"/>
              <w:rPr>
                <w:sz w:val="20"/>
                <w:szCs w:val="20"/>
                <w:color w:val="auto"/>
              </w:rPr>
            </w:pPr>
            <w:r>
              <w:rPr>
                <w:rFonts w:ascii="Arial" w:cs="Arial" w:eastAsia="Arial" w:hAnsi="Arial"/>
                <w:sz w:val="17"/>
                <w:szCs w:val="17"/>
                <w:color w:val="auto"/>
              </w:rPr>
              <w:t>Archer Lewis, LLC</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8,000,000.00</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3"/>
        </w:trPr>
        <w:tc>
          <w:tcPr>
            <w:tcW w:w="2920" w:type="dxa"/>
            <w:vAlign w:val="bottom"/>
            <w:gridSpan w:val="4"/>
          </w:tcPr>
          <w:p>
            <w:pPr>
              <w:spacing w:after="0"/>
              <w:rPr>
                <w:sz w:val="20"/>
                <w:szCs w:val="20"/>
                <w:color w:val="auto"/>
              </w:rPr>
            </w:pPr>
            <w:r>
              <w:rPr>
                <w:rFonts w:ascii="Arial" w:cs="Arial" w:eastAsia="Arial" w:hAnsi="Arial"/>
                <w:sz w:val="17"/>
                <w:szCs w:val="17"/>
                <w:color w:val="auto"/>
              </w:rPr>
              <w:t>ARGANO, LLC   8,000,000.00</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70"/>
        </w:trPr>
        <w:tc>
          <w:tcPr>
            <w:tcW w:w="3280" w:type="dxa"/>
            <w:vAlign w:val="bottom"/>
            <w:gridSpan w:val="5"/>
          </w:tcPr>
          <w:p>
            <w:pPr>
              <w:spacing w:after="0"/>
              <w:rPr>
                <w:sz w:val="20"/>
                <w:szCs w:val="20"/>
                <w:color w:val="auto"/>
              </w:rPr>
            </w:pPr>
            <w:r>
              <w:rPr>
                <w:rFonts w:ascii="Arial" w:cs="Arial" w:eastAsia="Arial" w:hAnsi="Arial"/>
                <w:sz w:val="17"/>
                <w:szCs w:val="17"/>
                <w:color w:val="auto"/>
              </w:rPr>
              <w:t>Beacon Behavioral Support Service, LLC</w:t>
            </w:r>
          </w:p>
        </w:tc>
        <w:tc>
          <w:tcPr>
            <w:tcW w:w="2840" w:type="dxa"/>
            <w:vAlign w:val="bottom"/>
          </w:tcPr>
          <w:p>
            <w:pPr>
              <w:jc w:val="right"/>
              <w:ind w:right="1617"/>
              <w:spacing w:after="0"/>
              <w:rPr>
                <w:sz w:val="20"/>
                <w:szCs w:val="20"/>
                <w:color w:val="auto"/>
              </w:rPr>
            </w:pPr>
            <w:r>
              <w:rPr>
                <w:rFonts w:ascii="Arial" w:cs="Arial" w:eastAsia="Arial" w:hAnsi="Arial"/>
                <w:sz w:val="17"/>
                <w:szCs w:val="17"/>
                <w:color w:val="auto"/>
              </w:rPr>
              <w:t>8,000,000.00</w:t>
            </w:r>
          </w:p>
        </w:tc>
      </w:tr>
      <w:tr>
        <w:trPr>
          <w:trHeight w:val="283"/>
        </w:trPr>
        <w:tc>
          <w:tcPr>
            <w:tcW w:w="2140" w:type="dxa"/>
            <w:vAlign w:val="bottom"/>
            <w:gridSpan w:val="3"/>
          </w:tcPr>
          <w:p>
            <w:pPr>
              <w:spacing w:after="0"/>
              <w:rPr>
                <w:sz w:val="20"/>
                <w:szCs w:val="20"/>
                <w:color w:val="auto"/>
              </w:rPr>
            </w:pPr>
            <w:r>
              <w:rPr>
                <w:rFonts w:ascii="Arial" w:cs="Arial" w:eastAsia="Arial" w:hAnsi="Arial"/>
                <w:sz w:val="17"/>
                <w:szCs w:val="17"/>
                <w:color w:val="auto"/>
                <w:w w:val="98"/>
              </w:rPr>
              <w:t>Beta Plus Technologies, Inc.</w:t>
            </w:r>
          </w:p>
        </w:tc>
        <w:tc>
          <w:tcPr>
            <w:tcW w:w="3980" w:type="dxa"/>
            <w:vAlign w:val="bottom"/>
            <w:gridSpan w:val="3"/>
          </w:tcPr>
          <w:p>
            <w:pPr>
              <w:jc w:val="right"/>
              <w:ind w:right="2477"/>
              <w:spacing w:after="0"/>
              <w:rPr>
                <w:sz w:val="20"/>
                <w:szCs w:val="20"/>
                <w:color w:val="auto"/>
              </w:rPr>
            </w:pPr>
            <w:r>
              <w:rPr>
                <w:rFonts w:ascii="Arial" w:cs="Arial" w:eastAsia="Arial" w:hAnsi="Arial"/>
                <w:sz w:val="17"/>
                <w:szCs w:val="17"/>
                <w:color w:val="auto"/>
              </w:rPr>
              <w:t>7,939,086.29</w:t>
            </w:r>
          </w:p>
        </w:tc>
      </w:tr>
      <w:tr>
        <w:trPr>
          <w:trHeight w:val="283"/>
        </w:trPr>
        <w:tc>
          <w:tcPr>
            <w:tcW w:w="1700" w:type="dxa"/>
            <w:vAlign w:val="bottom"/>
            <w:gridSpan w:val="2"/>
          </w:tcPr>
          <w:p>
            <w:pPr>
              <w:spacing w:after="0"/>
              <w:rPr>
                <w:sz w:val="20"/>
                <w:szCs w:val="20"/>
                <w:color w:val="auto"/>
              </w:rPr>
            </w:pPr>
            <w:r>
              <w:rPr>
                <w:rFonts w:ascii="Arial" w:cs="Arial" w:eastAsia="Arial" w:hAnsi="Arial"/>
                <w:sz w:val="17"/>
                <w:szCs w:val="17"/>
                <w:color w:val="auto"/>
                <w:w w:val="98"/>
              </w:rPr>
              <w:t>Big Top Holdings, LLC</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8,000,000.00</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70"/>
        </w:trPr>
        <w:tc>
          <w:tcPr>
            <w:tcW w:w="6120" w:type="dxa"/>
            <w:vAlign w:val="bottom"/>
            <w:gridSpan w:val="6"/>
          </w:tcPr>
          <w:p>
            <w:pPr>
              <w:spacing w:after="0"/>
              <w:rPr>
                <w:sz w:val="20"/>
                <w:szCs w:val="20"/>
                <w:color w:val="auto"/>
              </w:rPr>
            </w:pPr>
            <w:r>
              <w:rPr>
                <w:rFonts w:ascii="Arial" w:cs="Arial" w:eastAsia="Arial" w:hAnsi="Arial"/>
                <w:sz w:val="17"/>
                <w:szCs w:val="17"/>
                <w:color w:val="auto"/>
              </w:rPr>
              <w:t>Blackhawk Industrial Distribution, Inc.  2,931,659.84</w:t>
            </w:r>
          </w:p>
        </w:tc>
      </w:tr>
      <w:tr>
        <w:trPr>
          <w:trHeight w:val="284"/>
        </w:trPr>
        <w:tc>
          <w:tcPr>
            <w:tcW w:w="6120" w:type="dxa"/>
            <w:vAlign w:val="bottom"/>
            <w:gridSpan w:val="6"/>
          </w:tcPr>
          <w:p>
            <w:pPr>
              <w:spacing w:after="0"/>
              <w:rPr>
                <w:sz w:val="20"/>
                <w:szCs w:val="20"/>
                <w:color w:val="auto"/>
              </w:rPr>
            </w:pPr>
            <w:r>
              <w:rPr>
                <w:rFonts w:ascii="Arial" w:cs="Arial" w:eastAsia="Arial" w:hAnsi="Arial"/>
                <w:sz w:val="17"/>
                <w:szCs w:val="17"/>
                <w:color w:val="auto"/>
              </w:rPr>
              <w:t>BlueHalo Financing Holdings, LLC 1,634,447.06</w:t>
            </w:r>
          </w:p>
        </w:tc>
      </w:tr>
      <w:tr>
        <w:trPr>
          <w:trHeight w:val="270"/>
        </w:trPr>
        <w:tc>
          <w:tcPr>
            <w:tcW w:w="2920" w:type="dxa"/>
            <w:vAlign w:val="bottom"/>
            <w:gridSpan w:val="4"/>
          </w:tcPr>
          <w:p>
            <w:pPr>
              <w:spacing w:after="0"/>
              <w:rPr>
                <w:sz w:val="20"/>
                <w:szCs w:val="20"/>
                <w:color w:val="auto"/>
              </w:rPr>
            </w:pPr>
            <w:r>
              <w:rPr>
                <w:rFonts w:ascii="Arial" w:cs="Arial" w:eastAsia="Arial" w:hAnsi="Arial"/>
                <w:sz w:val="17"/>
                <w:szCs w:val="17"/>
                <w:color w:val="auto"/>
              </w:rPr>
              <w:t>Burgess Point Purchaser Corporation</w:t>
            </w:r>
          </w:p>
        </w:tc>
        <w:tc>
          <w:tcPr>
            <w:tcW w:w="3200" w:type="dxa"/>
            <w:vAlign w:val="bottom"/>
            <w:gridSpan w:val="2"/>
          </w:tcPr>
          <w:p>
            <w:pPr>
              <w:jc w:val="right"/>
              <w:ind w:right="2037"/>
              <w:spacing w:after="0"/>
              <w:rPr>
                <w:sz w:val="20"/>
                <w:szCs w:val="20"/>
                <w:color w:val="auto"/>
              </w:rPr>
            </w:pPr>
            <w:r>
              <w:rPr>
                <w:rFonts w:ascii="Arial" w:cs="Arial" w:eastAsia="Arial" w:hAnsi="Arial"/>
                <w:sz w:val="17"/>
                <w:szCs w:val="17"/>
                <w:color w:val="auto"/>
              </w:rPr>
              <w:t>7,959,390.86</w:t>
            </w:r>
          </w:p>
        </w:tc>
      </w:tr>
      <w:tr>
        <w:trPr>
          <w:trHeight w:val="283"/>
        </w:trPr>
        <w:tc>
          <w:tcPr>
            <w:tcW w:w="2920" w:type="dxa"/>
            <w:vAlign w:val="bottom"/>
            <w:gridSpan w:val="4"/>
          </w:tcPr>
          <w:p>
            <w:pPr>
              <w:spacing w:after="0"/>
              <w:rPr>
                <w:sz w:val="20"/>
                <w:szCs w:val="20"/>
                <w:color w:val="auto"/>
              </w:rPr>
            </w:pPr>
            <w:r>
              <w:rPr>
                <w:rFonts w:ascii="Arial" w:cs="Arial" w:eastAsia="Arial" w:hAnsi="Arial"/>
                <w:sz w:val="17"/>
                <w:szCs w:val="17"/>
                <w:color w:val="auto"/>
                <w:w w:val="99"/>
              </w:rPr>
              <w:t>By Light Professional IT Services, LLC</w:t>
            </w:r>
          </w:p>
        </w:tc>
        <w:tc>
          <w:tcPr>
            <w:tcW w:w="3200" w:type="dxa"/>
            <w:vAlign w:val="bottom"/>
            <w:gridSpan w:val="2"/>
          </w:tcPr>
          <w:p>
            <w:pPr>
              <w:jc w:val="right"/>
              <w:ind w:right="2037"/>
              <w:spacing w:after="0"/>
              <w:rPr>
                <w:sz w:val="20"/>
                <w:szCs w:val="20"/>
                <w:color w:val="auto"/>
              </w:rPr>
            </w:pPr>
            <w:r>
              <w:rPr>
                <w:rFonts w:ascii="Arial" w:cs="Arial" w:eastAsia="Arial" w:hAnsi="Arial"/>
                <w:sz w:val="17"/>
                <w:szCs w:val="17"/>
                <w:color w:val="auto"/>
              </w:rPr>
              <w:t>8,000,000.00</w:t>
            </w:r>
          </w:p>
        </w:tc>
      </w:tr>
      <w:tr>
        <w:trPr>
          <w:trHeight w:val="270"/>
        </w:trPr>
        <w:tc>
          <w:tcPr>
            <w:tcW w:w="1700" w:type="dxa"/>
            <w:vAlign w:val="bottom"/>
            <w:gridSpan w:val="2"/>
          </w:tcPr>
          <w:p>
            <w:pPr>
              <w:spacing w:after="0"/>
              <w:rPr>
                <w:sz w:val="20"/>
                <w:szCs w:val="20"/>
                <w:color w:val="auto"/>
              </w:rPr>
            </w:pPr>
            <w:r>
              <w:rPr>
                <w:rFonts w:ascii="Arial" w:cs="Arial" w:eastAsia="Arial" w:hAnsi="Arial"/>
                <w:sz w:val="17"/>
                <w:szCs w:val="17"/>
                <w:color w:val="auto"/>
              </w:rPr>
              <w:t>Carnegie Dartlet, LLC</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8,000,000.00</w:t>
            </w:r>
          </w:p>
        </w:tc>
        <w:tc>
          <w:tcPr>
            <w:tcW w:w="360" w:type="dxa"/>
            <w:vAlign w:val="bottom"/>
          </w:tcPr>
          <w:p>
            <w:pPr>
              <w:spacing w:after="0"/>
              <w:rPr>
                <w:sz w:val="23"/>
                <w:szCs w:val="23"/>
                <w:color w:val="auto"/>
              </w:rPr>
            </w:pPr>
          </w:p>
        </w:tc>
        <w:tc>
          <w:tcPr>
            <w:tcW w:w="2840" w:type="dxa"/>
            <w:vAlign w:val="bottom"/>
          </w:tcPr>
          <w:p>
            <w:pPr>
              <w:spacing w:after="0"/>
              <w:rPr>
                <w:sz w:val="23"/>
                <w:szCs w:val="23"/>
                <w:color w:val="auto"/>
              </w:rPr>
            </w:pPr>
          </w:p>
        </w:tc>
      </w:tr>
      <w:tr>
        <w:trPr>
          <w:trHeight w:val="283"/>
        </w:trPr>
        <w:tc>
          <w:tcPr>
            <w:tcW w:w="2140" w:type="dxa"/>
            <w:vAlign w:val="bottom"/>
            <w:gridSpan w:val="3"/>
          </w:tcPr>
          <w:p>
            <w:pPr>
              <w:spacing w:after="0"/>
              <w:rPr>
                <w:sz w:val="20"/>
                <w:szCs w:val="20"/>
                <w:color w:val="auto"/>
              </w:rPr>
            </w:pPr>
            <w:r>
              <w:rPr>
                <w:rFonts w:ascii="Arial" w:cs="Arial" w:eastAsia="Arial" w:hAnsi="Arial"/>
                <w:sz w:val="17"/>
                <w:szCs w:val="17"/>
                <w:color w:val="auto"/>
              </w:rPr>
              <w:t>Cartessa Aesthetics, LLC</w:t>
            </w:r>
          </w:p>
        </w:tc>
        <w:tc>
          <w:tcPr>
            <w:tcW w:w="1140" w:type="dxa"/>
            <w:vAlign w:val="bottom"/>
            <w:gridSpan w:val="2"/>
          </w:tcPr>
          <w:p>
            <w:pPr>
              <w:jc w:val="right"/>
              <w:ind w:right="57"/>
              <w:spacing w:after="0"/>
              <w:rPr>
                <w:sz w:val="20"/>
                <w:szCs w:val="20"/>
                <w:color w:val="auto"/>
              </w:rPr>
            </w:pPr>
            <w:r>
              <w:rPr>
                <w:rFonts w:ascii="Arial" w:cs="Arial" w:eastAsia="Arial" w:hAnsi="Arial"/>
                <w:sz w:val="17"/>
                <w:szCs w:val="17"/>
                <w:color w:val="auto"/>
                <w:w w:val="98"/>
              </w:rPr>
              <w:t>1,112,579.91</w:t>
            </w:r>
          </w:p>
        </w:tc>
        <w:tc>
          <w:tcPr>
            <w:tcW w:w="2840" w:type="dxa"/>
            <w:vAlign w:val="bottom"/>
          </w:tcPr>
          <w:p>
            <w:pPr>
              <w:spacing w:after="0"/>
              <w:rPr>
                <w:sz w:val="24"/>
                <w:szCs w:val="24"/>
                <w:color w:val="auto"/>
              </w:rPr>
            </w:pPr>
          </w:p>
        </w:tc>
      </w:tr>
      <w:tr>
        <w:trPr>
          <w:trHeight w:val="283"/>
        </w:trPr>
        <w:tc>
          <w:tcPr>
            <w:tcW w:w="1700" w:type="dxa"/>
            <w:vAlign w:val="bottom"/>
            <w:gridSpan w:val="2"/>
          </w:tcPr>
          <w:p>
            <w:pPr>
              <w:spacing w:after="0"/>
              <w:rPr>
                <w:sz w:val="20"/>
                <w:szCs w:val="20"/>
                <w:color w:val="auto"/>
              </w:rPr>
            </w:pPr>
            <w:r>
              <w:rPr>
                <w:rFonts w:ascii="Arial" w:cs="Arial" w:eastAsia="Arial" w:hAnsi="Arial"/>
                <w:sz w:val="17"/>
                <w:szCs w:val="17"/>
                <w:color w:val="auto"/>
              </w:rPr>
              <w:t>CJX Borrower, LLC</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750,000.00</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4"/>
        </w:trPr>
        <w:tc>
          <w:tcPr>
            <w:tcW w:w="1700" w:type="dxa"/>
            <w:vAlign w:val="bottom"/>
            <w:gridSpan w:val="2"/>
          </w:tcPr>
          <w:p>
            <w:pPr>
              <w:spacing w:after="0"/>
              <w:rPr>
                <w:sz w:val="20"/>
                <w:szCs w:val="20"/>
                <w:color w:val="auto"/>
              </w:rPr>
            </w:pPr>
            <w:r>
              <w:rPr>
                <w:rFonts w:ascii="Arial" w:cs="Arial" w:eastAsia="Arial" w:hAnsi="Arial"/>
                <w:sz w:val="17"/>
                <w:szCs w:val="17"/>
                <w:color w:val="auto"/>
              </w:rPr>
              <w:t>Crane 1 Services, Inc.</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3,393,075.96</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70"/>
        </w:trPr>
        <w:tc>
          <w:tcPr>
            <w:tcW w:w="1700" w:type="dxa"/>
            <w:vAlign w:val="bottom"/>
            <w:gridSpan w:val="2"/>
          </w:tcPr>
          <w:p>
            <w:pPr>
              <w:spacing w:after="0"/>
              <w:rPr>
                <w:sz w:val="20"/>
                <w:szCs w:val="20"/>
                <w:color w:val="auto"/>
              </w:rPr>
            </w:pPr>
            <w:r>
              <w:rPr>
                <w:rFonts w:ascii="Arial" w:cs="Arial" w:eastAsia="Arial" w:hAnsi="Arial"/>
                <w:sz w:val="17"/>
                <w:szCs w:val="17"/>
                <w:color w:val="auto"/>
              </w:rPr>
              <w:t>C5MI Holdco, LLC</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8,000,000.00</w:t>
            </w:r>
          </w:p>
        </w:tc>
        <w:tc>
          <w:tcPr>
            <w:tcW w:w="360" w:type="dxa"/>
            <w:vAlign w:val="bottom"/>
          </w:tcPr>
          <w:p>
            <w:pPr>
              <w:spacing w:after="0"/>
              <w:rPr>
                <w:sz w:val="23"/>
                <w:szCs w:val="23"/>
                <w:color w:val="auto"/>
              </w:rPr>
            </w:pPr>
          </w:p>
        </w:tc>
        <w:tc>
          <w:tcPr>
            <w:tcW w:w="2840" w:type="dxa"/>
            <w:vAlign w:val="bottom"/>
          </w:tcPr>
          <w:p>
            <w:pPr>
              <w:spacing w:after="0"/>
              <w:rPr>
                <w:sz w:val="23"/>
                <w:szCs w:val="23"/>
                <w:color w:val="auto"/>
              </w:rPr>
            </w:pPr>
          </w:p>
        </w:tc>
      </w:tr>
      <w:tr>
        <w:trPr>
          <w:trHeight w:val="283"/>
        </w:trPr>
        <w:tc>
          <w:tcPr>
            <w:tcW w:w="1700" w:type="dxa"/>
            <w:vAlign w:val="bottom"/>
            <w:gridSpan w:val="2"/>
          </w:tcPr>
          <w:p>
            <w:pPr>
              <w:spacing w:after="0"/>
              <w:rPr>
                <w:sz w:val="20"/>
                <w:szCs w:val="20"/>
                <w:color w:val="auto"/>
              </w:rPr>
            </w:pPr>
            <w:r>
              <w:rPr>
                <w:rFonts w:ascii="Arial" w:cs="Arial" w:eastAsia="Arial" w:hAnsi="Arial"/>
                <w:sz w:val="17"/>
                <w:szCs w:val="17"/>
                <w:color w:val="auto"/>
              </w:rPr>
              <w:t>Dr. Squatch, LLC</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8,000,000.00</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3"/>
        </w:trPr>
        <w:tc>
          <w:tcPr>
            <w:tcW w:w="1700" w:type="dxa"/>
            <w:vAlign w:val="bottom"/>
            <w:gridSpan w:val="2"/>
          </w:tcPr>
          <w:p>
            <w:pPr>
              <w:spacing w:after="0"/>
              <w:rPr>
                <w:sz w:val="20"/>
                <w:szCs w:val="20"/>
                <w:color w:val="auto"/>
              </w:rPr>
            </w:pPr>
            <w:r>
              <w:rPr>
                <w:rFonts w:ascii="Arial" w:cs="Arial" w:eastAsia="Arial" w:hAnsi="Arial"/>
                <w:sz w:val="17"/>
                <w:szCs w:val="17"/>
                <w:color w:val="auto"/>
              </w:rPr>
              <w:t>DRS Holdings III, Inc.</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8,000,000.00</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auto"/>
              </w:rPr>
              <w:t>Duggal Acquisition, LLC</w:t>
            </w:r>
          </w:p>
        </w:tc>
        <w:tc>
          <w:tcPr>
            <w:tcW w:w="1600" w:type="dxa"/>
            <w:vAlign w:val="bottom"/>
            <w:gridSpan w:val="3"/>
          </w:tcPr>
          <w:p>
            <w:pPr>
              <w:ind w:left="40"/>
              <w:spacing w:after="0"/>
              <w:rPr>
                <w:sz w:val="20"/>
                <w:szCs w:val="20"/>
                <w:color w:val="auto"/>
              </w:rPr>
            </w:pPr>
            <w:r>
              <w:rPr>
                <w:rFonts w:ascii="Arial" w:cs="Arial" w:eastAsia="Arial" w:hAnsi="Arial"/>
                <w:sz w:val="17"/>
                <w:szCs w:val="17"/>
                <w:color w:val="auto"/>
              </w:rPr>
              <w:t>8,000,000.00</w:t>
            </w:r>
          </w:p>
        </w:tc>
        <w:tc>
          <w:tcPr>
            <w:tcW w:w="7540" w:type="dxa"/>
            <w:vAlign w:val="bottom"/>
          </w:tcPr>
          <w:p>
            <w:pPr>
              <w:spacing w:after="0"/>
              <w:rPr>
                <w:sz w:val="16"/>
                <w:szCs w:val="16"/>
                <w:color w:val="auto"/>
              </w:rPr>
            </w:pPr>
          </w:p>
        </w:tc>
      </w:tr>
      <w:tr>
        <w:trPr>
          <w:trHeight w:val="283"/>
        </w:trPr>
        <w:tc>
          <w:tcPr>
            <w:tcW w:w="2560" w:type="dxa"/>
            <w:vAlign w:val="bottom"/>
            <w:gridSpan w:val="3"/>
          </w:tcPr>
          <w:p>
            <w:pPr>
              <w:spacing w:after="0"/>
              <w:rPr>
                <w:sz w:val="20"/>
                <w:szCs w:val="20"/>
                <w:color w:val="auto"/>
              </w:rPr>
            </w:pPr>
            <w:r>
              <w:rPr>
                <w:rFonts w:ascii="Arial" w:cs="Arial" w:eastAsia="Arial" w:hAnsi="Arial"/>
                <w:sz w:val="17"/>
                <w:szCs w:val="17"/>
                <w:color w:val="auto"/>
              </w:rPr>
              <w:t>Emergency Care Partners, LLC</w:t>
            </w:r>
          </w:p>
        </w:tc>
        <w:tc>
          <w:tcPr>
            <w:tcW w:w="1140" w:type="dxa"/>
            <w:vAlign w:val="bottom"/>
            <w:gridSpan w:val="2"/>
          </w:tcPr>
          <w:p>
            <w:pPr>
              <w:ind w:left="20"/>
              <w:spacing w:after="0"/>
              <w:rPr>
                <w:sz w:val="20"/>
                <w:szCs w:val="20"/>
                <w:color w:val="auto"/>
              </w:rPr>
            </w:pPr>
            <w:r>
              <w:rPr>
                <w:rFonts w:ascii="Arial" w:cs="Arial" w:eastAsia="Arial" w:hAnsi="Arial"/>
                <w:sz w:val="17"/>
                <w:szCs w:val="17"/>
                <w:color w:val="auto"/>
              </w:rPr>
              <w:t>8,000,000.00</w:t>
            </w:r>
          </w:p>
        </w:tc>
        <w:tc>
          <w:tcPr>
            <w:tcW w:w="7540" w:type="dxa"/>
            <w:vAlign w:val="bottom"/>
          </w:tcPr>
          <w:p>
            <w:pPr>
              <w:spacing w:after="0"/>
              <w:rPr>
                <w:sz w:val="24"/>
                <w:szCs w:val="24"/>
                <w:color w:val="auto"/>
              </w:rPr>
            </w:pPr>
          </w:p>
        </w:tc>
      </w:tr>
      <w:tr>
        <w:trPr>
          <w:trHeight w:val="270"/>
        </w:trPr>
        <w:tc>
          <w:tcPr>
            <w:tcW w:w="3700" w:type="dxa"/>
            <w:vAlign w:val="bottom"/>
            <w:gridSpan w:val="5"/>
          </w:tcPr>
          <w:p>
            <w:pPr>
              <w:spacing w:after="0"/>
              <w:rPr>
                <w:sz w:val="20"/>
                <w:szCs w:val="20"/>
                <w:color w:val="auto"/>
              </w:rPr>
            </w:pPr>
            <w:r>
              <w:rPr>
                <w:rFonts w:ascii="Arial" w:cs="Arial" w:eastAsia="Arial" w:hAnsi="Arial"/>
                <w:sz w:val="17"/>
                <w:szCs w:val="17"/>
                <w:color w:val="auto"/>
              </w:rPr>
              <w:t>Eval Home Health Solutions Intermediate, LLC</w:t>
            </w:r>
          </w:p>
        </w:tc>
        <w:tc>
          <w:tcPr>
            <w:tcW w:w="7540" w:type="dxa"/>
            <w:vAlign w:val="bottom"/>
          </w:tcPr>
          <w:p>
            <w:pPr>
              <w:jc w:val="right"/>
              <w:ind w:right="6317"/>
              <w:spacing w:after="0"/>
              <w:rPr>
                <w:sz w:val="20"/>
                <w:szCs w:val="20"/>
                <w:color w:val="auto"/>
              </w:rPr>
            </w:pPr>
            <w:r>
              <w:rPr>
                <w:rFonts w:ascii="Arial" w:cs="Arial" w:eastAsia="Arial" w:hAnsi="Arial"/>
                <w:sz w:val="17"/>
                <w:szCs w:val="17"/>
                <w:color w:val="auto"/>
              </w:rPr>
              <w:t>8,000,000.00</w:t>
            </w:r>
          </w:p>
        </w:tc>
      </w:tr>
      <w:tr>
        <w:trPr>
          <w:trHeight w:val="284"/>
        </w:trPr>
        <w:tc>
          <w:tcPr>
            <w:tcW w:w="2100" w:type="dxa"/>
            <w:vAlign w:val="bottom"/>
            <w:gridSpan w:val="2"/>
          </w:tcPr>
          <w:p>
            <w:pPr>
              <w:spacing w:after="0"/>
              <w:rPr>
                <w:sz w:val="20"/>
                <w:szCs w:val="20"/>
                <w:color w:val="auto"/>
              </w:rPr>
            </w:pPr>
            <w:r>
              <w:rPr>
                <w:rFonts w:ascii="Arial" w:cs="Arial" w:eastAsia="Arial" w:hAnsi="Arial"/>
                <w:sz w:val="17"/>
                <w:szCs w:val="17"/>
                <w:color w:val="auto"/>
              </w:rPr>
              <w:t>Fairbanks Morse Defense</w:t>
            </w:r>
          </w:p>
        </w:tc>
        <w:tc>
          <w:tcPr>
            <w:tcW w:w="900" w:type="dxa"/>
            <w:vAlign w:val="bottom"/>
            <w:gridSpan w:val="2"/>
          </w:tcPr>
          <w:p>
            <w:pPr>
              <w:ind w:left="40"/>
              <w:spacing w:after="0"/>
              <w:rPr>
                <w:sz w:val="20"/>
                <w:szCs w:val="20"/>
                <w:color w:val="auto"/>
              </w:rPr>
            </w:pPr>
            <w:r>
              <w:rPr>
                <w:rFonts w:ascii="Arial" w:cs="Arial" w:eastAsia="Arial" w:hAnsi="Arial"/>
                <w:sz w:val="17"/>
                <w:szCs w:val="17"/>
                <w:color w:val="auto"/>
                <w:w w:val="98"/>
              </w:rPr>
              <w:t>992,397.71</w:t>
            </w: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83"/>
        </w:trPr>
        <w:tc>
          <w:tcPr>
            <w:tcW w:w="1640" w:type="dxa"/>
            <w:vAlign w:val="bottom"/>
          </w:tcPr>
          <w:p>
            <w:pPr>
              <w:spacing w:after="0"/>
              <w:rPr>
                <w:sz w:val="20"/>
                <w:szCs w:val="20"/>
                <w:color w:val="auto"/>
              </w:rPr>
            </w:pPr>
            <w:r>
              <w:rPr>
                <w:rFonts w:ascii="Arial" w:cs="Arial" w:eastAsia="Arial" w:hAnsi="Arial"/>
                <w:sz w:val="17"/>
                <w:szCs w:val="17"/>
                <w:color w:val="auto"/>
              </w:rPr>
              <w:t>GGG MIDCO, LLC</w:t>
            </w:r>
          </w:p>
        </w:tc>
        <w:tc>
          <w:tcPr>
            <w:tcW w:w="1360" w:type="dxa"/>
            <w:vAlign w:val="bottom"/>
            <w:gridSpan w:val="3"/>
          </w:tcPr>
          <w:p>
            <w:pPr>
              <w:ind w:left="80"/>
              <w:spacing w:after="0"/>
              <w:rPr>
                <w:sz w:val="20"/>
                <w:szCs w:val="20"/>
                <w:color w:val="auto"/>
              </w:rPr>
            </w:pPr>
            <w:r>
              <w:rPr>
                <w:rFonts w:ascii="Arial" w:cs="Arial" w:eastAsia="Arial" w:hAnsi="Arial"/>
                <w:sz w:val="17"/>
                <w:szCs w:val="17"/>
                <w:color w:val="auto"/>
              </w:rPr>
              <w:t>8,000,000.00</w:t>
            </w: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83"/>
        </w:trPr>
        <w:tc>
          <w:tcPr>
            <w:tcW w:w="1640" w:type="dxa"/>
            <w:vAlign w:val="bottom"/>
          </w:tcPr>
          <w:p>
            <w:pPr>
              <w:spacing w:after="0"/>
              <w:rPr>
                <w:sz w:val="20"/>
                <w:szCs w:val="20"/>
                <w:color w:val="auto"/>
              </w:rPr>
            </w:pPr>
            <w:r>
              <w:rPr>
                <w:rFonts w:ascii="Arial" w:cs="Arial" w:eastAsia="Arial" w:hAnsi="Arial"/>
                <w:sz w:val="17"/>
                <w:szCs w:val="17"/>
                <w:color w:val="auto"/>
              </w:rPr>
              <w:t>Graffiti Buyer, Inc.</w:t>
            </w:r>
          </w:p>
        </w:tc>
        <w:tc>
          <w:tcPr>
            <w:tcW w:w="920" w:type="dxa"/>
            <w:vAlign w:val="bottom"/>
            <w:gridSpan w:val="2"/>
          </w:tcPr>
          <w:p>
            <w:pPr>
              <w:ind w:left="80"/>
              <w:spacing w:after="0"/>
              <w:rPr>
                <w:sz w:val="20"/>
                <w:szCs w:val="20"/>
                <w:color w:val="auto"/>
              </w:rPr>
            </w:pPr>
            <w:r>
              <w:rPr>
                <w:rFonts w:ascii="Arial" w:cs="Arial" w:eastAsia="Arial" w:hAnsi="Arial"/>
                <w:sz w:val="17"/>
                <w:szCs w:val="17"/>
                <w:color w:val="auto"/>
                <w:w w:val="96"/>
              </w:rPr>
              <w:t>292,326.29</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70"/>
        </w:trPr>
        <w:tc>
          <w:tcPr>
            <w:tcW w:w="2560" w:type="dxa"/>
            <w:vAlign w:val="bottom"/>
            <w:gridSpan w:val="3"/>
          </w:tcPr>
          <w:p>
            <w:pPr>
              <w:spacing w:after="0"/>
              <w:rPr>
                <w:sz w:val="20"/>
                <w:szCs w:val="20"/>
                <w:color w:val="auto"/>
              </w:rPr>
            </w:pPr>
            <w:r>
              <w:rPr>
                <w:rFonts w:ascii="Arial" w:cs="Arial" w:eastAsia="Arial" w:hAnsi="Arial"/>
                <w:sz w:val="17"/>
                <w:szCs w:val="17"/>
                <w:color w:val="auto"/>
              </w:rPr>
              <w:t>Harris &amp; Co. LLC 8,000,000.00</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540" w:type="dxa"/>
            <w:vAlign w:val="bottom"/>
          </w:tcPr>
          <w:p>
            <w:pPr>
              <w:spacing w:after="0"/>
              <w:rPr>
                <w:sz w:val="23"/>
                <w:szCs w:val="23"/>
                <w:color w:val="auto"/>
              </w:rPr>
            </w:pPr>
          </w:p>
        </w:tc>
      </w:tr>
      <w:tr>
        <w:trPr>
          <w:trHeight w:val="284"/>
        </w:trPr>
        <w:tc>
          <w:tcPr>
            <w:tcW w:w="1640" w:type="dxa"/>
            <w:vAlign w:val="bottom"/>
          </w:tcPr>
          <w:p>
            <w:pPr>
              <w:spacing w:after="0"/>
              <w:rPr>
                <w:sz w:val="20"/>
                <w:szCs w:val="20"/>
                <w:color w:val="auto"/>
              </w:rPr>
            </w:pPr>
            <w:r>
              <w:rPr>
                <w:rFonts w:ascii="Arial" w:cs="Arial" w:eastAsia="Arial" w:hAnsi="Arial"/>
                <w:sz w:val="17"/>
                <w:szCs w:val="17"/>
                <w:color w:val="auto"/>
                <w:w w:val="98"/>
              </w:rPr>
              <w:t>HEC Purchaser Corp.</w:t>
            </w:r>
          </w:p>
        </w:tc>
        <w:tc>
          <w:tcPr>
            <w:tcW w:w="1360" w:type="dxa"/>
            <w:vAlign w:val="bottom"/>
            <w:gridSpan w:val="3"/>
          </w:tcPr>
          <w:p>
            <w:pPr>
              <w:ind w:left="80"/>
              <w:spacing w:after="0"/>
              <w:rPr>
                <w:sz w:val="20"/>
                <w:szCs w:val="20"/>
                <w:color w:val="auto"/>
              </w:rPr>
            </w:pPr>
            <w:r>
              <w:rPr>
                <w:rFonts w:ascii="Arial" w:cs="Arial" w:eastAsia="Arial" w:hAnsi="Arial"/>
                <w:sz w:val="17"/>
                <w:szCs w:val="17"/>
                <w:color w:val="auto"/>
              </w:rPr>
              <w:t>4,651,625.00</w:t>
            </w: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83"/>
        </w:trPr>
        <w:tc>
          <w:tcPr>
            <w:tcW w:w="2560" w:type="dxa"/>
            <w:vAlign w:val="bottom"/>
            <w:gridSpan w:val="3"/>
          </w:tcPr>
          <w:p>
            <w:pPr>
              <w:spacing w:after="0"/>
              <w:rPr>
                <w:sz w:val="20"/>
                <w:szCs w:val="20"/>
                <w:color w:val="auto"/>
              </w:rPr>
            </w:pPr>
            <w:r>
              <w:rPr>
                <w:rFonts w:ascii="Arial" w:cs="Arial" w:eastAsia="Arial" w:hAnsi="Arial"/>
                <w:sz w:val="17"/>
                <w:szCs w:val="17"/>
                <w:color w:val="auto"/>
              </w:rPr>
              <w:t>HW Holdco, LLC 1,502,372.68</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70"/>
        </w:trPr>
        <w:tc>
          <w:tcPr>
            <w:tcW w:w="2560" w:type="dxa"/>
            <w:vAlign w:val="bottom"/>
            <w:gridSpan w:val="3"/>
          </w:tcPr>
          <w:p>
            <w:pPr>
              <w:spacing w:after="0"/>
              <w:rPr>
                <w:sz w:val="20"/>
                <w:szCs w:val="20"/>
                <w:color w:val="auto"/>
              </w:rPr>
            </w:pPr>
            <w:r>
              <w:rPr>
                <w:rFonts w:ascii="Arial" w:cs="Arial" w:eastAsia="Arial" w:hAnsi="Arial"/>
                <w:sz w:val="17"/>
                <w:szCs w:val="17"/>
                <w:color w:val="auto"/>
              </w:rPr>
              <w:t>IG Investments Holdings, LLC</w:t>
            </w:r>
          </w:p>
        </w:tc>
        <w:tc>
          <w:tcPr>
            <w:tcW w:w="1140" w:type="dxa"/>
            <w:vAlign w:val="bottom"/>
            <w:gridSpan w:val="2"/>
          </w:tcPr>
          <w:p>
            <w:pPr>
              <w:ind w:left="20"/>
              <w:spacing w:after="0"/>
              <w:rPr>
                <w:sz w:val="20"/>
                <w:szCs w:val="20"/>
                <w:color w:val="auto"/>
              </w:rPr>
            </w:pPr>
            <w:r>
              <w:rPr>
                <w:rFonts w:ascii="Arial" w:cs="Arial" w:eastAsia="Arial" w:hAnsi="Arial"/>
                <w:sz w:val="17"/>
                <w:szCs w:val="17"/>
                <w:color w:val="auto"/>
              </w:rPr>
              <w:t>104,737.50</w:t>
            </w:r>
          </w:p>
        </w:tc>
        <w:tc>
          <w:tcPr>
            <w:tcW w:w="7540" w:type="dxa"/>
            <w:vAlign w:val="bottom"/>
          </w:tcPr>
          <w:p>
            <w:pPr>
              <w:spacing w:after="0"/>
              <w:rPr>
                <w:sz w:val="23"/>
                <w:szCs w:val="23"/>
                <w:color w:val="auto"/>
              </w:rPr>
            </w:pPr>
          </w:p>
        </w:tc>
      </w:tr>
      <w:tr>
        <w:trPr>
          <w:trHeight w:val="283"/>
        </w:trPr>
        <w:tc>
          <w:tcPr>
            <w:tcW w:w="3000" w:type="dxa"/>
            <w:vAlign w:val="bottom"/>
            <w:gridSpan w:val="4"/>
          </w:tcPr>
          <w:p>
            <w:pPr>
              <w:spacing w:after="0"/>
              <w:rPr>
                <w:sz w:val="20"/>
                <w:szCs w:val="20"/>
                <w:color w:val="auto"/>
              </w:rPr>
            </w:pPr>
            <w:r>
              <w:rPr>
                <w:rFonts w:ascii="Arial" w:cs="Arial" w:eastAsia="Arial" w:hAnsi="Arial"/>
                <w:sz w:val="17"/>
                <w:szCs w:val="17"/>
                <w:color w:val="auto"/>
              </w:rPr>
              <w:t>Infinity Home Services Holdco, Inc.</w:t>
            </w:r>
          </w:p>
        </w:tc>
        <w:tc>
          <w:tcPr>
            <w:tcW w:w="8240" w:type="dxa"/>
            <w:vAlign w:val="bottom"/>
            <w:gridSpan w:val="2"/>
          </w:tcPr>
          <w:p>
            <w:pPr>
              <w:jc w:val="right"/>
              <w:ind w:right="7157"/>
              <w:spacing w:after="0"/>
              <w:rPr>
                <w:sz w:val="20"/>
                <w:szCs w:val="20"/>
                <w:color w:val="auto"/>
              </w:rPr>
            </w:pPr>
            <w:r>
              <w:rPr>
                <w:rFonts w:ascii="Arial" w:cs="Arial" w:eastAsia="Arial" w:hAnsi="Arial"/>
                <w:sz w:val="17"/>
                <w:szCs w:val="17"/>
                <w:color w:val="auto"/>
                <w:w w:val="98"/>
              </w:rPr>
              <w:t>8,000,000.00</w:t>
            </w:r>
          </w:p>
        </w:tc>
      </w:tr>
      <w:tr>
        <w:trPr>
          <w:trHeight w:val="270"/>
        </w:trPr>
        <w:tc>
          <w:tcPr>
            <w:tcW w:w="2100" w:type="dxa"/>
            <w:vAlign w:val="bottom"/>
            <w:gridSpan w:val="2"/>
          </w:tcPr>
          <w:p>
            <w:pPr>
              <w:spacing w:after="0"/>
              <w:rPr>
                <w:sz w:val="20"/>
                <w:szCs w:val="20"/>
                <w:color w:val="auto"/>
              </w:rPr>
            </w:pPr>
            <w:r>
              <w:rPr>
                <w:rFonts w:ascii="Arial" w:cs="Arial" w:eastAsia="Arial" w:hAnsi="Arial"/>
                <w:sz w:val="17"/>
                <w:szCs w:val="17"/>
                <w:color w:val="auto"/>
              </w:rPr>
              <w:t>Infolinks Media Buyco, LLC</w:t>
            </w:r>
          </w:p>
        </w:tc>
        <w:tc>
          <w:tcPr>
            <w:tcW w:w="1600" w:type="dxa"/>
            <w:vAlign w:val="bottom"/>
            <w:gridSpan w:val="3"/>
          </w:tcPr>
          <w:p>
            <w:pPr>
              <w:ind w:left="40"/>
              <w:spacing w:after="0"/>
              <w:rPr>
                <w:sz w:val="20"/>
                <w:szCs w:val="20"/>
                <w:color w:val="auto"/>
              </w:rPr>
            </w:pPr>
            <w:r>
              <w:rPr>
                <w:rFonts w:ascii="Arial" w:cs="Arial" w:eastAsia="Arial" w:hAnsi="Arial"/>
                <w:sz w:val="17"/>
                <w:szCs w:val="17"/>
                <w:color w:val="auto"/>
              </w:rPr>
              <w:t>2,535,051.79</w:t>
            </w:r>
          </w:p>
        </w:tc>
        <w:tc>
          <w:tcPr>
            <w:tcW w:w="7540" w:type="dxa"/>
            <w:vAlign w:val="bottom"/>
          </w:tcPr>
          <w:p>
            <w:pPr>
              <w:spacing w:after="0"/>
              <w:rPr>
                <w:sz w:val="23"/>
                <w:szCs w:val="23"/>
                <w:color w:val="auto"/>
              </w:rPr>
            </w:pPr>
          </w:p>
        </w:tc>
      </w:tr>
      <w:tr>
        <w:trPr>
          <w:trHeight w:val="284"/>
        </w:trPr>
        <w:tc>
          <w:tcPr>
            <w:tcW w:w="1640" w:type="dxa"/>
            <w:vAlign w:val="bottom"/>
          </w:tcPr>
          <w:p>
            <w:pPr>
              <w:spacing w:after="0"/>
              <w:rPr>
                <w:sz w:val="20"/>
                <w:szCs w:val="20"/>
                <w:color w:val="auto"/>
              </w:rPr>
            </w:pPr>
            <w:r>
              <w:rPr>
                <w:rFonts w:ascii="Arial" w:cs="Arial" w:eastAsia="Arial" w:hAnsi="Arial"/>
                <w:sz w:val="17"/>
                <w:szCs w:val="17"/>
                <w:color w:val="auto"/>
              </w:rPr>
              <w:t>Inventus Power, Inc.</w:t>
            </w:r>
          </w:p>
        </w:tc>
        <w:tc>
          <w:tcPr>
            <w:tcW w:w="1360" w:type="dxa"/>
            <w:vAlign w:val="bottom"/>
            <w:gridSpan w:val="3"/>
          </w:tcPr>
          <w:p>
            <w:pPr>
              <w:ind w:left="80"/>
              <w:spacing w:after="0"/>
              <w:rPr>
                <w:sz w:val="20"/>
                <w:szCs w:val="20"/>
                <w:color w:val="auto"/>
              </w:rPr>
            </w:pPr>
            <w:r>
              <w:rPr>
                <w:rFonts w:ascii="Arial" w:cs="Arial" w:eastAsia="Arial" w:hAnsi="Arial"/>
                <w:sz w:val="17"/>
                <w:szCs w:val="17"/>
                <w:color w:val="auto"/>
              </w:rPr>
              <w:t>4,925,000.00</w:t>
            </w: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83"/>
        </w:trPr>
        <w:tc>
          <w:tcPr>
            <w:tcW w:w="1640" w:type="dxa"/>
            <w:vAlign w:val="bottom"/>
          </w:tcPr>
          <w:p>
            <w:pPr>
              <w:spacing w:after="0"/>
              <w:rPr>
                <w:sz w:val="20"/>
                <w:szCs w:val="20"/>
                <w:color w:val="auto"/>
              </w:rPr>
            </w:pPr>
            <w:r>
              <w:rPr>
                <w:rFonts w:ascii="Arial" w:cs="Arial" w:eastAsia="Arial" w:hAnsi="Arial"/>
                <w:sz w:val="17"/>
                <w:szCs w:val="17"/>
                <w:color w:val="auto"/>
              </w:rPr>
              <w:t>Keel Platform, LLC</w:t>
            </w:r>
          </w:p>
        </w:tc>
        <w:tc>
          <w:tcPr>
            <w:tcW w:w="1360" w:type="dxa"/>
            <w:vAlign w:val="bottom"/>
            <w:gridSpan w:val="3"/>
          </w:tcPr>
          <w:p>
            <w:pPr>
              <w:ind w:left="80"/>
              <w:spacing w:after="0"/>
              <w:rPr>
                <w:sz w:val="20"/>
                <w:szCs w:val="20"/>
                <w:color w:val="auto"/>
              </w:rPr>
            </w:pPr>
            <w:r>
              <w:rPr>
                <w:rFonts w:ascii="Arial" w:cs="Arial" w:eastAsia="Arial" w:hAnsi="Arial"/>
                <w:sz w:val="17"/>
                <w:szCs w:val="17"/>
                <w:color w:val="auto"/>
              </w:rPr>
              <w:t>4,267,407.60</w:t>
            </w: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83"/>
        </w:trPr>
        <w:tc>
          <w:tcPr>
            <w:tcW w:w="3000" w:type="dxa"/>
            <w:vAlign w:val="bottom"/>
            <w:gridSpan w:val="4"/>
          </w:tcPr>
          <w:p>
            <w:pPr>
              <w:spacing w:after="0"/>
              <w:rPr>
                <w:sz w:val="20"/>
                <w:szCs w:val="20"/>
                <w:color w:val="auto"/>
              </w:rPr>
            </w:pPr>
            <w:r>
              <w:rPr>
                <w:rFonts w:ascii="Arial" w:cs="Arial" w:eastAsia="Arial" w:hAnsi="Arial"/>
                <w:sz w:val="17"/>
                <w:szCs w:val="17"/>
                <w:color w:val="auto"/>
              </w:rPr>
              <w:t>Lightspeed Buyer Inc. 8,000,000.00</w:t>
            </w: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70"/>
        </w:trPr>
        <w:tc>
          <w:tcPr>
            <w:tcW w:w="2100" w:type="dxa"/>
            <w:vAlign w:val="bottom"/>
            <w:gridSpan w:val="2"/>
          </w:tcPr>
          <w:p>
            <w:pPr>
              <w:spacing w:after="0"/>
              <w:rPr>
                <w:sz w:val="20"/>
                <w:szCs w:val="20"/>
                <w:color w:val="auto"/>
              </w:rPr>
            </w:pPr>
            <w:r>
              <w:rPr>
                <w:rFonts w:ascii="Arial" w:cs="Arial" w:eastAsia="Arial" w:hAnsi="Arial"/>
                <w:sz w:val="17"/>
                <w:szCs w:val="17"/>
                <w:color w:val="auto"/>
              </w:rPr>
              <w:t>LJ Avalon Holdings, LLC</w:t>
            </w:r>
          </w:p>
        </w:tc>
        <w:tc>
          <w:tcPr>
            <w:tcW w:w="1600" w:type="dxa"/>
            <w:vAlign w:val="bottom"/>
            <w:gridSpan w:val="3"/>
          </w:tcPr>
          <w:p>
            <w:pPr>
              <w:ind w:left="40"/>
              <w:spacing w:after="0"/>
              <w:rPr>
                <w:sz w:val="20"/>
                <w:szCs w:val="20"/>
                <w:color w:val="auto"/>
              </w:rPr>
            </w:pPr>
            <w:r>
              <w:rPr>
                <w:rFonts w:ascii="Arial" w:cs="Arial" w:eastAsia="Arial" w:hAnsi="Arial"/>
                <w:sz w:val="17"/>
                <w:szCs w:val="17"/>
                <w:color w:val="auto"/>
              </w:rPr>
              <w:t>1,712,069.99</w:t>
            </w:r>
          </w:p>
        </w:tc>
        <w:tc>
          <w:tcPr>
            <w:tcW w:w="7540" w:type="dxa"/>
            <w:vAlign w:val="bottom"/>
          </w:tcPr>
          <w:p>
            <w:pPr>
              <w:spacing w:after="0"/>
              <w:rPr>
                <w:sz w:val="23"/>
                <w:szCs w:val="23"/>
                <w:color w:val="auto"/>
              </w:rPr>
            </w:pPr>
          </w:p>
        </w:tc>
      </w:tr>
      <w:tr>
        <w:trPr>
          <w:trHeight w:val="283"/>
        </w:trPr>
        <w:tc>
          <w:tcPr>
            <w:tcW w:w="3700" w:type="dxa"/>
            <w:vAlign w:val="bottom"/>
            <w:gridSpan w:val="5"/>
          </w:tcPr>
          <w:p>
            <w:pPr>
              <w:spacing w:after="0"/>
              <w:rPr>
                <w:sz w:val="20"/>
                <w:szCs w:val="20"/>
                <w:color w:val="auto"/>
              </w:rPr>
            </w:pPr>
            <w:r>
              <w:rPr>
                <w:rFonts w:ascii="Arial" w:cs="Arial" w:eastAsia="Arial" w:hAnsi="Arial"/>
                <w:sz w:val="17"/>
                <w:szCs w:val="17"/>
                <w:color w:val="auto"/>
              </w:rPr>
              <w:t>Loving Tan Intermediate II, Inc.  8,000,000.00</w:t>
            </w:r>
          </w:p>
        </w:tc>
        <w:tc>
          <w:tcPr>
            <w:tcW w:w="7540" w:type="dxa"/>
            <w:vAlign w:val="bottom"/>
          </w:tcPr>
          <w:p>
            <w:pPr>
              <w:spacing w:after="0"/>
              <w:rPr>
                <w:sz w:val="24"/>
                <w:szCs w:val="24"/>
                <w:color w:val="auto"/>
              </w:rPr>
            </w:pPr>
          </w:p>
        </w:tc>
      </w:tr>
      <w:tr>
        <w:trPr>
          <w:trHeight w:val="270"/>
        </w:trPr>
        <w:tc>
          <w:tcPr>
            <w:tcW w:w="2100" w:type="dxa"/>
            <w:vAlign w:val="bottom"/>
            <w:gridSpan w:val="2"/>
          </w:tcPr>
          <w:p>
            <w:pPr>
              <w:spacing w:after="0"/>
              <w:rPr>
                <w:sz w:val="20"/>
                <w:szCs w:val="20"/>
                <w:color w:val="auto"/>
              </w:rPr>
            </w:pPr>
            <w:r>
              <w:rPr>
                <w:rFonts w:ascii="Arial" w:cs="Arial" w:eastAsia="Arial" w:hAnsi="Arial"/>
                <w:sz w:val="17"/>
                <w:szCs w:val="17"/>
                <w:color w:val="auto"/>
                <w:w w:val="97"/>
              </w:rPr>
              <w:t>LSF9 Atlantis Holdings, LLC</w:t>
            </w:r>
          </w:p>
        </w:tc>
        <w:tc>
          <w:tcPr>
            <w:tcW w:w="1600" w:type="dxa"/>
            <w:vAlign w:val="bottom"/>
            <w:gridSpan w:val="3"/>
          </w:tcPr>
          <w:p>
            <w:pPr>
              <w:ind w:left="40"/>
              <w:spacing w:after="0"/>
              <w:rPr>
                <w:sz w:val="20"/>
                <w:szCs w:val="20"/>
                <w:color w:val="auto"/>
              </w:rPr>
            </w:pPr>
            <w:r>
              <w:rPr>
                <w:rFonts w:ascii="Arial" w:cs="Arial" w:eastAsia="Arial" w:hAnsi="Arial"/>
                <w:sz w:val="17"/>
                <w:szCs w:val="17"/>
                <w:color w:val="auto"/>
              </w:rPr>
              <w:t>4,465,399.79</w:t>
            </w:r>
          </w:p>
        </w:tc>
        <w:tc>
          <w:tcPr>
            <w:tcW w:w="7540" w:type="dxa"/>
            <w:vAlign w:val="bottom"/>
          </w:tcPr>
          <w:p>
            <w:pPr>
              <w:spacing w:after="0"/>
              <w:rPr>
                <w:sz w:val="23"/>
                <w:szCs w:val="23"/>
                <w:color w:val="auto"/>
              </w:rPr>
            </w:pPr>
          </w:p>
        </w:tc>
      </w:tr>
      <w:tr>
        <w:trPr>
          <w:trHeight w:val="284"/>
        </w:trPr>
        <w:tc>
          <w:tcPr>
            <w:tcW w:w="2560" w:type="dxa"/>
            <w:vAlign w:val="bottom"/>
            <w:gridSpan w:val="3"/>
          </w:tcPr>
          <w:p>
            <w:pPr>
              <w:spacing w:after="0"/>
              <w:rPr>
                <w:sz w:val="20"/>
                <w:szCs w:val="20"/>
                <w:color w:val="auto"/>
              </w:rPr>
            </w:pPr>
            <w:r>
              <w:rPr>
                <w:rFonts w:ascii="Arial" w:cs="Arial" w:eastAsia="Arial" w:hAnsi="Arial"/>
                <w:sz w:val="17"/>
                <w:szCs w:val="17"/>
                <w:color w:val="auto"/>
              </w:rPr>
              <w:t>MAG DS Corp.   2,452,103.24</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70"/>
        </w:trPr>
        <w:tc>
          <w:tcPr>
            <w:tcW w:w="3000" w:type="dxa"/>
            <w:vAlign w:val="bottom"/>
            <w:gridSpan w:val="4"/>
          </w:tcPr>
          <w:p>
            <w:pPr>
              <w:spacing w:after="0"/>
              <w:rPr>
                <w:sz w:val="20"/>
                <w:szCs w:val="20"/>
                <w:color w:val="auto"/>
              </w:rPr>
            </w:pPr>
            <w:r>
              <w:rPr>
                <w:rFonts w:ascii="Arial" w:cs="Arial" w:eastAsia="Arial" w:hAnsi="Arial"/>
                <w:sz w:val="17"/>
                <w:szCs w:val="17"/>
                <w:color w:val="auto"/>
              </w:rPr>
              <w:t>Marketplace Events Acquisition, LLC</w:t>
            </w:r>
          </w:p>
        </w:tc>
        <w:tc>
          <w:tcPr>
            <w:tcW w:w="8240" w:type="dxa"/>
            <w:vAlign w:val="bottom"/>
            <w:gridSpan w:val="2"/>
          </w:tcPr>
          <w:p>
            <w:pPr>
              <w:jc w:val="right"/>
              <w:ind w:right="7157"/>
              <w:spacing w:after="0"/>
              <w:rPr>
                <w:sz w:val="20"/>
                <w:szCs w:val="20"/>
                <w:color w:val="auto"/>
              </w:rPr>
            </w:pPr>
            <w:r>
              <w:rPr>
                <w:rFonts w:ascii="Arial" w:cs="Arial" w:eastAsia="Arial" w:hAnsi="Arial"/>
                <w:sz w:val="17"/>
                <w:szCs w:val="17"/>
                <w:color w:val="auto"/>
                <w:w w:val="98"/>
              </w:rPr>
              <w:t>8,000,000.00</w:t>
            </w:r>
          </w:p>
        </w:tc>
      </w:tr>
      <w:tr>
        <w:trPr>
          <w:trHeight w:val="284"/>
        </w:trPr>
        <w:tc>
          <w:tcPr>
            <w:tcW w:w="1640" w:type="dxa"/>
            <w:vAlign w:val="bottom"/>
          </w:tcPr>
          <w:p>
            <w:pPr>
              <w:spacing w:after="0"/>
              <w:rPr>
                <w:sz w:val="20"/>
                <w:szCs w:val="20"/>
                <w:color w:val="auto"/>
              </w:rPr>
            </w:pPr>
            <w:r>
              <w:rPr>
                <w:rFonts w:ascii="Arial" w:cs="Arial" w:eastAsia="Arial" w:hAnsi="Arial"/>
                <w:sz w:val="17"/>
                <w:szCs w:val="17"/>
                <w:color w:val="auto"/>
              </w:rPr>
              <w:t>Medina Health, LLC</w:t>
            </w:r>
          </w:p>
        </w:tc>
        <w:tc>
          <w:tcPr>
            <w:tcW w:w="1360" w:type="dxa"/>
            <w:vAlign w:val="bottom"/>
            <w:gridSpan w:val="3"/>
          </w:tcPr>
          <w:p>
            <w:pPr>
              <w:ind w:left="80"/>
              <w:spacing w:after="0"/>
              <w:rPr>
                <w:sz w:val="20"/>
                <w:szCs w:val="20"/>
                <w:color w:val="auto"/>
              </w:rPr>
            </w:pPr>
            <w:r>
              <w:rPr>
                <w:rFonts w:ascii="Arial" w:cs="Arial" w:eastAsia="Arial" w:hAnsi="Arial"/>
                <w:sz w:val="17"/>
                <w:szCs w:val="17"/>
                <w:color w:val="auto"/>
              </w:rPr>
              <w:t>5,870,011.70</w:t>
            </w:r>
          </w:p>
        </w:tc>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70"/>
        </w:trPr>
        <w:tc>
          <w:tcPr>
            <w:tcW w:w="2100" w:type="dxa"/>
            <w:vAlign w:val="bottom"/>
            <w:gridSpan w:val="2"/>
          </w:tcPr>
          <w:p>
            <w:pPr>
              <w:spacing w:after="0"/>
              <w:rPr>
                <w:sz w:val="20"/>
                <w:szCs w:val="20"/>
                <w:color w:val="auto"/>
              </w:rPr>
            </w:pPr>
            <w:r>
              <w:rPr>
                <w:rFonts w:ascii="Arial" w:cs="Arial" w:eastAsia="Arial" w:hAnsi="Arial"/>
                <w:sz w:val="17"/>
                <w:szCs w:val="17"/>
                <w:color w:val="auto"/>
              </w:rPr>
              <w:t>MOREGroup Holdings, Inc.</w:t>
            </w:r>
          </w:p>
        </w:tc>
        <w:tc>
          <w:tcPr>
            <w:tcW w:w="1600" w:type="dxa"/>
            <w:vAlign w:val="bottom"/>
            <w:gridSpan w:val="3"/>
          </w:tcPr>
          <w:p>
            <w:pPr>
              <w:ind w:left="40"/>
              <w:spacing w:after="0"/>
              <w:rPr>
                <w:sz w:val="20"/>
                <w:szCs w:val="20"/>
                <w:color w:val="auto"/>
              </w:rPr>
            </w:pPr>
            <w:r>
              <w:rPr>
                <w:rFonts w:ascii="Arial" w:cs="Arial" w:eastAsia="Arial" w:hAnsi="Arial"/>
                <w:sz w:val="17"/>
                <w:szCs w:val="17"/>
                <w:color w:val="auto"/>
              </w:rPr>
              <w:t>8,000,000.00</w:t>
            </w:r>
          </w:p>
        </w:tc>
        <w:tc>
          <w:tcPr>
            <w:tcW w:w="7540" w:type="dxa"/>
            <w:vAlign w:val="bottom"/>
          </w:tcPr>
          <w:p>
            <w:pPr>
              <w:spacing w:after="0"/>
              <w:rPr>
                <w:sz w:val="23"/>
                <w:szCs w:val="23"/>
                <w:color w:val="auto"/>
              </w:rPr>
            </w:pPr>
          </w:p>
        </w:tc>
      </w:tr>
      <w:tr>
        <w:trPr>
          <w:trHeight w:val="283"/>
        </w:trPr>
        <w:tc>
          <w:tcPr>
            <w:tcW w:w="3000" w:type="dxa"/>
            <w:vAlign w:val="bottom"/>
            <w:gridSpan w:val="4"/>
          </w:tcPr>
          <w:p>
            <w:pPr>
              <w:spacing w:after="0"/>
              <w:rPr>
                <w:sz w:val="20"/>
                <w:szCs w:val="20"/>
                <w:color w:val="auto"/>
              </w:rPr>
            </w:pPr>
            <w:r>
              <w:rPr>
                <w:rFonts w:ascii="Arial" w:cs="Arial" w:eastAsia="Arial" w:hAnsi="Arial"/>
                <w:sz w:val="17"/>
                <w:szCs w:val="17"/>
                <w:color w:val="auto"/>
              </w:rPr>
              <w:t>Municipal Emergency Services, Inc.</w:t>
            </w:r>
          </w:p>
        </w:tc>
        <w:tc>
          <w:tcPr>
            <w:tcW w:w="8240" w:type="dxa"/>
            <w:vAlign w:val="bottom"/>
            <w:gridSpan w:val="2"/>
          </w:tcPr>
          <w:p>
            <w:pPr>
              <w:jc w:val="right"/>
              <w:ind w:right="7157"/>
              <w:spacing w:after="0"/>
              <w:rPr>
                <w:sz w:val="20"/>
                <w:szCs w:val="20"/>
                <w:color w:val="auto"/>
              </w:rPr>
            </w:pPr>
            <w:r>
              <w:rPr>
                <w:rFonts w:ascii="Arial" w:cs="Arial" w:eastAsia="Arial" w:hAnsi="Arial"/>
                <w:sz w:val="17"/>
                <w:szCs w:val="17"/>
                <w:color w:val="auto"/>
                <w:w w:val="98"/>
              </w:rPr>
              <w:t>2,125,479.12</w:t>
            </w:r>
          </w:p>
        </w:tc>
      </w:tr>
      <w:tr>
        <w:trPr>
          <w:trHeight w:val="284"/>
        </w:trPr>
        <w:tc>
          <w:tcPr>
            <w:tcW w:w="2100" w:type="dxa"/>
            <w:vAlign w:val="bottom"/>
            <w:gridSpan w:val="2"/>
          </w:tcPr>
          <w:p>
            <w:pPr>
              <w:spacing w:after="0"/>
              <w:rPr>
                <w:sz w:val="20"/>
                <w:szCs w:val="20"/>
                <w:color w:val="auto"/>
              </w:rPr>
            </w:pPr>
            <w:r>
              <w:rPr>
                <w:rFonts w:ascii="Arial" w:cs="Arial" w:eastAsia="Arial" w:hAnsi="Arial"/>
                <w:sz w:val="17"/>
                <w:szCs w:val="17"/>
                <w:color w:val="auto"/>
              </w:rPr>
              <w:t>NFS - CFP Holdings LLC</w:t>
            </w:r>
          </w:p>
        </w:tc>
        <w:tc>
          <w:tcPr>
            <w:tcW w:w="1600" w:type="dxa"/>
            <w:vAlign w:val="bottom"/>
            <w:gridSpan w:val="3"/>
          </w:tcPr>
          <w:p>
            <w:pPr>
              <w:ind w:left="40"/>
              <w:spacing w:after="0"/>
              <w:rPr>
                <w:sz w:val="20"/>
                <w:szCs w:val="20"/>
                <w:color w:val="auto"/>
              </w:rPr>
            </w:pPr>
            <w:r>
              <w:rPr>
                <w:rFonts w:ascii="Arial" w:cs="Arial" w:eastAsia="Arial" w:hAnsi="Arial"/>
                <w:sz w:val="17"/>
                <w:szCs w:val="17"/>
                <w:color w:val="auto"/>
              </w:rPr>
              <w:t>8,000,000.00</w:t>
            </w:r>
          </w:p>
        </w:tc>
        <w:tc>
          <w:tcPr>
            <w:tcW w:w="7540" w:type="dxa"/>
            <w:vAlign w:val="bottom"/>
          </w:tcPr>
          <w:p>
            <w:pPr>
              <w:spacing w:after="0"/>
              <w:rPr>
                <w:sz w:val="24"/>
                <w:szCs w:val="24"/>
                <w:color w:val="auto"/>
              </w:rPr>
            </w:pPr>
          </w:p>
        </w:tc>
      </w:tr>
      <w:tr>
        <w:trPr>
          <w:trHeight w:val="984"/>
        </w:trPr>
        <w:tc>
          <w:tcPr>
            <w:tcW w:w="16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4" w:right="339" w:bottom="1109" w:gutter="0" w:footer="0" w:header="0"/>
        </w:sectPr>
      </w:pPr>
    </w:p>
    <w:bookmarkStart w:id="450" w:name="page451"/>
    <w:bookmarkEnd w:id="450"/>
    <w:tbl>
      <w:tblPr>
        <w:tblLayout w:type="fixed"/>
        <w:tblInd w:w="0" w:type="dxa"/>
        <w:tblCellMar>
          <w:top w:w="0" w:type="dxa"/>
          <w:left w:w="0" w:type="dxa"/>
          <w:bottom w:w="0" w:type="dxa"/>
          <w:right w:w="0" w:type="dxa"/>
        </w:tblCellMar>
      </w:tblPr>
      <w:tr>
        <w:trPr>
          <w:trHeight w:val="195"/>
        </w:trPr>
        <w:tc>
          <w:tcPr>
            <w:tcW w:w="4580" w:type="dxa"/>
            <w:vAlign w:val="bottom"/>
            <w:gridSpan w:val="3"/>
          </w:tcPr>
          <w:p>
            <w:pPr>
              <w:spacing w:after="0"/>
              <w:rPr>
                <w:sz w:val="20"/>
                <w:szCs w:val="20"/>
                <w:color w:val="auto"/>
              </w:rPr>
            </w:pPr>
            <w:r>
              <w:rPr>
                <w:rFonts w:ascii="Arial" w:cs="Arial" w:eastAsia="Arial" w:hAnsi="Arial"/>
                <w:sz w:val="17"/>
                <w:szCs w:val="17"/>
                <w:color w:val="auto"/>
                <w:w w:val="99"/>
              </w:rPr>
              <w:t>Rider Master Loan Sales Agreement NORA Acquisition, LLC</w:t>
            </w:r>
          </w:p>
        </w:tc>
        <w:tc>
          <w:tcPr>
            <w:tcW w:w="1120" w:type="dxa"/>
            <w:vAlign w:val="bottom"/>
          </w:tcPr>
          <w:p>
            <w:pPr>
              <w:jc w:val="right"/>
              <w:spacing w:after="0"/>
              <w:rPr>
                <w:sz w:val="20"/>
                <w:szCs w:val="20"/>
                <w:color w:val="auto"/>
              </w:rPr>
            </w:pPr>
            <w:r>
              <w:rPr>
                <w:rFonts w:ascii="Arial" w:cs="Arial" w:eastAsia="Arial" w:hAnsi="Arial"/>
                <w:sz w:val="17"/>
                <w:szCs w:val="17"/>
                <w:color w:val="auto"/>
              </w:rPr>
              <w:t>6,398,950.52</w:t>
            </w:r>
          </w:p>
        </w:tc>
      </w:tr>
      <w:tr>
        <w:trPr>
          <w:trHeight w:val="270"/>
        </w:trPr>
        <w:tc>
          <w:tcPr>
            <w:tcW w:w="2420" w:type="dxa"/>
            <w:vAlign w:val="bottom"/>
          </w:tcPr>
          <w:p>
            <w:pPr>
              <w:spacing w:after="0"/>
              <w:rPr>
                <w:sz w:val="20"/>
                <w:szCs w:val="20"/>
                <w:color w:val="auto"/>
              </w:rPr>
            </w:pPr>
            <w:r>
              <w:rPr>
                <w:rFonts w:ascii="Arial" w:cs="Arial" w:eastAsia="Arial" w:hAnsi="Arial"/>
                <w:sz w:val="17"/>
                <w:szCs w:val="17"/>
                <w:color w:val="auto"/>
              </w:rPr>
              <w:t>Omnia Exterior Solutions, LLC</w:t>
            </w:r>
          </w:p>
        </w:tc>
        <w:tc>
          <w:tcPr>
            <w:tcW w:w="2160" w:type="dxa"/>
            <w:vAlign w:val="bottom"/>
            <w:gridSpan w:val="2"/>
          </w:tcPr>
          <w:p>
            <w:pPr>
              <w:jc w:val="right"/>
              <w:ind w:right="937"/>
              <w:spacing w:after="0"/>
              <w:rPr>
                <w:sz w:val="20"/>
                <w:szCs w:val="20"/>
                <w:color w:val="auto"/>
              </w:rPr>
            </w:pPr>
            <w:r>
              <w:rPr>
                <w:rFonts w:ascii="Arial" w:cs="Arial" w:eastAsia="Arial" w:hAnsi="Arial"/>
                <w:sz w:val="17"/>
                <w:szCs w:val="17"/>
                <w:color w:val="auto"/>
              </w:rPr>
              <w:t>8,000,000.00</w:t>
            </w:r>
          </w:p>
        </w:tc>
        <w:tc>
          <w:tcPr>
            <w:tcW w:w="1120" w:type="dxa"/>
            <w:vAlign w:val="bottom"/>
          </w:tcPr>
          <w:p>
            <w:pPr>
              <w:spacing w:after="0"/>
              <w:rPr>
                <w:sz w:val="23"/>
                <w:szCs w:val="23"/>
                <w:color w:val="auto"/>
              </w:rPr>
            </w:pPr>
          </w:p>
        </w:tc>
      </w:tr>
      <w:tr>
        <w:trPr>
          <w:trHeight w:val="283"/>
        </w:trPr>
        <w:tc>
          <w:tcPr>
            <w:tcW w:w="2420" w:type="dxa"/>
            <w:vAlign w:val="bottom"/>
          </w:tcPr>
          <w:p>
            <w:pPr>
              <w:spacing w:after="0"/>
              <w:rPr>
                <w:sz w:val="20"/>
                <w:szCs w:val="20"/>
                <w:color w:val="auto"/>
              </w:rPr>
            </w:pPr>
            <w:r>
              <w:rPr>
                <w:rFonts w:ascii="Arial" w:cs="Arial" w:eastAsia="Arial" w:hAnsi="Arial"/>
                <w:sz w:val="17"/>
                <w:szCs w:val="17"/>
                <w:color w:val="auto"/>
              </w:rPr>
              <w:t>PAR Excellence Holdings, Inc.</w:t>
            </w:r>
          </w:p>
        </w:tc>
        <w:tc>
          <w:tcPr>
            <w:tcW w:w="2160" w:type="dxa"/>
            <w:vAlign w:val="bottom"/>
            <w:gridSpan w:val="2"/>
          </w:tcPr>
          <w:p>
            <w:pPr>
              <w:jc w:val="right"/>
              <w:ind w:right="937"/>
              <w:spacing w:after="0"/>
              <w:rPr>
                <w:sz w:val="20"/>
                <w:szCs w:val="20"/>
                <w:color w:val="auto"/>
              </w:rPr>
            </w:pPr>
            <w:r>
              <w:rPr>
                <w:rFonts w:ascii="Arial" w:cs="Arial" w:eastAsia="Arial" w:hAnsi="Arial"/>
                <w:sz w:val="17"/>
                <w:szCs w:val="17"/>
                <w:color w:val="auto"/>
              </w:rPr>
              <w:t>5,500,000.00</w:t>
            </w:r>
          </w:p>
        </w:tc>
        <w:tc>
          <w:tcPr>
            <w:tcW w:w="1120" w:type="dxa"/>
            <w:vAlign w:val="bottom"/>
          </w:tcPr>
          <w:p>
            <w:pPr>
              <w:spacing w:after="0"/>
              <w:rPr>
                <w:sz w:val="24"/>
                <w:szCs w:val="24"/>
                <w:color w:val="auto"/>
              </w:rPr>
            </w:pPr>
          </w:p>
        </w:tc>
      </w:tr>
      <w:tr>
        <w:trPr>
          <w:trHeight w:val="283"/>
        </w:trPr>
        <w:tc>
          <w:tcPr>
            <w:tcW w:w="2420" w:type="dxa"/>
            <w:vAlign w:val="bottom"/>
          </w:tcPr>
          <w:p>
            <w:pPr>
              <w:spacing w:after="0"/>
              <w:rPr>
                <w:sz w:val="20"/>
                <w:szCs w:val="20"/>
                <w:color w:val="auto"/>
              </w:rPr>
            </w:pPr>
            <w:r>
              <w:rPr>
                <w:rFonts w:ascii="Arial" w:cs="Arial" w:eastAsia="Arial" w:hAnsi="Arial"/>
                <w:sz w:val="17"/>
                <w:szCs w:val="17"/>
                <w:color w:val="auto"/>
              </w:rPr>
              <w:t>PCS Midco, Inc. 4,436,827.56</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7"/>
                <w:szCs w:val="17"/>
                <w:color w:val="auto"/>
              </w:rPr>
              <w:t>RRA Corporate, LLC   7,182,000.00</w:t>
            </w:r>
          </w:p>
        </w:tc>
        <w:tc>
          <w:tcPr>
            <w:tcW w:w="13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83"/>
        </w:trPr>
        <w:tc>
          <w:tcPr>
            <w:tcW w:w="2420" w:type="dxa"/>
            <w:vAlign w:val="bottom"/>
          </w:tcPr>
          <w:p>
            <w:pPr>
              <w:spacing w:after="0"/>
              <w:rPr>
                <w:sz w:val="20"/>
                <w:szCs w:val="20"/>
                <w:color w:val="auto"/>
              </w:rPr>
            </w:pPr>
            <w:r>
              <w:rPr>
                <w:rFonts w:ascii="Arial" w:cs="Arial" w:eastAsia="Arial" w:hAnsi="Arial"/>
                <w:sz w:val="17"/>
                <w:szCs w:val="17"/>
                <w:color w:val="auto"/>
              </w:rPr>
              <w:t>RTIC Subsidiary Holdings, LLC</w:t>
            </w:r>
          </w:p>
        </w:tc>
        <w:tc>
          <w:tcPr>
            <w:tcW w:w="2160" w:type="dxa"/>
            <w:vAlign w:val="bottom"/>
            <w:gridSpan w:val="2"/>
          </w:tcPr>
          <w:p>
            <w:pPr>
              <w:jc w:val="right"/>
              <w:ind w:right="937"/>
              <w:spacing w:after="0"/>
              <w:rPr>
                <w:sz w:val="20"/>
                <w:szCs w:val="20"/>
                <w:color w:val="auto"/>
              </w:rPr>
            </w:pPr>
            <w:r>
              <w:rPr>
                <w:rFonts w:ascii="Arial" w:cs="Arial" w:eastAsia="Arial" w:hAnsi="Arial"/>
                <w:sz w:val="17"/>
                <w:szCs w:val="17"/>
                <w:color w:val="auto"/>
              </w:rPr>
              <w:t>8,000,000.00</w:t>
            </w:r>
          </w:p>
        </w:tc>
        <w:tc>
          <w:tcPr>
            <w:tcW w:w="1120" w:type="dxa"/>
            <w:vAlign w:val="bottom"/>
          </w:tcPr>
          <w:p>
            <w:pPr>
              <w:spacing w:after="0"/>
              <w:rPr>
                <w:sz w:val="24"/>
                <w:szCs w:val="24"/>
                <w:color w:val="auto"/>
              </w:rPr>
            </w:pPr>
          </w:p>
        </w:tc>
      </w:tr>
      <w:tr>
        <w:trPr>
          <w:trHeight w:val="283"/>
        </w:trPr>
        <w:tc>
          <w:tcPr>
            <w:tcW w:w="4580" w:type="dxa"/>
            <w:vAlign w:val="bottom"/>
            <w:gridSpan w:val="3"/>
          </w:tcPr>
          <w:p>
            <w:pPr>
              <w:spacing w:after="0"/>
              <w:rPr>
                <w:sz w:val="20"/>
                <w:szCs w:val="20"/>
                <w:color w:val="auto"/>
              </w:rPr>
            </w:pPr>
            <w:r>
              <w:rPr>
                <w:rFonts w:ascii="Arial" w:cs="Arial" w:eastAsia="Arial" w:hAnsi="Arial"/>
                <w:sz w:val="17"/>
                <w:szCs w:val="17"/>
                <w:color w:val="auto"/>
              </w:rPr>
              <w:t>Rural Sourcing Holdings, Inc. (HPA SPQ Merger Sub, Inc.)</w:t>
            </w:r>
          </w:p>
        </w:tc>
        <w:tc>
          <w:tcPr>
            <w:tcW w:w="1120" w:type="dxa"/>
            <w:vAlign w:val="bottom"/>
          </w:tcPr>
          <w:p>
            <w:pPr>
              <w:jc w:val="right"/>
              <w:spacing w:after="0"/>
              <w:rPr>
                <w:sz w:val="20"/>
                <w:szCs w:val="20"/>
                <w:color w:val="auto"/>
              </w:rPr>
            </w:pPr>
            <w:r>
              <w:rPr>
                <w:rFonts w:ascii="Arial" w:cs="Arial" w:eastAsia="Arial" w:hAnsi="Arial"/>
                <w:sz w:val="17"/>
                <w:szCs w:val="17"/>
                <w:color w:val="auto"/>
              </w:rPr>
              <w:t>1,137,625.52</w:t>
            </w:r>
          </w:p>
        </w:tc>
      </w:tr>
      <w:tr>
        <w:trPr>
          <w:trHeight w:val="270"/>
        </w:trPr>
        <w:tc>
          <w:tcPr>
            <w:tcW w:w="3280" w:type="dxa"/>
            <w:vAlign w:val="bottom"/>
            <w:gridSpan w:val="2"/>
          </w:tcPr>
          <w:p>
            <w:pPr>
              <w:spacing w:after="0"/>
              <w:rPr>
                <w:sz w:val="20"/>
                <w:szCs w:val="20"/>
                <w:color w:val="auto"/>
              </w:rPr>
            </w:pPr>
            <w:r>
              <w:rPr>
                <w:rFonts w:ascii="Arial" w:cs="Arial" w:eastAsia="Arial" w:hAnsi="Arial"/>
                <w:sz w:val="17"/>
                <w:szCs w:val="17"/>
                <w:color w:val="auto"/>
              </w:rPr>
              <w:t>Sabel Systems Technology Solutions, LLC</w:t>
            </w:r>
          </w:p>
        </w:tc>
        <w:tc>
          <w:tcPr>
            <w:tcW w:w="1300" w:type="dxa"/>
            <w:vAlign w:val="bottom"/>
          </w:tcPr>
          <w:p>
            <w:pPr>
              <w:jc w:val="right"/>
              <w:ind w:right="77"/>
              <w:spacing w:after="0"/>
              <w:rPr>
                <w:sz w:val="20"/>
                <w:szCs w:val="20"/>
                <w:color w:val="auto"/>
              </w:rPr>
            </w:pPr>
            <w:r>
              <w:rPr>
                <w:rFonts w:ascii="Arial" w:cs="Arial" w:eastAsia="Arial" w:hAnsi="Arial"/>
                <w:sz w:val="17"/>
                <w:szCs w:val="17"/>
                <w:color w:val="auto"/>
              </w:rPr>
              <w:t>8,000,000.00</w:t>
            </w:r>
          </w:p>
        </w:tc>
        <w:tc>
          <w:tcPr>
            <w:tcW w:w="1120" w:type="dxa"/>
            <w:vAlign w:val="bottom"/>
          </w:tcPr>
          <w:p>
            <w:pPr>
              <w:spacing w:after="0"/>
              <w:rPr>
                <w:sz w:val="23"/>
                <w:szCs w:val="23"/>
                <w:color w:val="auto"/>
              </w:rPr>
            </w:pPr>
          </w:p>
        </w:tc>
      </w:tr>
      <w:tr>
        <w:trPr>
          <w:trHeight w:val="283"/>
        </w:trPr>
        <w:tc>
          <w:tcPr>
            <w:tcW w:w="2420" w:type="dxa"/>
            <w:vAlign w:val="bottom"/>
          </w:tcPr>
          <w:p>
            <w:pPr>
              <w:spacing w:after="0"/>
              <w:rPr>
                <w:sz w:val="20"/>
                <w:szCs w:val="20"/>
                <w:color w:val="auto"/>
              </w:rPr>
            </w:pPr>
            <w:r>
              <w:rPr>
                <w:rFonts w:ascii="Arial" w:cs="Arial" w:eastAsia="Arial" w:hAnsi="Arial"/>
                <w:sz w:val="17"/>
                <w:szCs w:val="17"/>
                <w:color w:val="auto"/>
              </w:rPr>
              <w:t>Safe Haven Defense US LLC</w:t>
            </w:r>
          </w:p>
        </w:tc>
        <w:tc>
          <w:tcPr>
            <w:tcW w:w="2160" w:type="dxa"/>
            <w:vAlign w:val="bottom"/>
            <w:gridSpan w:val="2"/>
          </w:tcPr>
          <w:p>
            <w:pPr>
              <w:jc w:val="right"/>
              <w:ind w:right="937"/>
              <w:spacing w:after="0"/>
              <w:rPr>
                <w:sz w:val="20"/>
                <w:szCs w:val="20"/>
                <w:color w:val="auto"/>
              </w:rPr>
            </w:pPr>
            <w:r>
              <w:rPr>
                <w:rFonts w:ascii="Arial" w:cs="Arial" w:eastAsia="Arial" w:hAnsi="Arial"/>
                <w:sz w:val="17"/>
                <w:szCs w:val="17"/>
                <w:color w:val="auto"/>
              </w:rPr>
              <w:t>8,000,000.00</w:t>
            </w:r>
          </w:p>
        </w:tc>
        <w:tc>
          <w:tcPr>
            <w:tcW w:w="1120" w:type="dxa"/>
            <w:vAlign w:val="bottom"/>
          </w:tcPr>
          <w:p>
            <w:pPr>
              <w:spacing w:after="0"/>
              <w:rPr>
                <w:sz w:val="24"/>
                <w:szCs w:val="24"/>
                <w:color w:val="auto"/>
              </w:rPr>
            </w:pPr>
          </w:p>
        </w:tc>
      </w:tr>
      <w:tr>
        <w:trPr>
          <w:trHeight w:val="270"/>
        </w:trPr>
        <w:tc>
          <w:tcPr>
            <w:tcW w:w="2420" w:type="dxa"/>
            <w:vAlign w:val="bottom"/>
          </w:tcPr>
          <w:p>
            <w:pPr>
              <w:spacing w:after="0"/>
              <w:rPr>
                <w:sz w:val="20"/>
                <w:szCs w:val="20"/>
                <w:color w:val="auto"/>
              </w:rPr>
            </w:pPr>
            <w:r>
              <w:rPr>
                <w:rFonts w:ascii="Arial" w:cs="Arial" w:eastAsia="Arial" w:hAnsi="Arial"/>
                <w:sz w:val="17"/>
                <w:szCs w:val="17"/>
                <w:color w:val="auto"/>
              </w:rPr>
              <w:t>Sigma Defense Systems, LLC</w:t>
            </w:r>
          </w:p>
        </w:tc>
        <w:tc>
          <w:tcPr>
            <w:tcW w:w="2160" w:type="dxa"/>
            <w:vAlign w:val="bottom"/>
            <w:gridSpan w:val="2"/>
          </w:tcPr>
          <w:p>
            <w:pPr>
              <w:jc w:val="right"/>
              <w:ind w:right="937"/>
              <w:spacing w:after="0"/>
              <w:rPr>
                <w:sz w:val="20"/>
                <w:szCs w:val="20"/>
                <w:color w:val="auto"/>
              </w:rPr>
            </w:pPr>
            <w:r>
              <w:rPr>
                <w:rFonts w:ascii="Arial" w:cs="Arial" w:eastAsia="Arial" w:hAnsi="Arial"/>
                <w:sz w:val="17"/>
                <w:szCs w:val="17"/>
                <w:color w:val="auto"/>
              </w:rPr>
              <w:t>8,000,000.00</w:t>
            </w:r>
          </w:p>
        </w:tc>
        <w:tc>
          <w:tcPr>
            <w:tcW w:w="1120" w:type="dxa"/>
            <w:vAlign w:val="bottom"/>
          </w:tcPr>
          <w:p>
            <w:pPr>
              <w:spacing w:after="0"/>
              <w:rPr>
                <w:sz w:val="23"/>
                <w:szCs w:val="23"/>
                <w:color w:val="auto"/>
              </w:rPr>
            </w:pPr>
          </w:p>
        </w:tc>
      </w:tr>
    </w:tbl>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60" w:type="dxa"/>
            <w:vAlign w:val="bottom"/>
          </w:tcPr>
          <w:p>
            <w:pPr>
              <w:spacing w:after="0"/>
              <w:rPr>
                <w:sz w:val="20"/>
                <w:szCs w:val="20"/>
                <w:color w:val="auto"/>
              </w:rPr>
            </w:pPr>
            <w:r>
              <w:rPr>
                <w:rFonts w:ascii="Arial" w:cs="Arial" w:eastAsia="Arial" w:hAnsi="Arial"/>
                <w:sz w:val="17"/>
                <w:szCs w:val="17"/>
                <w:color w:val="auto"/>
              </w:rPr>
              <w:t>Spendmend Holdings LLC</w:t>
            </w:r>
          </w:p>
        </w:tc>
        <w:tc>
          <w:tcPr>
            <w:tcW w:w="940" w:type="dxa"/>
            <w:vAlign w:val="bottom"/>
          </w:tcPr>
          <w:p>
            <w:pPr>
              <w:ind w:left="80"/>
              <w:spacing w:after="0"/>
              <w:rPr>
                <w:sz w:val="20"/>
                <w:szCs w:val="20"/>
                <w:color w:val="auto"/>
              </w:rPr>
            </w:pPr>
            <w:r>
              <w:rPr>
                <w:rFonts w:ascii="Arial" w:cs="Arial" w:eastAsia="Arial" w:hAnsi="Arial"/>
                <w:sz w:val="17"/>
                <w:szCs w:val="17"/>
                <w:color w:val="auto"/>
                <w:w w:val="98"/>
              </w:rPr>
              <w:t>596,049.96</w:t>
            </w:r>
          </w:p>
        </w:tc>
        <w:tc>
          <w:tcPr>
            <w:tcW w:w="1000" w:type="dxa"/>
            <w:vAlign w:val="bottom"/>
          </w:tcPr>
          <w:p>
            <w:pPr>
              <w:spacing w:after="0"/>
              <w:rPr>
                <w:sz w:val="16"/>
                <w:szCs w:val="16"/>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7"/>
                <w:szCs w:val="17"/>
                <w:color w:val="auto"/>
              </w:rPr>
              <w:t>SV-Aero Holdings, LLC - Term Loan</w:t>
            </w:r>
          </w:p>
        </w:tc>
        <w:tc>
          <w:tcPr>
            <w:tcW w:w="1000" w:type="dxa"/>
            <w:vAlign w:val="bottom"/>
          </w:tcPr>
          <w:p>
            <w:pPr>
              <w:jc w:val="right"/>
              <w:spacing w:after="0"/>
              <w:rPr>
                <w:sz w:val="20"/>
                <w:szCs w:val="20"/>
                <w:color w:val="auto"/>
              </w:rPr>
            </w:pPr>
            <w:r>
              <w:rPr>
                <w:rFonts w:ascii="Arial" w:cs="Arial" w:eastAsia="Arial" w:hAnsi="Arial"/>
                <w:sz w:val="17"/>
                <w:szCs w:val="17"/>
                <w:color w:val="auto"/>
                <w:w w:val="98"/>
              </w:rPr>
              <w:t>7,567,164.18</w:t>
            </w:r>
          </w:p>
        </w:tc>
      </w:tr>
      <w:tr>
        <w:trPr>
          <w:trHeight w:val="283"/>
        </w:trPr>
        <w:tc>
          <w:tcPr>
            <w:tcW w:w="3000" w:type="dxa"/>
            <w:vAlign w:val="bottom"/>
            <w:gridSpan w:val="2"/>
          </w:tcPr>
          <w:p>
            <w:pPr>
              <w:spacing w:after="0"/>
              <w:rPr>
                <w:sz w:val="20"/>
                <w:szCs w:val="20"/>
                <w:color w:val="auto"/>
              </w:rPr>
            </w:pPr>
            <w:r>
              <w:rPr>
                <w:rFonts w:ascii="Arial" w:cs="Arial" w:eastAsia="Arial" w:hAnsi="Arial"/>
                <w:sz w:val="17"/>
                <w:szCs w:val="17"/>
                <w:color w:val="auto"/>
              </w:rPr>
              <w:t>System Planning and Analysis, Inc.</w:t>
            </w:r>
          </w:p>
        </w:tc>
        <w:tc>
          <w:tcPr>
            <w:tcW w:w="1000" w:type="dxa"/>
            <w:vAlign w:val="bottom"/>
          </w:tcPr>
          <w:p>
            <w:pPr>
              <w:jc w:val="right"/>
              <w:spacing w:after="0"/>
              <w:rPr>
                <w:sz w:val="20"/>
                <w:szCs w:val="20"/>
                <w:color w:val="auto"/>
              </w:rPr>
            </w:pPr>
            <w:r>
              <w:rPr>
                <w:rFonts w:ascii="Arial" w:cs="Arial" w:eastAsia="Arial" w:hAnsi="Arial"/>
                <w:sz w:val="17"/>
                <w:szCs w:val="17"/>
                <w:color w:val="auto"/>
                <w:w w:val="98"/>
              </w:rPr>
              <w:t>8,000,000.00</w:t>
            </w:r>
          </w:p>
        </w:tc>
      </w:tr>
      <w:tr>
        <w:trPr>
          <w:trHeight w:val="270"/>
        </w:trPr>
        <w:tc>
          <w:tcPr>
            <w:tcW w:w="2060" w:type="dxa"/>
            <w:vAlign w:val="bottom"/>
          </w:tcPr>
          <w:p>
            <w:pPr>
              <w:spacing w:after="0"/>
              <w:rPr>
                <w:sz w:val="20"/>
                <w:szCs w:val="20"/>
                <w:color w:val="auto"/>
              </w:rPr>
            </w:pPr>
            <w:r>
              <w:rPr>
                <w:rFonts w:ascii="Arial" w:cs="Arial" w:eastAsia="Arial" w:hAnsi="Arial"/>
                <w:sz w:val="17"/>
                <w:szCs w:val="17"/>
                <w:color w:val="auto"/>
                <w:w w:val="99"/>
              </w:rPr>
              <w:t>Team Services Group, LLC</w:t>
            </w:r>
          </w:p>
        </w:tc>
        <w:tc>
          <w:tcPr>
            <w:tcW w:w="1940" w:type="dxa"/>
            <w:vAlign w:val="bottom"/>
            <w:gridSpan w:val="2"/>
          </w:tcPr>
          <w:p>
            <w:pPr>
              <w:ind w:left="80"/>
              <w:spacing w:after="0"/>
              <w:rPr>
                <w:sz w:val="20"/>
                <w:szCs w:val="20"/>
                <w:color w:val="auto"/>
              </w:rPr>
            </w:pPr>
            <w:r>
              <w:rPr>
                <w:rFonts w:ascii="Arial" w:cs="Arial" w:eastAsia="Arial" w:hAnsi="Arial"/>
                <w:sz w:val="17"/>
                <w:szCs w:val="17"/>
                <w:color w:val="auto"/>
              </w:rPr>
              <w:t>8,000,000.00</w:t>
            </w:r>
          </w:p>
        </w:tc>
      </w:tr>
      <w:tr>
        <w:trPr>
          <w:trHeight w:val="283"/>
        </w:trPr>
        <w:tc>
          <w:tcPr>
            <w:tcW w:w="2060" w:type="dxa"/>
            <w:vAlign w:val="bottom"/>
          </w:tcPr>
          <w:p>
            <w:pPr>
              <w:spacing w:after="0"/>
              <w:rPr>
                <w:sz w:val="20"/>
                <w:szCs w:val="20"/>
                <w:color w:val="auto"/>
              </w:rPr>
            </w:pPr>
            <w:r>
              <w:rPr>
                <w:rFonts w:ascii="Arial" w:cs="Arial" w:eastAsia="Arial" w:hAnsi="Arial"/>
                <w:sz w:val="17"/>
                <w:szCs w:val="17"/>
                <w:color w:val="auto"/>
              </w:rPr>
              <w:t>The Bluebird Group LLC</w:t>
            </w:r>
          </w:p>
        </w:tc>
        <w:tc>
          <w:tcPr>
            <w:tcW w:w="1940" w:type="dxa"/>
            <w:vAlign w:val="bottom"/>
            <w:gridSpan w:val="2"/>
          </w:tcPr>
          <w:p>
            <w:pPr>
              <w:ind w:left="80"/>
              <w:spacing w:after="0"/>
              <w:rPr>
                <w:sz w:val="20"/>
                <w:szCs w:val="20"/>
                <w:color w:val="auto"/>
              </w:rPr>
            </w:pPr>
            <w:r>
              <w:rPr>
                <w:rFonts w:ascii="Arial" w:cs="Arial" w:eastAsia="Arial" w:hAnsi="Arial"/>
                <w:sz w:val="17"/>
                <w:szCs w:val="17"/>
                <w:color w:val="auto"/>
              </w:rPr>
              <w:t>6,203,273.98</w:t>
            </w: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0" w:type="dxa"/>
            <w:vAlign w:val="bottom"/>
            <w:gridSpan w:val="3"/>
          </w:tcPr>
          <w:p>
            <w:pPr>
              <w:spacing w:after="0"/>
              <w:rPr>
                <w:sz w:val="20"/>
                <w:szCs w:val="20"/>
                <w:color w:val="auto"/>
              </w:rPr>
            </w:pPr>
            <w:r>
              <w:rPr>
                <w:rFonts w:ascii="Arial" w:cs="Arial" w:eastAsia="Arial" w:hAnsi="Arial"/>
                <w:sz w:val="17"/>
                <w:szCs w:val="17"/>
                <w:color w:val="auto"/>
              </w:rPr>
              <w:t>TPC US Parent, LLC</w:t>
            </w:r>
          </w:p>
        </w:tc>
        <w:tc>
          <w:tcPr>
            <w:tcW w:w="1260" w:type="dxa"/>
            <w:vAlign w:val="bottom"/>
            <w:gridSpan w:val="2"/>
          </w:tcPr>
          <w:p>
            <w:pPr>
              <w:ind w:left="120"/>
              <w:spacing w:after="0"/>
              <w:rPr>
                <w:sz w:val="20"/>
                <w:szCs w:val="20"/>
                <w:color w:val="auto"/>
              </w:rPr>
            </w:pPr>
            <w:r>
              <w:rPr>
                <w:rFonts w:ascii="Arial" w:cs="Arial" w:eastAsia="Arial" w:hAnsi="Arial"/>
                <w:sz w:val="17"/>
                <w:szCs w:val="17"/>
                <w:color w:val="auto"/>
              </w:rPr>
              <w:t>160,234.95</w:t>
            </w:r>
          </w:p>
        </w:tc>
        <w:tc>
          <w:tcPr>
            <w:tcW w:w="1140" w:type="dxa"/>
            <w:vAlign w:val="bottom"/>
          </w:tcPr>
          <w:p>
            <w:pPr>
              <w:spacing w:after="0"/>
              <w:rPr>
                <w:sz w:val="16"/>
                <w:szCs w:val="16"/>
                <w:color w:val="auto"/>
              </w:rPr>
            </w:pPr>
          </w:p>
        </w:tc>
      </w:tr>
      <w:tr>
        <w:trPr>
          <w:trHeight w:val="283"/>
        </w:trPr>
        <w:tc>
          <w:tcPr>
            <w:tcW w:w="1220" w:type="dxa"/>
            <w:vAlign w:val="bottom"/>
            <w:gridSpan w:val="2"/>
          </w:tcPr>
          <w:p>
            <w:pPr>
              <w:spacing w:after="0"/>
              <w:rPr>
                <w:sz w:val="20"/>
                <w:szCs w:val="20"/>
                <w:color w:val="auto"/>
              </w:rPr>
            </w:pPr>
            <w:r>
              <w:rPr>
                <w:rFonts w:ascii="Arial" w:cs="Arial" w:eastAsia="Arial" w:hAnsi="Arial"/>
                <w:sz w:val="17"/>
                <w:szCs w:val="17"/>
                <w:color w:val="auto"/>
              </w:rPr>
              <w:t>Azureon, LLC</w:t>
            </w:r>
          </w:p>
        </w:tc>
        <w:tc>
          <w:tcPr>
            <w:tcW w:w="1640" w:type="dxa"/>
            <w:vAlign w:val="bottom"/>
            <w:gridSpan w:val="3"/>
          </w:tcPr>
          <w:p>
            <w:pPr>
              <w:jc w:val="right"/>
              <w:ind w:right="497"/>
              <w:spacing w:after="0"/>
              <w:rPr>
                <w:sz w:val="20"/>
                <w:szCs w:val="20"/>
                <w:color w:val="auto"/>
              </w:rPr>
            </w:pPr>
            <w:r>
              <w:rPr>
                <w:rFonts w:ascii="Arial" w:cs="Arial" w:eastAsia="Arial" w:hAnsi="Arial"/>
                <w:sz w:val="17"/>
                <w:szCs w:val="17"/>
                <w:color w:val="auto"/>
              </w:rPr>
              <w:t>6,634,251.00</w:t>
            </w:r>
          </w:p>
        </w:tc>
        <w:tc>
          <w:tcPr>
            <w:tcW w:w="1140" w:type="dxa"/>
            <w:vAlign w:val="bottom"/>
          </w:tcPr>
          <w:p>
            <w:pPr>
              <w:spacing w:after="0"/>
              <w:rPr>
                <w:sz w:val="24"/>
                <w:szCs w:val="24"/>
                <w:color w:val="auto"/>
              </w:rPr>
            </w:pPr>
          </w:p>
        </w:tc>
      </w:tr>
      <w:tr>
        <w:trPr>
          <w:trHeight w:val="283"/>
        </w:trPr>
        <w:tc>
          <w:tcPr>
            <w:tcW w:w="2860" w:type="dxa"/>
            <w:vAlign w:val="bottom"/>
            <w:gridSpan w:val="5"/>
          </w:tcPr>
          <w:p>
            <w:pPr>
              <w:spacing w:after="0"/>
              <w:rPr>
                <w:sz w:val="20"/>
                <w:szCs w:val="20"/>
                <w:color w:val="auto"/>
              </w:rPr>
            </w:pPr>
            <w:r>
              <w:rPr>
                <w:rFonts w:ascii="Arial" w:cs="Arial" w:eastAsia="Arial" w:hAnsi="Arial"/>
                <w:sz w:val="17"/>
                <w:szCs w:val="17"/>
                <w:color w:val="auto"/>
              </w:rPr>
              <w:t>Urology Management Holdings, Inc.</w:t>
            </w:r>
          </w:p>
        </w:tc>
        <w:tc>
          <w:tcPr>
            <w:tcW w:w="1140" w:type="dxa"/>
            <w:vAlign w:val="bottom"/>
          </w:tcPr>
          <w:p>
            <w:pPr>
              <w:jc w:val="right"/>
              <w:spacing w:after="0"/>
              <w:rPr>
                <w:sz w:val="20"/>
                <w:szCs w:val="20"/>
                <w:color w:val="auto"/>
              </w:rPr>
            </w:pPr>
            <w:r>
              <w:rPr>
                <w:rFonts w:ascii="Arial" w:cs="Arial" w:eastAsia="Arial" w:hAnsi="Arial"/>
                <w:sz w:val="17"/>
                <w:szCs w:val="17"/>
                <w:color w:val="auto"/>
              </w:rPr>
              <w:t>3,597,000.00</w:t>
            </w:r>
          </w:p>
        </w:tc>
      </w:tr>
      <w:tr>
        <w:trPr>
          <w:trHeight w:val="270"/>
        </w:trPr>
        <w:tc>
          <w:tcPr>
            <w:tcW w:w="2860" w:type="dxa"/>
            <w:vAlign w:val="bottom"/>
            <w:gridSpan w:val="5"/>
          </w:tcPr>
          <w:p>
            <w:pPr>
              <w:spacing w:after="0"/>
              <w:rPr>
                <w:sz w:val="20"/>
                <w:szCs w:val="20"/>
                <w:color w:val="auto"/>
              </w:rPr>
            </w:pPr>
            <w:r>
              <w:rPr>
                <w:rFonts w:ascii="Arial" w:cs="Arial" w:eastAsia="Arial" w:hAnsi="Arial"/>
                <w:sz w:val="17"/>
                <w:szCs w:val="17"/>
                <w:color w:val="auto"/>
              </w:rPr>
              <w:t>Velocity Rail Solutions 8,000,000.00</w:t>
            </w:r>
          </w:p>
        </w:tc>
        <w:tc>
          <w:tcPr>
            <w:tcW w:w="1140" w:type="dxa"/>
            <w:vAlign w:val="bottom"/>
          </w:tcPr>
          <w:p>
            <w:pPr>
              <w:spacing w:after="0"/>
              <w:rPr>
                <w:sz w:val="23"/>
                <w:szCs w:val="23"/>
                <w:color w:val="auto"/>
              </w:rPr>
            </w:pPr>
          </w:p>
        </w:tc>
      </w:tr>
      <w:tr>
        <w:trPr>
          <w:trHeight w:val="284"/>
        </w:trPr>
        <w:tc>
          <w:tcPr>
            <w:tcW w:w="4000" w:type="dxa"/>
            <w:vAlign w:val="bottom"/>
            <w:gridSpan w:val="6"/>
          </w:tcPr>
          <w:p>
            <w:pPr>
              <w:spacing w:after="0"/>
              <w:rPr>
                <w:sz w:val="20"/>
                <w:szCs w:val="20"/>
                <w:color w:val="auto"/>
              </w:rPr>
            </w:pPr>
            <w:r>
              <w:rPr>
                <w:rFonts w:ascii="Arial" w:cs="Arial" w:eastAsia="Arial" w:hAnsi="Arial"/>
                <w:sz w:val="17"/>
                <w:szCs w:val="17"/>
                <w:color w:val="auto"/>
              </w:rPr>
              <w:t>Watchtower Intermediate, LLC   2,084,250.00</w:t>
            </w:r>
          </w:p>
        </w:tc>
      </w:tr>
      <w:tr>
        <w:trPr>
          <w:trHeight w:val="283"/>
        </w:trPr>
        <w:tc>
          <w:tcPr>
            <w:tcW w:w="1600" w:type="dxa"/>
            <w:vAlign w:val="bottom"/>
            <w:gridSpan w:val="3"/>
          </w:tcPr>
          <w:p>
            <w:pPr>
              <w:spacing w:after="0"/>
              <w:rPr>
                <w:sz w:val="20"/>
                <w:szCs w:val="20"/>
                <w:color w:val="auto"/>
              </w:rPr>
            </w:pPr>
            <w:r>
              <w:rPr>
                <w:rFonts w:ascii="Arial" w:cs="Arial" w:eastAsia="Arial" w:hAnsi="Arial"/>
                <w:sz w:val="17"/>
                <w:szCs w:val="17"/>
                <w:color w:val="auto"/>
              </w:rPr>
              <w:t>Bland Landscaping</w:t>
            </w:r>
          </w:p>
        </w:tc>
        <w:tc>
          <w:tcPr>
            <w:tcW w:w="1260" w:type="dxa"/>
            <w:vAlign w:val="bottom"/>
            <w:gridSpan w:val="2"/>
          </w:tcPr>
          <w:p>
            <w:pPr>
              <w:ind w:left="120"/>
              <w:spacing w:after="0"/>
              <w:rPr>
                <w:sz w:val="20"/>
                <w:szCs w:val="20"/>
                <w:color w:val="auto"/>
              </w:rPr>
            </w:pPr>
            <w:r>
              <w:rPr>
                <w:rFonts w:ascii="Arial" w:cs="Arial" w:eastAsia="Arial" w:hAnsi="Arial"/>
                <w:sz w:val="17"/>
                <w:szCs w:val="17"/>
                <w:color w:val="auto"/>
              </w:rPr>
              <w:t>8,000,000.00</w:t>
            </w:r>
          </w:p>
        </w:tc>
        <w:tc>
          <w:tcPr>
            <w:tcW w:w="1140" w:type="dxa"/>
            <w:vAlign w:val="bottom"/>
          </w:tcPr>
          <w:p>
            <w:pPr>
              <w:spacing w:after="0"/>
              <w:rPr>
                <w:sz w:val="24"/>
                <w:szCs w:val="24"/>
                <w:color w:val="auto"/>
              </w:rPr>
            </w:pPr>
          </w:p>
        </w:tc>
      </w:tr>
      <w:tr>
        <w:trPr>
          <w:trHeight w:val="270"/>
        </w:trPr>
        <w:tc>
          <w:tcPr>
            <w:tcW w:w="2000" w:type="dxa"/>
            <w:vAlign w:val="bottom"/>
            <w:gridSpan w:val="4"/>
          </w:tcPr>
          <w:p>
            <w:pPr>
              <w:spacing w:after="0"/>
              <w:rPr>
                <w:sz w:val="20"/>
                <w:szCs w:val="20"/>
                <w:color w:val="auto"/>
              </w:rPr>
            </w:pPr>
            <w:r>
              <w:rPr>
                <w:rFonts w:ascii="Arial" w:cs="Arial" w:eastAsia="Arial" w:hAnsi="Arial"/>
                <w:sz w:val="17"/>
                <w:szCs w:val="17"/>
                <w:color w:val="auto"/>
              </w:rPr>
              <w:t>Best Practice Associates</w:t>
            </w:r>
          </w:p>
        </w:tc>
        <w:tc>
          <w:tcPr>
            <w:tcW w:w="2000" w:type="dxa"/>
            <w:vAlign w:val="bottom"/>
            <w:gridSpan w:val="2"/>
          </w:tcPr>
          <w:p>
            <w:pPr>
              <w:jc w:val="right"/>
              <w:ind w:right="777"/>
              <w:spacing w:after="0"/>
              <w:rPr>
                <w:sz w:val="20"/>
                <w:szCs w:val="20"/>
                <w:color w:val="auto"/>
              </w:rPr>
            </w:pPr>
            <w:r>
              <w:rPr>
                <w:rFonts w:ascii="Arial" w:cs="Arial" w:eastAsia="Arial" w:hAnsi="Arial"/>
                <w:sz w:val="17"/>
                <w:szCs w:val="17"/>
                <w:color w:val="auto"/>
              </w:rPr>
              <w:t>8,000,000.00</w:t>
            </w:r>
          </w:p>
        </w:tc>
      </w:tr>
      <w:tr>
        <w:trPr>
          <w:trHeight w:val="283"/>
        </w:trPr>
        <w:tc>
          <w:tcPr>
            <w:tcW w:w="1220" w:type="dxa"/>
            <w:vAlign w:val="bottom"/>
            <w:gridSpan w:val="2"/>
          </w:tcPr>
          <w:p>
            <w:pPr>
              <w:spacing w:after="0"/>
              <w:rPr>
                <w:sz w:val="20"/>
                <w:szCs w:val="20"/>
                <w:color w:val="auto"/>
              </w:rPr>
            </w:pPr>
            <w:r>
              <w:rPr>
                <w:rFonts w:ascii="Arial" w:cs="Arial" w:eastAsia="Arial" w:hAnsi="Arial"/>
                <w:sz w:val="17"/>
                <w:szCs w:val="17"/>
                <w:color w:val="auto"/>
              </w:rPr>
              <w:t>Boss Industries</w:t>
            </w:r>
          </w:p>
        </w:tc>
        <w:tc>
          <w:tcPr>
            <w:tcW w:w="1640" w:type="dxa"/>
            <w:vAlign w:val="bottom"/>
            <w:gridSpan w:val="3"/>
          </w:tcPr>
          <w:p>
            <w:pPr>
              <w:jc w:val="right"/>
              <w:ind w:right="497"/>
              <w:spacing w:after="0"/>
              <w:rPr>
                <w:sz w:val="20"/>
                <w:szCs w:val="20"/>
                <w:color w:val="auto"/>
              </w:rPr>
            </w:pPr>
            <w:r>
              <w:rPr>
                <w:rFonts w:ascii="Arial" w:cs="Arial" w:eastAsia="Arial" w:hAnsi="Arial"/>
                <w:sz w:val="17"/>
                <w:szCs w:val="17"/>
                <w:color w:val="auto"/>
              </w:rPr>
              <w:t>8,000,000.00</w:t>
            </w:r>
          </w:p>
        </w:tc>
        <w:tc>
          <w:tcPr>
            <w:tcW w:w="1140" w:type="dxa"/>
            <w:vAlign w:val="bottom"/>
          </w:tcPr>
          <w:p>
            <w:pPr>
              <w:spacing w:after="0"/>
              <w:rPr>
                <w:sz w:val="24"/>
                <w:szCs w:val="24"/>
                <w:color w:val="auto"/>
              </w:rPr>
            </w:pPr>
          </w:p>
        </w:tc>
      </w:tr>
      <w:tr>
        <w:trPr>
          <w:trHeight w:val="284"/>
        </w:trPr>
        <w:tc>
          <w:tcPr>
            <w:tcW w:w="760" w:type="dxa"/>
            <w:vAlign w:val="bottom"/>
          </w:tcPr>
          <w:p>
            <w:pPr>
              <w:spacing w:after="0"/>
              <w:rPr>
                <w:sz w:val="20"/>
                <w:szCs w:val="20"/>
                <w:color w:val="auto"/>
              </w:rPr>
            </w:pPr>
            <w:r>
              <w:rPr>
                <w:rFonts w:ascii="Arial" w:cs="Arial" w:eastAsia="Arial" w:hAnsi="Arial"/>
                <w:sz w:val="17"/>
                <w:szCs w:val="17"/>
                <w:color w:val="auto"/>
              </w:rPr>
              <w:t>360DG</w:t>
            </w:r>
          </w:p>
        </w:tc>
        <w:tc>
          <w:tcPr>
            <w:tcW w:w="1240" w:type="dxa"/>
            <w:vAlign w:val="bottom"/>
            <w:gridSpan w:val="3"/>
          </w:tcPr>
          <w:p>
            <w:pPr>
              <w:jc w:val="right"/>
              <w:ind w:right="57"/>
              <w:spacing w:after="0"/>
              <w:rPr>
                <w:sz w:val="20"/>
                <w:szCs w:val="20"/>
                <w:color w:val="auto"/>
              </w:rPr>
            </w:pPr>
            <w:r>
              <w:rPr>
                <w:rFonts w:ascii="Arial" w:cs="Arial" w:eastAsia="Arial" w:hAnsi="Arial"/>
                <w:sz w:val="17"/>
                <w:szCs w:val="17"/>
                <w:color w:val="auto"/>
              </w:rPr>
              <w:t>8,000,000.00</w:t>
            </w: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3"/>
        </w:trPr>
        <w:tc>
          <w:tcPr>
            <w:tcW w:w="760" w:type="dxa"/>
            <w:vAlign w:val="bottom"/>
          </w:tcPr>
          <w:p>
            <w:pPr>
              <w:spacing w:after="0"/>
              <w:rPr>
                <w:sz w:val="20"/>
                <w:szCs w:val="20"/>
                <w:color w:val="auto"/>
              </w:rPr>
            </w:pPr>
            <w:r>
              <w:rPr>
                <w:rFonts w:ascii="Arial" w:cs="Arial" w:eastAsia="Arial" w:hAnsi="Arial"/>
                <w:sz w:val="17"/>
                <w:szCs w:val="17"/>
                <w:color w:val="auto"/>
              </w:rPr>
              <w:t>Seacoast</w:t>
            </w:r>
          </w:p>
        </w:tc>
        <w:tc>
          <w:tcPr>
            <w:tcW w:w="1240" w:type="dxa"/>
            <w:vAlign w:val="bottom"/>
            <w:gridSpan w:val="3"/>
          </w:tcPr>
          <w:p>
            <w:pPr>
              <w:jc w:val="right"/>
              <w:ind w:right="57"/>
              <w:spacing w:after="0"/>
              <w:rPr>
                <w:sz w:val="20"/>
                <w:szCs w:val="20"/>
                <w:color w:val="auto"/>
              </w:rPr>
            </w:pPr>
            <w:r>
              <w:rPr>
                <w:rFonts w:ascii="Arial" w:cs="Arial" w:eastAsia="Arial" w:hAnsi="Arial"/>
                <w:sz w:val="17"/>
                <w:szCs w:val="17"/>
                <w:color w:val="auto"/>
              </w:rPr>
              <w:t>7,833,400.00</w:t>
            </w: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3"/>
        </w:trPr>
        <w:tc>
          <w:tcPr>
            <w:tcW w:w="2000" w:type="dxa"/>
            <w:vAlign w:val="bottom"/>
            <w:gridSpan w:val="4"/>
          </w:tcPr>
          <w:p>
            <w:pPr>
              <w:spacing w:after="0"/>
              <w:rPr>
                <w:sz w:val="20"/>
                <w:szCs w:val="20"/>
                <w:color w:val="auto"/>
              </w:rPr>
            </w:pPr>
            <w:r>
              <w:rPr>
                <w:rFonts w:ascii="Arial" w:cs="Arial" w:eastAsia="Arial" w:hAnsi="Arial"/>
                <w:sz w:val="17"/>
                <w:szCs w:val="17"/>
                <w:color w:val="auto"/>
              </w:rPr>
              <w:t>RealmOne 8,000,000.00</w:t>
            </w: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760" w:type="dxa"/>
            <w:vAlign w:val="bottom"/>
          </w:tcPr>
          <w:p>
            <w:pPr>
              <w:spacing w:after="0"/>
              <w:rPr>
                <w:sz w:val="20"/>
                <w:szCs w:val="20"/>
                <w:color w:val="auto"/>
              </w:rPr>
            </w:pPr>
            <w:r>
              <w:rPr>
                <w:rFonts w:ascii="Arial" w:cs="Arial" w:eastAsia="Arial" w:hAnsi="Arial"/>
                <w:sz w:val="17"/>
                <w:szCs w:val="17"/>
                <w:color w:val="auto"/>
              </w:rPr>
              <w:t>Tranzact</w:t>
            </w:r>
          </w:p>
        </w:tc>
        <w:tc>
          <w:tcPr>
            <w:tcW w:w="1240" w:type="dxa"/>
            <w:vAlign w:val="bottom"/>
            <w:gridSpan w:val="3"/>
          </w:tcPr>
          <w:p>
            <w:pPr>
              <w:jc w:val="right"/>
              <w:ind w:right="57"/>
              <w:spacing w:after="0"/>
              <w:rPr>
                <w:sz w:val="20"/>
                <w:szCs w:val="20"/>
                <w:color w:val="auto"/>
              </w:rPr>
            </w:pPr>
            <w:r>
              <w:rPr>
                <w:rFonts w:ascii="Arial" w:cs="Arial" w:eastAsia="Arial" w:hAnsi="Arial"/>
                <w:sz w:val="17"/>
                <w:szCs w:val="17"/>
                <w:color w:val="auto"/>
              </w:rPr>
              <w:t>8,000,000.00</w:t>
            </w:r>
          </w:p>
        </w:tc>
        <w:tc>
          <w:tcPr>
            <w:tcW w:w="860" w:type="dxa"/>
            <w:vAlign w:val="bottom"/>
          </w:tcPr>
          <w:p>
            <w:pPr>
              <w:spacing w:after="0"/>
              <w:rPr>
                <w:sz w:val="23"/>
                <w:szCs w:val="23"/>
                <w:color w:val="auto"/>
              </w:rPr>
            </w:pPr>
          </w:p>
        </w:tc>
        <w:tc>
          <w:tcPr>
            <w:tcW w:w="1140" w:type="dxa"/>
            <w:vAlign w:val="bottom"/>
          </w:tcPr>
          <w:p>
            <w:pPr>
              <w:spacing w:after="0"/>
              <w:rPr>
                <w:sz w:val="23"/>
                <w:szCs w:val="23"/>
                <w:color w:val="auto"/>
              </w:rPr>
            </w:pPr>
          </w:p>
        </w:tc>
      </w:tr>
    </w:tbl>
    <w:p>
      <w:pPr>
        <w:spacing w:after="0" w:line="61" w:lineRule="exact"/>
        <w:rPr>
          <w:sz w:val="20"/>
          <w:szCs w:val="20"/>
          <w:color w:val="auto"/>
        </w:rPr>
      </w:pPr>
    </w:p>
    <w:p>
      <w:pPr>
        <w:jc w:val="right"/>
        <w:spacing w:after="0"/>
        <w:rPr>
          <w:sz w:val="20"/>
          <w:szCs w:val="20"/>
          <w:color w:val="auto"/>
        </w:rPr>
      </w:pPr>
      <w:r>
        <w:rPr>
          <w:rFonts w:ascii="Arial" w:cs="Arial" w:eastAsia="Arial" w:hAnsi="Arial"/>
          <w:sz w:val="17"/>
          <w:szCs w:val="17"/>
          <w:color w:val="auto"/>
          <w:highlight w:val="black"/>
        </w:rPr>
        <w:t>423,633,151.34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2527935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7" w:right="379" w:bottom="1440" w:gutter="0" w:footer="0" w:header="0"/>
        </w:sectPr>
      </w:pPr>
    </w:p>
    <w:bookmarkStart w:id="451" w:name="page452"/>
    <w:bookmarkEnd w:id="4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F38E6D1"/>
    <w:multiLevelType w:val="hybridMultilevel"/>
    <w:lvl w:ilvl="0">
      <w:lvlJc w:val="left"/>
      <w:lvlText w:val="☐"/>
      <w:numFmt w:val="bullet"/>
      <w:start w:val="1"/>
    </w:lvl>
  </w:abstractNum>
  <w:abstractNum w:abstractNumId="1">
    <w:nsid w:val="46111BA5"/>
    <w:multiLevelType w:val="hybridMultilevel"/>
    <w:lvl w:ilvl="0">
      <w:lvlJc w:val="left"/>
      <w:lvlText w:val="(%1)"/>
      <w:numFmt w:val="lowerRoman"/>
      <w:start w:val="2"/>
    </w:lvl>
  </w:abstractNum>
  <w:abstractNum w:abstractNumId="2">
    <w:nsid w:val="5E963896"/>
    <w:multiLevelType w:val="hybridMultilevel"/>
    <w:lvl w:ilvl="0">
      <w:lvlJc w:val="left"/>
      <w:lvlText w:val="(%1)"/>
      <w:numFmt w:val="lowerLetter"/>
      <w:start w:val="1"/>
    </w:lvl>
  </w:abstractNum>
  <w:abstractNum w:abstractNumId="3">
    <w:nsid w:val="775BA7C1"/>
    <w:multiLevelType w:val="hybridMultilevel"/>
    <w:lvl w:ilvl="0">
      <w:lvlJc w:val="left"/>
      <w:lvlText w:val="(%1)"/>
      <w:numFmt w:val="lowerRoman"/>
      <w:start w:val="1"/>
    </w:lvl>
  </w:abstractNum>
  <w:abstractNum w:abstractNumId="4">
    <w:nsid w:val="1DD6D6F4"/>
    <w:multiLevelType w:val="hybridMultilevel"/>
    <w:lvl w:ilvl="0">
      <w:lvlJc w:val="left"/>
      <w:lvlText w:val="(%1)"/>
      <w:numFmt w:val="lowerRoman"/>
      <w:start w:val="1"/>
    </w:lvl>
  </w:abstractNum>
  <w:abstractNum w:abstractNumId="5">
    <w:nsid w:val="769A091F"/>
    <w:multiLevelType w:val="hybridMultilevel"/>
    <w:lvl w:ilvl="0">
      <w:lvlJc w:val="left"/>
      <w:lvlText w:val="(%1)"/>
      <w:numFmt w:val="lowerRoman"/>
      <w:start w:val="9"/>
    </w:lvl>
  </w:abstractNum>
  <w:abstractNum w:abstractNumId="6">
    <w:nsid w:val="4695AE95"/>
    <w:multiLevelType w:val="hybridMultilevel"/>
    <w:lvl w:ilvl="0">
      <w:lvlJc w:val="left"/>
      <w:lvlText w:val="(%1)"/>
      <w:numFmt w:val="lowerRoman"/>
      <w:start w:val="24"/>
    </w:lvl>
  </w:abstractNum>
  <w:abstractNum w:abstractNumId="7">
    <w:nsid w:val="777A4EAA"/>
    <w:multiLevelType w:val="hybridMultilevel"/>
    <w:lvl w:ilvl="0">
      <w:lvlJc w:val="left"/>
      <w:lvlText w:val="(%1)"/>
      <w:numFmt w:val="lowerRoman"/>
      <w:start w:val="1"/>
    </w:lvl>
  </w:abstractNum>
  <w:abstractNum w:abstractNumId="8">
    <w:nsid w:val="3F48B982"/>
    <w:multiLevelType w:val="hybridMultilevel"/>
    <w:lvl w:ilvl="0">
      <w:lvlJc w:val="left"/>
      <w:lvlText w:val="(%1)"/>
      <w:numFmt w:val="lowerRoman"/>
      <w:start w:val="1"/>
    </w:lvl>
  </w:abstractNum>
  <w:abstractNum w:abstractNumId="9">
    <w:nsid w:val="46BA8FCA"/>
    <w:multiLevelType w:val="hybridMultilevel"/>
    <w:lvl w:ilvl="0">
      <w:lvlJc w:val="left"/>
      <w:lvlText w:val="(%1)"/>
      <w:numFmt w:val="lowerRoman"/>
      <w:start w:val="2"/>
    </w:lvl>
  </w:abstractNum>
  <w:abstractNum w:abstractNumId="10">
    <w:nsid w:val="7835626C"/>
    <w:multiLevelType w:val="hybridMultilevel"/>
    <w:lvl w:ilvl="0">
      <w:lvlJc w:val="left"/>
      <w:lvlText w:val="%1"/>
      <w:numFmt w:val="lowerLetter"/>
      <w:start w:val="1"/>
    </w:lvl>
    <w:lvl w:ilvl="1">
      <w:lvlJc w:val="left"/>
      <w:lvlText w:val="(%2)"/>
      <w:numFmt w:val="lowerLetter"/>
      <w:start w:val="24"/>
    </w:lvl>
  </w:abstractNum>
  <w:abstractNum w:abstractNumId="11">
    <w:nsid w:val="665ACA49"/>
    <w:multiLevelType w:val="hybridMultilevel"/>
    <w:lvl w:ilvl="0">
      <w:lvlJc w:val="left"/>
      <w:lvlText w:val="(%1)"/>
      <w:numFmt w:val="lowerLetter"/>
      <w:start w:val="26"/>
    </w:lvl>
    <w:lvl w:ilvl="1">
      <w:lvlJc w:val="left"/>
      <w:lvlText w:val="%2"/>
      <w:numFmt w:val="lowerLetter"/>
      <w:start w:val="1"/>
    </w:lvl>
  </w:abstractNum>
  <w:abstractNum w:abstractNumId="12">
    <w:nsid w:val="6835B2AE"/>
    <w:multiLevelType w:val="hybridMultilevel"/>
    <w:lvl w:ilvl="0">
      <w:lvlJc w:val="left"/>
      <w:lvlText w:val="(%1)"/>
      <w:numFmt w:val="lowerRoman"/>
      <w:start w:val="11"/>
    </w:lvl>
  </w:abstractNum>
  <w:abstractNum w:abstractNumId="13">
    <w:nsid w:val="4C187C90"/>
    <w:multiLevelType w:val="hybridMultilevel"/>
    <w:lvl w:ilvl="0">
      <w:lvlJc w:val="left"/>
      <w:lvlText w:val="(%1)"/>
      <w:numFmt w:val="lowerRoman"/>
      <w:start w:val="15"/>
    </w:lvl>
  </w:abstractNum>
  <w:abstractNum w:abstractNumId="14">
    <w:nsid w:val="541F28CD"/>
    <w:multiLevelType w:val="hybridMultilevel"/>
    <w:lvl w:ilvl="0">
      <w:lvlJc w:val="left"/>
      <w:lvlText w:val="(%1)"/>
      <w:numFmt w:val="lowerLetter"/>
      <w:start w:val="1"/>
    </w:lvl>
  </w:abstractNum>
  <w:abstractNum w:abstractNumId="15">
    <w:nsid w:val="7F65FD16"/>
    <w:multiLevelType w:val="hybridMultilevel"/>
    <w:lvl w:ilvl="0">
      <w:lvlJc w:val="left"/>
      <w:lvlText w:val="(%1)"/>
      <w:numFmt w:val="lowerLetter"/>
      <w:start w:val="1"/>
    </w:lvl>
  </w:abstractNum>
  <w:abstractNum w:abstractNumId="16">
    <w:nsid w:val="77C9FD68"/>
    <w:multiLevelType w:val="hybridMultilevel"/>
    <w:lvl w:ilvl="0">
      <w:lvlJc w:val="left"/>
      <w:lvlText w:val="(%1)"/>
      <w:numFmt w:val="lowerRoman"/>
      <w:start w:val="1"/>
    </w:lvl>
  </w:abstractNum>
  <w:abstractNum w:abstractNumId="17">
    <w:nsid w:val="298A92BA"/>
    <w:multiLevelType w:val="hybridMultilevel"/>
    <w:lvl w:ilvl="0">
      <w:lvlJc w:val="left"/>
      <w:lvlText w:val="(%1)"/>
      <w:numFmt w:val="lowerLetter"/>
      <w:start w:val="1"/>
    </w:lvl>
  </w:abstractNum>
  <w:abstractNum w:abstractNumId="18">
    <w:nsid w:val="6FE95EAC"/>
    <w:multiLevelType w:val="hybridMultilevel"/>
    <w:lvl w:ilvl="0">
      <w:lvlJc w:val="left"/>
      <w:lvlText w:val="%1"/>
      <w:numFmt w:val="lowerLetter"/>
      <w:start w:val="1"/>
    </w:lvl>
    <w:lvl w:ilvl="1">
      <w:lvlJc w:val="left"/>
      <w:lvlText w:val="(%2)"/>
      <w:numFmt w:val="lowerLetter"/>
      <w:start w:val="9"/>
    </w:lvl>
  </w:abstractNum>
  <w:abstractNum w:abstractNumId="19">
    <w:nsid w:val="4B697C7A"/>
    <w:multiLevelType w:val="hybridMultilevel"/>
    <w:lvl w:ilvl="0">
      <w:lvlJc w:val="left"/>
      <w:lvlText w:val="(%1)"/>
      <w:numFmt w:val="lowerLetter"/>
      <w:start w:val="1"/>
    </w:lvl>
    <w:lvl w:ilvl="1">
      <w:lvlJc w:val="left"/>
      <w:lvlText w:val="(%2)"/>
      <w:numFmt w:val="lowerLetter"/>
      <w:start w:val="35"/>
    </w:lvl>
  </w:abstractNum>
  <w:abstractNum w:abstractNumId="20">
    <w:nsid w:val="51A27AA6"/>
    <w:multiLevelType w:val="hybridMultilevel"/>
    <w:lvl w:ilvl="0">
      <w:lvlJc w:val="left"/>
      <w:lvlText w:val="(%1)"/>
      <w:numFmt w:val="lowerLetter"/>
      <w:start w:val="1"/>
    </w:lvl>
  </w:abstractNum>
  <w:abstractNum w:abstractNumId="21">
    <w:nsid w:val="613183F2"/>
    <w:multiLevelType w:val="hybridMultilevel"/>
    <w:lvl w:ilvl="0">
      <w:lvlJc w:val="left"/>
      <w:lvlText w:val="%1"/>
      <w:numFmt w:val="lowerLetter"/>
      <w:start w:val="1"/>
    </w:lvl>
    <w:lvl w:ilvl="1">
      <w:lvlJc w:val="left"/>
      <w:lvlText w:val="(%2)"/>
      <w:numFmt w:val="lowerLetter"/>
      <w:start w:val="61"/>
    </w:lvl>
  </w:abstractNum>
  <w:abstractNum w:abstractNumId="22">
    <w:nsid w:val="634102B4"/>
    <w:multiLevelType w:val="hybridMultilevel"/>
    <w:lvl w:ilvl="0">
      <w:lvlJc w:val="left"/>
      <w:lvlText w:val="(%1)"/>
      <w:numFmt w:val="lowerLetter"/>
      <w:start w:val="1"/>
    </w:lvl>
    <w:lvl w:ilvl="1">
      <w:lvlJc w:val="left"/>
      <w:lvlText w:val="%2"/>
      <w:numFmt w:val="lowerLetter"/>
      <w:start w:val="1"/>
    </w:lvl>
  </w:abstractNum>
  <w:abstractNum w:abstractNumId="23">
    <w:nsid w:val="65BF9DA8"/>
    <w:multiLevelType w:val="hybridMultilevel"/>
    <w:lvl w:ilvl="0">
      <w:lvlJc w:val="left"/>
      <w:lvlText w:val="%1"/>
      <w:numFmt w:val="lowerLetter"/>
      <w:start w:val="1"/>
    </w:lvl>
    <w:lvl w:ilvl="1">
      <w:lvlJc w:val="left"/>
      <w:lvlText w:val="(%2)"/>
      <w:numFmt w:val="lowerRoman"/>
      <w:start w:val="4"/>
    </w:lvl>
  </w:abstractNum>
  <w:abstractNum w:abstractNumId="24">
    <w:nsid w:val="21A2ECCA"/>
    <w:multiLevelType w:val="hybridMultilevel"/>
    <w:lvl w:ilvl="0">
      <w:lvlJc w:val="left"/>
      <w:lvlText w:val="(%1)"/>
      <w:numFmt w:val="lowerLetter"/>
      <w:start w:val="1"/>
    </w:lvl>
    <w:lvl w:ilvl="1">
      <w:lvlJc w:val="left"/>
      <w:lvlText w:val="%2"/>
      <w:numFmt w:val="lowerRoman"/>
      <w:start w:val="1"/>
    </w:lvl>
  </w:abstractNum>
  <w:abstractNum w:abstractNumId="25">
    <w:nsid w:val="4D5C4899"/>
    <w:multiLevelType w:val="hybridMultilevel"/>
    <w:lvl w:ilvl="0">
      <w:lvlJc w:val="left"/>
      <w:lvlText w:val="%1"/>
      <w:numFmt w:val="lowerLetter"/>
      <w:start w:val="1"/>
    </w:lvl>
    <w:lvl w:ilvl="1">
      <w:lvlJc w:val="left"/>
      <w:lvlText w:val="(%2)"/>
      <w:numFmt w:val="lowerLetter"/>
      <w:start w:val="22"/>
    </w:lvl>
  </w:abstractNum>
  <w:abstractNum w:abstractNumId="26">
    <w:nsid w:val="3C3B72B2"/>
    <w:multiLevelType w:val="hybridMultilevel"/>
    <w:lvl w:ilvl="0">
      <w:lvlJc w:val="left"/>
      <w:lvlText w:val="(%1)"/>
      <w:numFmt w:val="lowerLetter"/>
      <w:start w:val="1"/>
    </w:lvl>
    <w:lvl w:ilvl="1">
      <w:lvlJc w:val="left"/>
      <w:lvlText w:val="%2"/>
      <w:numFmt w:val="lowerLetter"/>
      <w:start w:val="1"/>
    </w:lvl>
  </w:abstractNum>
  <w:abstractNum w:abstractNumId="27">
    <w:nsid w:val="155EC4C2"/>
    <w:multiLevelType w:val="hybridMultilevel"/>
    <w:lvl w:ilvl="0">
      <w:lvlJc w:val="left"/>
      <w:lvlText w:val="%1"/>
      <w:numFmt w:val="lowerLetter"/>
      <w:start w:val="1"/>
    </w:lvl>
    <w:lvl w:ilvl="1">
      <w:lvlJc w:val="left"/>
      <w:lvlText w:val="(%2)"/>
      <w:numFmt w:val="lowerRoman"/>
      <w:start w:val="6"/>
    </w:lvl>
  </w:abstractNum>
  <w:abstractNum w:abstractNumId="28">
    <w:nsid w:val="65D2A137"/>
    <w:multiLevelType w:val="hybridMultilevel"/>
    <w:lvl w:ilvl="0">
      <w:lvlJc w:val="left"/>
      <w:lvlText w:val="(%1)"/>
      <w:numFmt w:val="lowerLetter"/>
      <w:start w:val="1"/>
    </w:lvl>
    <w:lvl w:ilvl="1">
      <w:lvlJc w:val="left"/>
      <w:lvlText w:val="(%2)"/>
      <w:numFmt w:val="lowerRoman"/>
      <w:start w:val="7"/>
    </w:lvl>
  </w:abstractNum>
  <w:abstractNum w:abstractNumId="29">
    <w:nsid w:val="6EBB1F2A"/>
    <w:multiLevelType w:val="hybridMultilevel"/>
    <w:lvl w:ilvl="0">
      <w:lvlJc w:val="left"/>
      <w:lvlText w:val="(%1)"/>
      <w:numFmt w:val="lowerLetter"/>
      <w:start w:val="24"/>
    </w:lvl>
  </w:abstractNum>
  <w:abstractNum w:abstractNumId="30">
    <w:nsid w:val="6FBF29CB"/>
    <w:multiLevelType w:val="hybridMultilevel"/>
    <w:lvl w:ilvl="0">
      <w:lvlJc w:val="left"/>
      <w:lvlText w:val="(%1)"/>
      <w:numFmt w:val="lowerRoman"/>
      <w:start w:val="1"/>
    </w:lvl>
  </w:abstractNum>
  <w:abstractNum w:abstractNumId="31">
    <w:nsid w:val="550B880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2">
    <w:nsid w:val="34CC3ACF"/>
    <w:multiLevelType w:val="hybridMultilevel"/>
    <w:lvl w:ilvl="0">
      <w:lvlJc w:val="left"/>
      <w:lvlText w:val="(%1)"/>
      <w:numFmt w:val="lowerRoman"/>
      <w:start w:val="1"/>
    </w:lvl>
  </w:abstractNum>
  <w:abstractNum w:abstractNumId="33">
    <w:nsid w:val="4E556261"/>
    <w:multiLevelType w:val="hybridMultilevel"/>
    <w:lvl w:ilvl="0">
      <w:lvlJc w:val="left"/>
      <w:lvlText w:val="(%1)"/>
      <w:numFmt w:val="lowerLetter"/>
      <w:start w:val="2"/>
    </w:lvl>
  </w:abstractNum>
  <w:abstractNum w:abstractNumId="34">
    <w:nsid w:val="4C672FC9"/>
    <w:multiLevelType w:val="hybridMultilevel"/>
    <w:lvl w:ilvl="0">
      <w:lvlJc w:val="left"/>
      <w:lvlText w:val="(%1)"/>
      <w:numFmt w:val="lowerRoman"/>
      <w:start w:val="1"/>
    </w:lvl>
  </w:abstractNum>
  <w:abstractNum w:abstractNumId="35">
    <w:nsid w:val="52A311C3"/>
    <w:multiLevelType w:val="hybridMultilevel"/>
    <w:lvl w:ilvl="0">
      <w:lvlJc w:val="left"/>
      <w:lvlText w:val="(%1)"/>
      <w:numFmt w:val="lowerRoman"/>
      <w:start w:val="7"/>
    </w:lvl>
  </w:abstractNum>
  <w:abstractNum w:abstractNumId="36">
    <w:nsid w:val="44EF6B80"/>
    <w:multiLevelType w:val="hybridMultilevel"/>
    <w:lvl w:ilvl="0">
      <w:lvlJc w:val="left"/>
      <w:lvlText w:val="(%1)"/>
      <w:numFmt w:val="lowerLetter"/>
      <w:start w:val="1"/>
    </w:lvl>
    <w:lvl w:ilvl="1">
      <w:lvlJc w:val="left"/>
      <w:lvlText w:val="(%2)"/>
      <w:numFmt w:val="upperLetter"/>
      <w:start w:val="1"/>
    </w:lvl>
  </w:abstractNum>
  <w:abstractNum w:abstractNumId="37">
    <w:nsid w:val="12FCDE5E"/>
    <w:multiLevelType w:val="hybridMultilevel"/>
    <w:lvl w:ilvl="0">
      <w:lvlJc w:val="left"/>
      <w:lvlText w:val="(%1)"/>
      <w:numFmt w:val="lowerLetter"/>
      <w:start w:val="3"/>
    </w:lvl>
  </w:abstractNum>
  <w:abstractNum w:abstractNumId="38">
    <w:nsid w:val="4A1D606E"/>
    <w:multiLevelType w:val="hybridMultilevel"/>
    <w:lvl w:ilvl="0">
      <w:lvlJc w:val="left"/>
      <w:lvlText w:val="(%1)"/>
      <w:numFmt w:val="lowerRoman"/>
      <w:start w:val="1"/>
    </w:lvl>
  </w:abstractNum>
  <w:abstractNum w:abstractNumId="39">
    <w:nsid w:val="4382503"/>
    <w:multiLevelType w:val="hybridMultilevel"/>
    <w:lvl w:ilvl="0">
      <w:lvlJc w:val="left"/>
      <w:lvlText w:val="(%1)"/>
      <w:numFmt w:val="lowerRoman"/>
      <w:start w:val="2"/>
    </w:lvl>
    <w:lvl w:ilvl="1">
      <w:lvlJc w:val="left"/>
      <w:lvlText w:val="(%2)"/>
      <w:numFmt w:val="upperLetter"/>
      <w:start w:val="1"/>
    </w:lvl>
  </w:abstractNum>
  <w:abstractNum w:abstractNumId="40">
    <w:nsid w:val="59B76E28"/>
    <w:multiLevelType w:val="hybridMultilevel"/>
    <w:lvl w:ilvl="0">
      <w:lvlJc w:val="left"/>
      <w:lvlText w:val="(%1)"/>
      <w:numFmt w:val="lowerRoman"/>
      <w:start w:val="1"/>
    </w:lvl>
  </w:abstractNum>
  <w:abstractNum w:abstractNumId="41">
    <w:nsid w:val="4252C2DA"/>
    <w:multiLevelType w:val="hybridMultilevel"/>
    <w:lvl w:ilvl="0">
      <w:lvlJc w:val="left"/>
      <w:lvlText w:val="(%1)"/>
      <w:numFmt w:val="lowerLetter"/>
      <w:start w:val="25"/>
    </w:lvl>
  </w:abstractNum>
  <w:abstractNum w:abstractNumId="42">
    <w:nsid w:val="6A92EF4C"/>
    <w:multiLevelType w:val="hybridMultilevel"/>
    <w:lvl w:ilvl="0">
      <w:lvlJc w:val="left"/>
      <w:lvlText w:val="&amp;"/>
      <w:numFmt w:val="bullet"/>
      <w:start w:val="1"/>
    </w:lvl>
  </w:abstractNum>
  <w:abstractNum w:abstractNumId="43">
    <w:nsid w:val="41ED20D7"/>
    <w:multiLevelType w:val="hybridMultilevel"/>
    <w:lvl w:ilvl="0">
      <w:lvlJc w:val="left"/>
      <w:lvlText w:val="(%1)"/>
      <w:numFmt w:val="lowerRoman"/>
      <w:start w:val="1"/>
    </w:lvl>
  </w:abstractNum>
  <w:abstractNum w:abstractNumId="44">
    <w:nsid w:val="E6B3F6A"/>
    <w:multiLevelType w:val="hybridMultilevel"/>
    <w:lvl w:ilvl="0">
      <w:lvlJc w:val="left"/>
      <w:lvlText w:val="%1"/>
      <w:numFmt w:val="lowerLetter"/>
      <w:start w:val="1"/>
    </w:lvl>
    <w:lvl w:ilvl="1">
      <w:lvlJc w:val="left"/>
      <w:lvlText w:val="(%2)"/>
      <w:numFmt w:val="lowerRoman"/>
      <w:start w:val="2"/>
    </w:lvl>
  </w:abstractNum>
  <w:abstractNum w:abstractNumId="45">
    <w:nsid w:val="3EB21819"/>
    <w:multiLevelType w:val="hybridMultilevel"/>
    <w:lvl w:ilvl="0">
      <w:lvlJc w:val="left"/>
      <w:lvlText w:val="(%1)"/>
      <w:numFmt w:val="lowerLetter"/>
      <w:start w:val="1"/>
    </w:lvl>
    <w:lvl w:ilvl="1">
      <w:lvlJc w:val="left"/>
      <w:lvlText w:val="%2"/>
      <w:numFmt w:val="lowerRoman"/>
      <w:start w:val="1"/>
    </w:lvl>
  </w:abstractNum>
  <w:abstractNum w:abstractNumId="46">
    <w:nsid w:val="41531DED"/>
    <w:multiLevelType w:val="hybridMultilevel"/>
    <w:lvl w:ilvl="0">
      <w:lvlJc w:val="left"/>
      <w:lvlText w:val="(%1)"/>
      <w:numFmt w:val="lowerLetter"/>
      <w:start w:val="3"/>
    </w:lvl>
  </w:abstractNum>
  <w:abstractNum w:abstractNumId="47">
    <w:nsid w:val="6353CD2"/>
    <w:multiLevelType w:val="hybridMultilevel"/>
    <w:lvl w:ilvl="0">
      <w:lvlJc w:val="left"/>
      <w:lvlText w:val="(%1)"/>
      <w:numFmt w:val="lowerLetter"/>
      <w:start w:val="4"/>
    </w:lvl>
    <w:lvl w:ilvl="1">
      <w:lvlJc w:val="left"/>
      <w:lvlText w:val="(%2)"/>
      <w:numFmt w:val="lowerRoman"/>
      <w:start w:val="4"/>
    </w:lvl>
  </w:abstractNum>
  <w:abstractNum w:abstractNumId="48">
    <w:nsid w:val="683CAAD3"/>
    <w:multiLevelType w:val="hybridMultilevel"/>
    <w:lvl w:ilvl="0">
      <w:lvlJc w:val="left"/>
      <w:lvlText w:val="(%1)"/>
      <w:numFmt w:val="lowerRoman"/>
      <w:start w:val="10"/>
    </w:lvl>
  </w:abstractNum>
  <w:abstractNum w:abstractNumId="49">
    <w:nsid w:val="313C7C99"/>
    <w:multiLevelType w:val="hybridMultilevel"/>
    <w:lvl w:ilvl="0">
      <w:lvlJc w:val="left"/>
      <w:lvlText w:val="(%1)"/>
      <w:numFmt w:val="lowerLetter"/>
      <w:start w:val="1"/>
    </w:lvl>
  </w:abstractNum>
  <w:abstractNum w:abstractNumId="50">
    <w:nsid w:val="519EB94C"/>
    <w:multiLevelType w:val="hybridMultilevel"/>
    <w:lvl w:ilvl="0">
      <w:lvlJc w:val="left"/>
      <w:lvlText w:val="%1"/>
      <w:numFmt w:val="lowerLetter"/>
      <w:start w:val="1"/>
    </w:lvl>
    <w:lvl w:ilvl="1">
      <w:lvlJc w:val="left"/>
      <w:lvlText w:val="(%2)"/>
      <w:numFmt w:val="lowerRoman"/>
      <w:start w:val="1"/>
    </w:lvl>
  </w:abstractNum>
  <w:abstractNum w:abstractNumId="51">
    <w:nsid w:val="39DF2579"/>
    <w:multiLevelType w:val="hybridMultilevel"/>
    <w:lvl w:ilvl="0">
      <w:lvlJc w:val="left"/>
      <w:lvlText w:val="(%1)"/>
      <w:numFmt w:val="lowerLetter"/>
      <w:start w:val="25"/>
    </w:lvl>
    <w:lvl w:ilvl="1">
      <w:lvlJc w:val="left"/>
      <w:lvlText w:val="(%2)"/>
      <w:numFmt w:val="lowerRoman"/>
      <w:start w:val="5"/>
    </w:lvl>
  </w:abstractNum>
  <w:abstractNum w:abstractNumId="52">
    <w:nsid w:val="126E008B"/>
    <w:multiLevelType w:val="hybridMultilevel"/>
    <w:lvl w:ilvl="0">
      <w:lvlJc w:val="left"/>
      <w:lvlText w:val="(%1)"/>
      <w:numFmt w:val="lowerRoman"/>
      <w:start w:val="1"/>
    </w:lvl>
  </w:abstractNum>
  <w:abstractNum w:abstractNumId="53">
    <w:nsid w:val="34DFBC00"/>
    <w:multiLevelType w:val="hybridMultilevel"/>
    <w:lvl w:ilvl="0">
      <w:lvlJc w:val="left"/>
      <w:lvlText w:val="(%1)"/>
      <w:numFmt w:val="lowerLetter"/>
      <w:start w:val="25"/>
    </w:lvl>
  </w:abstractNum>
  <w:abstractNum w:abstractNumId="54">
    <w:nsid w:val="1F9EC322"/>
    <w:multiLevelType w:val="hybridMultilevel"/>
    <w:lvl w:ilvl="0">
      <w:lvlJc w:val="left"/>
      <w:lvlText w:val="(%1)"/>
      <w:numFmt w:val="lowerLetter"/>
      <w:start w:val="1"/>
    </w:lvl>
  </w:abstractNum>
  <w:abstractNum w:abstractNumId="55">
    <w:nsid w:val="3410ED56"/>
    <w:multiLevelType w:val="hybridMultilevel"/>
    <w:lvl w:ilvl="0">
      <w:lvlJc w:val="left"/>
      <w:lvlText w:val="(%1)"/>
      <w:numFmt w:val="lowerLetter"/>
      <w:start w:val="1"/>
    </w:lvl>
  </w:abstractNum>
  <w:abstractNum w:abstractNumId="56">
    <w:nsid w:val="23C049A"/>
    <w:multiLevelType w:val="hybridMultilevel"/>
    <w:lvl w:ilvl="0">
      <w:lvlJc w:val="left"/>
      <w:lvlText w:val="(%1)"/>
      <w:numFmt w:val="lowerLetter"/>
      <w:start w:val="2"/>
    </w:lvl>
  </w:abstractNum>
  <w:abstractNum w:abstractNumId="57">
    <w:nsid w:val="5BDA35D4"/>
    <w:multiLevelType w:val="hybridMultilevel"/>
    <w:lvl w:ilvl="0">
      <w:lvlJc w:val="left"/>
      <w:lvlText w:val="(%1)"/>
      <w:numFmt w:val="lowerLetter"/>
      <w:start w:val="1"/>
    </w:lvl>
  </w:abstractNum>
  <w:abstractNum w:abstractNumId="58">
    <w:nsid w:val="496FB218"/>
    <w:multiLevelType w:val="hybridMultilevel"/>
    <w:lvl w:ilvl="0">
      <w:lvlJc w:val="left"/>
      <w:lvlText w:val="(%1)"/>
      <w:numFmt w:val="lowerLetter"/>
      <w:start w:val="4"/>
    </w:lvl>
  </w:abstractNum>
  <w:abstractNum w:abstractNumId="59">
    <w:nsid w:val="680EA5D1"/>
    <w:multiLevelType w:val="hybridMultilevel"/>
    <w:lvl w:ilvl="0">
      <w:lvlJc w:val="left"/>
      <w:lvlText w:val="(%1)"/>
      <w:numFmt w:val="lowerLetter"/>
      <w:start w:val="9"/>
    </w:lvl>
  </w:abstractNum>
  <w:abstractNum w:abstractNumId="60">
    <w:nsid w:val="4A9554FE"/>
    <w:multiLevelType w:val="hybridMultilevel"/>
    <w:lvl w:ilvl="0">
      <w:lvlJc w:val="left"/>
      <w:lvlText w:val="(%1)"/>
      <w:numFmt w:val="lowerLetter"/>
      <w:start w:val="16"/>
    </w:lvl>
  </w:abstractNum>
  <w:abstractNum w:abstractNumId="61">
    <w:nsid w:val="392EDBE4"/>
    <w:multiLevelType w:val="hybridMultilevel"/>
    <w:lvl w:ilvl="0">
      <w:lvlJc w:val="left"/>
      <w:lvlText w:val="A"/>
      <w:numFmt w:val="bullet"/>
      <w:start w:val="1"/>
    </w:lvl>
  </w:abstractNum>
  <w:abstractNum w:abstractNumId="62">
    <w:nsid w:val="3D1A2DD9"/>
    <w:multiLevelType w:val="hybridMultilevel"/>
    <w:lvl w:ilvl="0">
      <w:lvlJc w:val="left"/>
      <w:lvlText w:val="(%1)"/>
      <w:numFmt w:val="lowerLetter"/>
      <w:start w:val="2"/>
    </w:lvl>
    <w:lvl w:ilvl="1">
      <w:lvlJc w:val="left"/>
      <w:lvlText w:val="(%2)"/>
      <w:numFmt w:val="lowerLetter"/>
      <w:start w:val="9"/>
    </w:lvl>
  </w:abstractNum>
  <w:abstractNum w:abstractNumId="63">
    <w:nsid w:val="7F618FCD"/>
    <w:multiLevelType w:val="hybridMultilevel"/>
    <w:lvl w:ilvl="0">
      <w:lvlJc w:val="left"/>
      <w:lvlText w:val="(%1)"/>
      <w:numFmt w:val="lowerRoman"/>
      <w:start w:val="2"/>
    </w:lvl>
  </w:abstractNum>
  <w:abstractNum w:abstractNumId="64">
    <w:nsid w:val="7843E45"/>
    <w:multiLevelType w:val="hybridMultilevel"/>
    <w:lvl w:ilvl="0">
      <w:lvlJc w:val="left"/>
      <w:lvlText w:val="%1"/>
      <w:numFmt w:val="lowerLetter"/>
      <w:start w:val="1"/>
    </w:lvl>
    <w:lvl w:ilvl="1">
      <w:lvlJc w:val="left"/>
      <w:lvlText w:val="(%2)"/>
      <w:numFmt w:val="lowerRoman"/>
      <w:start w:val="7"/>
    </w:lvl>
  </w:abstractNum>
  <w:abstractNum w:abstractNumId="65">
    <w:nsid w:val="9815DA3"/>
    <w:multiLevelType w:val="hybridMultilevel"/>
    <w:lvl w:ilvl="0">
      <w:lvlJc w:val="left"/>
      <w:lvlText w:val="(%1)"/>
      <w:numFmt w:val="lowerLetter"/>
      <w:start w:val="3"/>
    </w:lvl>
    <w:lvl w:ilvl="1">
      <w:lvlJc w:val="left"/>
      <w:lvlText w:val="%2"/>
      <w:numFmt w:val="lowerRoman"/>
      <w:start w:val="1"/>
    </w:lvl>
  </w:abstractNum>
  <w:abstractNum w:abstractNumId="66">
    <w:nsid w:val="5204A191"/>
    <w:multiLevelType w:val="hybridMultilevel"/>
    <w:lvl w:ilvl="0">
      <w:lvlJc w:val="left"/>
      <w:lvlText w:val="1"/>
      <w:numFmt w:val="bullet"/>
      <w:start w:val="1"/>
    </w:lvl>
  </w:abstractNum>
  <w:abstractNum w:abstractNumId="67">
    <w:nsid w:val="4C73A9C6"/>
    <w:multiLevelType w:val="hybridMultilevel"/>
    <w:lvl w:ilvl="0">
      <w:lvlJc w:val="left"/>
      <w:lvlText w:val="2"/>
      <w:numFmt w:val="bullet"/>
      <w:start w:val="1"/>
    </w:lvl>
  </w:abstractNum>
  <w:abstractNum w:abstractNumId="68">
    <w:nsid w:val="1C7E3C01"/>
    <w:multiLevelType w:val="hybridMultilevel"/>
    <w:lvl w:ilvl="0">
      <w:lvlJc w:val="left"/>
      <w:lvlText w:val="3"/>
      <w:numFmt w:val="bullet"/>
      <w:start w:val="1"/>
    </w:lvl>
  </w:abstractNum>
  <w:abstractNum w:abstractNumId="69">
    <w:nsid w:val="1C2201FF"/>
    <w:multiLevelType w:val="hybridMultilevel"/>
    <w:lvl w:ilvl="0">
      <w:lvlJc w:val="left"/>
      <w:lvlText w:val="4"/>
      <w:numFmt w:val="bullet"/>
      <w:start w:val="1"/>
    </w:lvl>
  </w:abstractNum>
  <w:abstractNum w:abstractNumId="70">
    <w:nsid w:val="50ABCEC9"/>
    <w:multiLevelType w:val="hybridMultilevel"/>
    <w:lvl w:ilvl="0">
      <w:lvlJc w:val="left"/>
      <w:lvlText w:val="(%1)"/>
      <w:numFmt w:val="lowerLetter"/>
      <w:start w:val="2"/>
    </w:lvl>
  </w:abstractNum>
  <w:abstractNum w:abstractNumId="71">
    <w:nsid w:val="7635AA2A"/>
    <w:multiLevelType w:val="hybridMultilevel"/>
    <w:lvl w:ilvl="0">
      <w:lvlJc w:val="left"/>
      <w:lvlText w:val="(%1)"/>
      <w:numFmt w:val="lowerRoman"/>
      <w:start w:val="2"/>
    </w:lvl>
  </w:abstractNum>
  <w:abstractNum w:abstractNumId="72">
    <w:nsid w:val="5E74C4D9"/>
    <w:multiLevelType w:val="hybridMultilevel"/>
    <w:lvl w:ilvl="0">
      <w:lvlJc w:val="left"/>
      <w:lvlText w:val="%1"/>
      <w:numFmt w:val="lowerLetter"/>
      <w:start w:val="1"/>
    </w:lvl>
    <w:lvl w:ilvl="1">
      <w:lvlJc w:val="left"/>
      <w:lvlText w:val="(%2)"/>
      <w:numFmt w:val="lowerRoman"/>
      <w:start w:val="7"/>
    </w:lvl>
  </w:abstractNum>
  <w:abstractNum w:abstractNumId="73">
    <w:nsid w:val="3B3EBE15"/>
    <w:multiLevelType w:val="hybridMultilevel"/>
    <w:lvl w:ilvl="0">
      <w:lvlJc w:val="left"/>
      <w:lvlText w:val="(%1)"/>
      <w:numFmt w:val="lowerLetter"/>
      <w:start w:val="2"/>
    </w:lvl>
    <w:lvl w:ilvl="1">
      <w:lvlJc w:val="left"/>
      <w:lvlText w:val="(%2)"/>
      <w:numFmt w:val="lowerRoman"/>
      <w:start w:val="2"/>
    </w:lvl>
  </w:abstractNum>
  <w:abstractNum w:abstractNumId="74">
    <w:nsid w:val="3822CB01"/>
    <w:multiLevelType w:val="hybridMultilevel"/>
    <w:lvl w:ilvl="0">
      <w:lvlJc w:val="left"/>
      <w:lvlText w:val="(%1)"/>
      <w:numFmt w:val="lowerLetter"/>
      <w:start w:val="5"/>
    </w:lvl>
    <w:lvl w:ilvl="1">
      <w:lvlJc w:val="left"/>
      <w:lvlText w:val="(%2)"/>
      <w:numFmt w:val="lowerLetter"/>
      <w:start w:val="9"/>
    </w:lvl>
  </w:abstractNum>
  <w:abstractNum w:abstractNumId="75">
    <w:nsid w:val="6CE00443"/>
    <w:multiLevelType w:val="hybridMultilevel"/>
    <w:lvl w:ilvl="0">
      <w:lvlJc w:val="left"/>
      <w:lvlText w:val="(%1)"/>
      <w:numFmt w:val="lowerRoman"/>
      <w:start w:val="2"/>
    </w:lvl>
  </w:abstractNum>
  <w:abstractNum w:abstractNumId="76">
    <w:nsid w:val="79F0D62F"/>
    <w:multiLevelType w:val="hybridMultilevel"/>
    <w:lvl w:ilvl="0">
      <w:lvlJc w:val="left"/>
      <w:lvlText w:val="(%1)"/>
      <w:numFmt w:val="lowerLetter"/>
      <w:start w:val="7"/>
    </w:lvl>
    <w:lvl w:ilvl="1">
      <w:lvlJc w:val="left"/>
      <w:lvlText w:val="(%2)"/>
      <w:numFmt w:val="lowerRoman"/>
      <w:start w:val="1"/>
    </w:lvl>
  </w:abstractNum>
  <w:abstractNum w:abstractNumId="77">
    <w:nsid w:val="7975E8EE"/>
    <w:multiLevelType w:val="hybridMultilevel"/>
    <w:lvl w:ilvl="0">
      <w:lvlJc w:val="left"/>
      <w:lvlText w:val="%1"/>
      <w:numFmt w:val="lowerLetter"/>
      <w:start w:val="1"/>
    </w:lvl>
    <w:lvl w:ilvl="1">
      <w:lvlJc w:val="left"/>
      <w:lvlText w:val="(%2)"/>
      <w:numFmt w:val="lowerRoman"/>
      <w:start w:val="3"/>
    </w:lvl>
  </w:abstractNum>
  <w:abstractNum w:abstractNumId="78">
    <w:nsid w:val="73154115"/>
    <w:multiLevelType w:val="hybridMultilevel"/>
    <w:lvl w:ilvl="0">
      <w:lvlJc w:val="left"/>
      <w:lvlText w:val="(%1)"/>
      <w:numFmt w:val="lowerLetter"/>
      <w:start w:val="8"/>
    </w:lvl>
    <w:lvl w:ilvl="1">
      <w:lvlJc w:val="left"/>
      <w:lvlText w:val="(%2)"/>
      <w:numFmt w:val="lowerRoman"/>
      <w:start w:val="1"/>
    </w:lvl>
  </w:abstractNum>
  <w:abstractNum w:abstractNumId="79">
    <w:nsid w:val="622D8102"/>
    <w:multiLevelType w:val="hybridMultilevel"/>
    <w:lvl w:ilvl="0">
      <w:lvlJc w:val="left"/>
      <w:lvlText w:val="%1"/>
      <w:numFmt w:val="lowerLetter"/>
      <w:start w:val="1"/>
    </w:lvl>
    <w:lvl w:ilvl="1">
      <w:lvlJc w:val="left"/>
      <w:lvlText w:val="(%2)"/>
      <w:numFmt w:val="lowerLetter"/>
      <w:start w:val="35"/>
    </w:lvl>
  </w:abstractNum>
  <w:abstractNum w:abstractNumId="80">
    <w:nsid w:val="2AB26587"/>
    <w:multiLevelType w:val="hybridMultilevel"/>
    <w:lvl w:ilvl="0">
      <w:lvlJc w:val="left"/>
      <w:lvlText w:val="(%1)"/>
      <w:numFmt w:val="lowerLetter"/>
      <w:start w:val="9"/>
    </w:lvl>
    <w:lvl w:ilvl="1">
      <w:lvlJc w:val="left"/>
      <w:lvlText w:val="%2"/>
      <w:numFmt w:val="lowerLetter"/>
      <w:start w:val="1"/>
    </w:lvl>
  </w:abstractNum>
  <w:abstractNum w:abstractNumId="81">
    <w:nsid w:val="44B3FA61"/>
    <w:multiLevelType w:val="hybridMultilevel"/>
    <w:lvl w:ilvl="0">
      <w:lvlJc w:val="left"/>
      <w:lvlText w:val="%1"/>
      <w:numFmt w:val="upperLetter"/>
      <w:start w:val="1"/>
    </w:lvl>
    <w:lvl w:ilvl="1">
      <w:lvlJc w:val="left"/>
      <w:lvlText w:val="(%2)"/>
      <w:numFmt w:val="lowerRoman"/>
      <w:start w:val="1"/>
    </w:lvl>
  </w:abstractNum>
  <w:abstractNum w:abstractNumId="82">
    <w:nsid w:val="1C0CA67C"/>
    <w:multiLevelType w:val="hybridMultilevel"/>
    <w:lvl w:ilvl="0">
      <w:lvlJc w:val="left"/>
      <w:lvlText w:val="(%1)"/>
      <w:numFmt w:val="upperLetter"/>
      <w:start w:val="10"/>
    </w:lvl>
    <w:lvl w:ilvl="1">
      <w:lvlJc w:val="left"/>
      <w:lvlText w:val="%2"/>
      <w:numFmt w:val="lowerRoman"/>
      <w:start w:val="1"/>
    </w:lvl>
  </w:abstractNum>
  <w:abstractNum w:abstractNumId="83">
    <w:nsid w:val="3D206613"/>
    <w:multiLevelType w:val="hybridMultilevel"/>
    <w:lvl w:ilvl="0">
      <w:lvlJc w:val="left"/>
      <w:lvlText w:val="%1"/>
      <w:numFmt w:val="lowerLetter"/>
      <w:start w:val="1"/>
    </w:lvl>
    <w:lvl w:ilvl="1">
      <w:lvlJc w:val="left"/>
      <w:lvlText w:val="(%2)"/>
      <w:numFmt w:val="lowerLetter"/>
      <w:start w:val="35"/>
    </w:lvl>
  </w:abstractNum>
  <w:abstractNum w:abstractNumId="84">
    <w:nsid w:val="7993B662"/>
    <w:multiLevelType w:val="hybridMultilevel"/>
    <w:lvl w:ilvl="0">
      <w:lvlJc w:val="left"/>
      <w:lvlText w:val="(%1)"/>
      <w:numFmt w:val="lowerLetter"/>
      <w:start w:val="2"/>
    </w:lvl>
    <w:lvl w:ilvl="1">
      <w:lvlJc w:val="left"/>
      <w:lvlText w:val="(%2)"/>
      <w:numFmt w:val="lowerLetter"/>
      <w:start w:val="61"/>
    </w:lvl>
  </w:abstractNum>
  <w:abstractNum w:abstractNumId="85">
    <w:nsid w:val="3BAB699E"/>
    <w:multiLevelType w:val="hybridMultilevel"/>
    <w:lvl w:ilvl="0">
      <w:lvlJc w:val="left"/>
      <w:lvlText w:val="(%1)"/>
      <w:numFmt w:val="lowerRoman"/>
      <w:start w:val="4"/>
    </w:lvl>
  </w:abstractNum>
  <w:abstractNum w:abstractNumId="86">
    <w:nsid w:val="71315369"/>
    <w:multiLevelType w:val="hybridMultilevel"/>
    <w:lvl w:ilvl="0">
      <w:lvlJc w:val="left"/>
      <w:lvlText w:val="(%1)"/>
      <w:numFmt w:val="lowerRoman"/>
      <w:start w:val="6"/>
    </w:lvl>
  </w:abstractNum>
  <w:abstractNum w:abstractNumId="87">
    <w:nsid w:val="7BCFBAFC"/>
    <w:multiLevelType w:val="hybridMultilevel"/>
    <w:lvl w:ilvl="0">
      <w:lvlJc w:val="left"/>
      <w:lvlText w:val="%1"/>
      <w:numFmt w:val="lowerLetter"/>
      <w:start w:val="1"/>
    </w:lvl>
    <w:lvl w:ilvl="1">
      <w:lvlJc w:val="left"/>
      <w:lvlText w:val="(%2)"/>
      <w:numFmt w:val="lowerRoman"/>
      <w:start w:val="7"/>
    </w:lvl>
  </w:abstractNum>
  <w:abstractNum w:abstractNumId="88">
    <w:nsid w:val="17859F72"/>
    <w:multiLevelType w:val="hybridMultilevel"/>
    <w:lvl w:ilvl="0">
      <w:lvlJc w:val="left"/>
      <w:lvlText w:val="(%1)"/>
      <w:numFmt w:val="lowerLetter"/>
      <w:start w:val="11"/>
    </w:lvl>
    <w:lvl w:ilvl="1">
      <w:lvlJc w:val="left"/>
      <w:lvlText w:val="%2"/>
      <w:numFmt w:val="lowerRoman"/>
      <w:start w:val="1"/>
    </w:lvl>
  </w:abstractNum>
  <w:abstractNum w:abstractNumId="89">
    <w:nsid w:val="3AA10581"/>
    <w:multiLevelType w:val="hybridMultilevel"/>
    <w:lvl w:ilvl="0">
      <w:lvlJc w:val="left"/>
      <w:lvlText w:val="(%1)"/>
      <w:numFmt w:val="lowerLetter"/>
      <w:start w:val="14"/>
    </w:lvl>
    <w:lvl w:ilvl="1">
      <w:lvlJc w:val="left"/>
      <w:lvlText w:val="(%2)"/>
      <w:numFmt w:val="lowerRoman"/>
      <w:start w:val="1"/>
    </w:lvl>
  </w:abstractNum>
  <w:abstractNum w:abstractNumId="90">
    <w:nsid w:val="63DE60CD"/>
    <w:multiLevelType w:val="hybridMultilevel"/>
    <w:lvl w:ilvl="0">
      <w:lvlJc w:val="left"/>
      <w:lvlText w:val="(%1)"/>
      <w:numFmt w:val="lowerLetter"/>
      <w:start w:val="2"/>
    </w:lvl>
  </w:abstractNum>
  <w:abstractNum w:abstractNumId="91">
    <w:nsid w:val="621AF471"/>
    <w:multiLevelType w:val="hybridMultilevel"/>
    <w:lvl w:ilvl="0">
      <w:lvlJc w:val="left"/>
      <w:lvlText w:val="(%1)"/>
      <w:numFmt w:val="lowerLetter"/>
      <w:start w:val="1"/>
    </w:lvl>
  </w:abstractNum>
  <w:abstractNum w:abstractNumId="92">
    <w:nsid w:val="73CFE165"/>
    <w:multiLevelType w:val="hybridMultilevel"/>
    <w:lvl w:ilvl="0">
      <w:lvlJc w:val="left"/>
      <w:lvlText w:val="(%1)"/>
      <w:numFmt w:val="lowerLetter"/>
      <w:start w:val="2"/>
    </w:lvl>
  </w:abstractNum>
  <w:abstractNum w:abstractNumId="93">
    <w:nsid w:val="20F88EA6"/>
    <w:multiLevelType w:val="hybridMultilevel"/>
    <w:lvl w:ilvl="0">
      <w:lvlJc w:val="left"/>
      <w:lvlText w:val="(%1)"/>
      <w:numFmt w:val="lowerLetter"/>
      <w:start w:val="5"/>
    </w:lvl>
  </w:abstractNum>
  <w:abstractNum w:abstractNumId="94">
    <w:nsid w:val="617C843E"/>
    <w:multiLevelType w:val="hybridMultilevel"/>
    <w:lvl w:ilvl="0">
      <w:lvlJc w:val="left"/>
      <w:lvlText w:val="(%1)"/>
      <w:numFmt w:val="lowerLetter"/>
      <w:start w:val="6"/>
    </w:lvl>
  </w:abstractNum>
  <w:abstractNum w:abstractNumId="95">
    <w:nsid w:val="7B541FAB"/>
    <w:multiLevelType w:val="hybridMultilevel"/>
    <w:lvl w:ilvl="0">
      <w:lvlJc w:val="left"/>
      <w:lvlText w:val="(%1)"/>
      <w:numFmt w:val="lowerLetter"/>
      <w:start w:val="11"/>
    </w:lvl>
  </w:abstractNum>
  <w:abstractNum w:abstractNumId="96">
    <w:nsid w:val="2A79EC49"/>
    <w:multiLevelType w:val="hybridMultilevel"/>
    <w:lvl w:ilvl="0">
      <w:lvlJc w:val="left"/>
      <w:lvlText w:val="(%1)"/>
      <w:numFmt w:val="lowerLetter"/>
      <w:start w:val="2"/>
    </w:lvl>
  </w:abstractNum>
  <w:abstractNum w:abstractNumId="97">
    <w:nsid w:val="338125CF"/>
    <w:multiLevelType w:val="hybridMultilevel"/>
    <w:lvl w:ilvl="0">
      <w:lvlJc w:val="left"/>
      <w:lvlText w:val="(%1)"/>
      <w:numFmt w:val="lowerLetter"/>
      <w:start w:val="3"/>
    </w:lvl>
  </w:abstractNum>
  <w:abstractNum w:abstractNumId="98">
    <w:nsid w:val="47C7C971"/>
    <w:multiLevelType w:val="hybridMultilevel"/>
    <w:lvl w:ilvl="0">
      <w:lvlJc w:val="left"/>
      <w:lvlText w:val="(%1)"/>
      <w:numFmt w:val="lowerLetter"/>
      <w:start w:val="2"/>
    </w:lvl>
  </w:abstractNum>
  <w:abstractNum w:abstractNumId="99">
    <w:nsid w:val="46F8284B"/>
    <w:multiLevelType w:val="hybridMultilevel"/>
    <w:lvl w:ilvl="0">
      <w:lvlJc w:val="left"/>
      <w:lvlText w:val="(%1)"/>
      <w:numFmt w:val="lowerLetter"/>
      <w:start w:val="3"/>
    </w:lvl>
  </w:abstractNum>
  <w:abstractNum w:abstractNumId="100">
    <w:nsid w:val="4FA327CE"/>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1"/>
    </w:lvl>
    <w:lvl w:ilvl="3">
      <w:lvlJc w:val="left"/>
      <w:lvlText w:val="(%4)"/>
      <w:numFmt w:val="lowerRoman"/>
      <w:start w:val="1"/>
    </w:lvl>
  </w:abstractNum>
  <w:abstractNum w:abstractNumId="101">
    <w:nsid w:val="1873983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Letter"/>
      <w:start w:val="61"/>
    </w:lvl>
  </w:abstractNum>
  <w:abstractNum w:abstractNumId="102">
    <w:nsid w:val="3D2DD27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lvl w:ilvl="3">
      <w:lvlJc w:val="left"/>
      <w:lvlText w:val="%4"/>
      <w:numFmt w:val="lowerLetter"/>
      <w:start w:val="1"/>
    </w:lvl>
  </w:abstractNum>
  <w:abstractNum w:abstractNumId="103">
    <w:nsid w:val="2E17ECA7"/>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lvl w:ilvl="3">
      <w:lvlJc w:val="left"/>
      <w:lvlText w:val="%4"/>
      <w:numFmt w:val="lowerLetter"/>
      <w:start w:val="1"/>
    </w:lvl>
  </w:abstractNum>
  <w:abstractNum w:abstractNumId="104">
    <w:nsid w:val="53B2564F"/>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lvl w:ilvl="3">
      <w:lvlJc w:val="left"/>
      <w:lvlText w:val="%4"/>
      <w:numFmt w:val="lowerLetter"/>
      <w:start w:val="1"/>
    </w:lvl>
  </w:abstractNum>
  <w:abstractNum w:abstractNumId="105">
    <w:nsid w:val="75509D76"/>
    <w:multiLevelType w:val="hybridMultilevel"/>
    <w:lvl w:ilvl="0">
      <w:lvlJc w:val="left"/>
      <w:lvlText w:val="%1"/>
      <w:numFmt w:val="lowerLetter"/>
      <w:start w:val="1"/>
    </w:lvl>
    <w:lvl w:ilvl="1">
      <w:lvlJc w:val="left"/>
      <w:lvlText w:val="(%2)"/>
      <w:numFmt w:val="lowerRoman"/>
      <w:start w:val="4"/>
    </w:lvl>
  </w:abstractNum>
  <w:abstractNum w:abstractNumId="106">
    <w:nsid w:val="1AF7F0EA"/>
    <w:multiLevelType w:val="hybridMultilevel"/>
    <w:lvl w:ilvl="0">
      <w:lvlJc w:val="left"/>
      <w:lvlText w:val="(%1)"/>
      <w:numFmt w:val="lowerLetter"/>
      <w:start w:val="5"/>
    </w:lvl>
    <w:lvl w:ilvl="1">
      <w:lvlJc w:val="left"/>
      <w:lvlText w:val="%2"/>
      <w:numFmt w:val="lowerRoman"/>
      <w:start w:val="1"/>
    </w:lvl>
  </w:abstractNum>
  <w:abstractNum w:abstractNumId="107">
    <w:nsid w:val="4DA32C7E"/>
    <w:multiLevelType w:val="hybridMultilevel"/>
    <w:lvl w:ilvl="0">
      <w:lvlJc w:val="left"/>
      <w:lvlText w:val="&amp;"/>
      <w:numFmt w:val="bullet"/>
      <w:start w:val="1"/>
    </w:lvl>
    <w:lvl w:ilvl="1">
      <w:lvlJc w:val="left"/>
      <w:lvlText w:val="(%2)"/>
      <w:numFmt w:val="lowerLetter"/>
      <w:start w:val="6"/>
    </w:lvl>
  </w:abstractNum>
  <w:abstractNum w:abstractNumId="108">
    <w:nsid w:val="6EC68664"/>
    <w:multiLevelType w:val="hybridMultilevel"/>
    <w:lvl w:ilvl="0">
      <w:lvlJc w:val="left"/>
      <w:lvlText w:val="(%1)"/>
      <w:numFmt w:val="lowerRoman"/>
      <w:start w:val="1"/>
    </w:lvl>
  </w:abstractNum>
  <w:abstractNum w:abstractNumId="109">
    <w:nsid w:val="E0D31FF"/>
    <w:multiLevelType w:val="hybridMultilevel"/>
    <w:lvl w:ilvl="0">
      <w:lvlJc w:val="left"/>
      <w:lvlText w:val="%1"/>
      <w:numFmt w:val="lowerLetter"/>
      <w:start w:val="1"/>
    </w:lvl>
    <w:lvl w:ilvl="1">
      <w:lvlJc w:val="left"/>
      <w:lvlText w:val="(%2)"/>
      <w:numFmt w:val="lowerRoman"/>
      <w:start w:val="6"/>
    </w:lvl>
  </w:abstractNum>
  <w:abstractNum w:abstractNumId="110">
    <w:nsid w:val="2FD0AD81"/>
    <w:multiLevelType w:val="hybridMultilevel"/>
    <w:lvl w:ilvl="0">
      <w:lvlJc w:val="left"/>
      <w:lvlText w:val="(%1)"/>
      <w:numFmt w:val="lowerLetter"/>
      <w:start w:val="2"/>
    </w:lvl>
    <w:lvl w:ilvl="1">
      <w:lvlJc w:val="left"/>
      <w:lvlText w:val="%2"/>
      <w:numFmt w:val="lowerRoman"/>
      <w:start w:val="1"/>
    </w:lvl>
  </w:abstractNum>
  <w:abstractNum w:abstractNumId="111">
    <w:nsid w:val="1978EBEB"/>
    <w:multiLevelType w:val="hybridMultilevel"/>
    <w:lvl w:ilvl="0">
      <w:lvlJc w:val="left"/>
      <w:lvlText w:val="(%1)"/>
      <w:numFmt w:val="lowerLetter"/>
      <w:start w:val="1"/>
    </w:lvl>
  </w:abstractNum>
  <w:abstractNum w:abstractNumId="112">
    <w:nsid w:val="52C12C61"/>
    <w:multiLevelType w:val="hybridMultilevel"/>
    <w:lvl w:ilvl="0">
      <w:lvlJc w:val="left"/>
      <w:lvlText w:val="%1"/>
      <w:numFmt w:val="lowerLetter"/>
      <w:start w:val="1"/>
    </w:lvl>
    <w:lvl w:ilvl="1">
      <w:lvlJc w:val="left"/>
      <w:lvlText w:val="(%2)"/>
      <w:numFmt w:val="lowerRoman"/>
      <w:start w:val="1"/>
    </w:lvl>
  </w:abstractNum>
  <w:abstractNum w:abstractNumId="113">
    <w:nsid w:val="4BDD53FD"/>
    <w:multiLevelType w:val="hybridMultilevel"/>
    <w:lvl w:ilvl="0">
      <w:lvlJc w:val="left"/>
      <w:lvlText w:val="(%1)"/>
      <w:numFmt w:val="lowerLetter"/>
      <w:start w:val="7"/>
    </w:lvl>
    <w:lvl w:ilvl="1">
      <w:lvlJc w:val="left"/>
      <w:lvlText w:val="(%2)"/>
      <w:numFmt w:val="lowerRoman"/>
      <w:start w:val="1"/>
    </w:lvl>
  </w:abstractNum>
  <w:abstractNum w:abstractNumId="114">
    <w:nsid w:val="569951FE"/>
    <w:multiLevelType w:val="hybridMultilevel"/>
    <w:lvl w:ilvl="0">
      <w:lvlJc w:val="left"/>
      <w:lvlText w:val="(%1)"/>
      <w:numFmt w:val="upperLetter"/>
      <w:start w:val="9"/>
    </w:lvl>
  </w:abstractNum>
  <w:abstractNum w:abstractNumId="115">
    <w:nsid w:val="4C54E2C3"/>
    <w:multiLevelType w:val="hybridMultilevel"/>
    <w:lvl w:ilvl="0">
      <w:lvlJc w:val="left"/>
      <w:lvlText w:val="(%1)"/>
      <w:numFmt w:val="upperLetter"/>
      <w:start w:val="35"/>
    </w:lvl>
  </w:abstractNum>
  <w:abstractNum w:abstractNumId="116">
    <w:nsid w:val="788BD9B"/>
    <w:multiLevelType w:val="hybridMultilevel"/>
    <w:lvl w:ilvl="0">
      <w:lvlJc w:val="left"/>
      <w:lvlText w:val="(%1)"/>
      <w:numFmt w:val="upperLetter"/>
      <w:start w:val="61"/>
    </w:lvl>
  </w:abstractNum>
  <w:abstractNum w:abstractNumId="117">
    <w:nsid w:val="47CAA567"/>
    <w:multiLevelType w:val="hybridMultilevel"/>
    <w:lvl w:ilvl="0">
      <w:lvlJc w:val="left"/>
      <w:lvlText w:val="(%1)"/>
      <w:numFmt w:val="upperLetter"/>
      <w:start w:val="22"/>
    </w:lvl>
  </w:abstractNum>
  <w:abstractNum w:abstractNumId="118">
    <w:nsid w:val="48249DBF"/>
    <w:multiLevelType w:val="hybridMultilevel"/>
    <w:lvl w:ilvl="0">
      <w:lvlJc w:val="left"/>
      <w:lvlText w:val="%1"/>
      <w:numFmt w:val="lowerLetter"/>
      <w:start w:val="1"/>
    </w:lvl>
    <w:lvl w:ilvl="1">
      <w:lvlJc w:val="left"/>
      <w:lvlText w:val="(%2)"/>
      <w:numFmt w:val="lowerLetter"/>
      <w:start w:val="35"/>
    </w:lvl>
  </w:abstractNum>
  <w:abstractNum w:abstractNumId="119">
    <w:nsid w:val="1F0E5D0D"/>
    <w:multiLevelType w:val="hybridMultilevel"/>
    <w:lvl w:ilvl="0">
      <w:lvlJc w:val="left"/>
      <w:lvlText w:val="(%1)"/>
      <w:numFmt w:val="lowerLetter"/>
      <w:start w:val="9"/>
    </w:lvl>
    <w:lvl w:ilvl="1">
      <w:lvlJc w:val="left"/>
      <w:lvlText w:val="%2"/>
      <w:numFmt w:val="lowerLetter"/>
      <w:start w:val="1"/>
    </w:lvl>
  </w:abstractNum>
  <w:abstractNum w:abstractNumId="120">
    <w:nsid w:val="26BAAE9"/>
    <w:multiLevelType w:val="hybridMultilevel"/>
    <w:lvl w:ilvl="0">
      <w:lvlJc w:val="left"/>
      <w:lvlText w:val="(%1)"/>
      <w:numFmt w:val="lowerLetter"/>
      <w:start w:val="13"/>
    </w:lvl>
  </w:abstractNum>
  <w:abstractNum w:abstractNumId="121">
    <w:nsid w:val="2C02FE8C"/>
    <w:multiLevelType w:val="hybridMultilevel"/>
    <w:lvl w:ilvl="0">
      <w:lvlJc w:val="left"/>
      <w:lvlText w:val="%1"/>
      <w:numFmt w:val="lowerLetter"/>
      <w:start w:val="1"/>
    </w:lvl>
    <w:lvl w:ilvl="1">
      <w:lvlJc w:val="left"/>
      <w:lvlText w:val="(%2)"/>
      <w:numFmt w:val="lowerLetter"/>
      <w:start w:val="1"/>
    </w:lvl>
  </w:abstractNum>
  <w:abstractNum w:abstractNumId="122">
    <w:nsid w:val="129517E"/>
    <w:multiLevelType w:val="hybridMultilevel"/>
    <w:lvl w:ilvl="0">
      <w:lvlJc w:val="left"/>
      <w:lvlText w:val="(%1)"/>
      <w:numFmt w:val="lowerLetter"/>
      <w:start w:val="3"/>
    </w:lvl>
    <w:lvl w:ilvl="1">
      <w:lvlJc w:val="left"/>
      <w:lvlText w:val="(%2)"/>
      <w:numFmt w:val="lowerLetter"/>
      <w:start w:val="2"/>
    </w:lvl>
  </w:abstractNum>
  <w:abstractNum w:abstractNumId="123">
    <w:nsid w:val="763B8C4E"/>
    <w:multiLevelType w:val="hybridMultilevel"/>
    <w:lvl w:ilvl="0">
      <w:lvlJc w:val="left"/>
      <w:lvlText w:val="(%1)"/>
      <w:numFmt w:val="lowerLetter"/>
      <w:start w:val="6"/>
    </w:lvl>
  </w:abstractNum>
  <w:abstractNum w:abstractNumId="124">
    <w:nsid w:val="4CFB8D32"/>
    <w:multiLevelType w:val="hybridMultilevel"/>
    <w:lvl w:ilvl="0">
      <w:lvlJc w:val="left"/>
      <w:lvlText w:val="(%1)"/>
      <w:numFmt w:val="lowerLetter"/>
      <w:start w:val="2"/>
    </w:lvl>
  </w:abstractNum>
  <w:abstractNum w:abstractNumId="125">
    <w:nsid w:val="62A5D5BD"/>
    <w:multiLevelType w:val="hybridMultilevel"/>
    <w:lvl w:ilvl="0">
      <w:lvlJc w:val="left"/>
      <w:lvlText w:val="(%1)"/>
      <w:numFmt w:val="lowerLetter"/>
      <w:start w:val="1"/>
    </w:lvl>
    <w:lvl w:ilvl="1">
      <w:lvlJc w:val="left"/>
      <w:lvlText w:val="(%2)"/>
      <w:numFmt w:val="upperLetter"/>
      <w:start w:val="1"/>
    </w:lvl>
  </w:abstractNum>
  <w:abstractNum w:abstractNumId="126">
    <w:nsid w:val="718FABF9"/>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27">
    <w:nsid w:val="7775797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8">
    <w:nsid w:val="1626FB8C"/>
    <w:multiLevelType w:val="hybridMultilevel"/>
    <w:lvl w:ilvl="0">
      <w:lvlJc w:val="left"/>
      <w:lvlText w:val="(%1)"/>
      <w:numFmt w:val="lowerLetter"/>
      <w:start w:val="1"/>
    </w:lvl>
  </w:abstractNum>
  <w:abstractNum w:abstractNumId="129">
    <w:nsid w:val="3957756A"/>
    <w:multiLevelType w:val="hybridMultilevel"/>
    <w:lvl w:ilvl="0">
      <w:lvlJc w:val="left"/>
      <w:lvlText w:val="(%1)"/>
      <w:numFmt w:val="lowerLetter"/>
      <w:start w:val="2"/>
    </w:lvl>
  </w:abstractNum>
  <w:abstractNum w:abstractNumId="130">
    <w:nsid w:val="3E6DA1C7"/>
    <w:multiLevelType w:val="hybridMultilevel"/>
    <w:lvl w:ilvl="0">
      <w:lvlJc w:val="left"/>
      <w:lvlText w:val="(%1)"/>
      <w:numFmt w:val="lowerLetter"/>
      <w:start w:val="6"/>
    </w:lvl>
  </w:abstractNum>
  <w:abstractNum w:abstractNumId="131">
    <w:nsid w:val="65CA235B"/>
    <w:multiLevelType w:val="hybridMultilevel"/>
    <w:lvl w:ilvl="0">
      <w:lvlJc w:val="left"/>
      <w:lvlText w:val="(%1)"/>
      <w:numFmt w:val="lowerLetter"/>
      <w:start w:val="2"/>
    </w:lvl>
    <w:lvl w:ilvl="1">
      <w:lvlJc w:val="left"/>
      <w:lvlText w:val="(%2)"/>
      <w:numFmt w:val="lowerLetter"/>
      <w:start w:val="9"/>
    </w:lvl>
  </w:abstractNum>
  <w:abstractNum w:abstractNumId="132">
    <w:nsid w:val="51CB0DA4"/>
    <w:multiLevelType w:val="hybridMultilevel"/>
    <w:lvl w:ilvl="0">
      <w:lvlJc w:val="left"/>
      <w:lvlText w:val="%1"/>
      <w:numFmt w:val="lowerRoman"/>
      <w:start w:val="1"/>
    </w:lvl>
    <w:lvl w:ilvl="1">
      <w:lvlJc w:val="left"/>
      <w:lvlText w:val="(%2)"/>
      <w:numFmt w:val="upperLetter"/>
      <w:start w:val="1"/>
    </w:lvl>
  </w:abstractNum>
  <w:abstractNum w:abstractNumId="133">
    <w:nsid w:val="7B9B743C"/>
    <w:multiLevelType w:val="hybridMultilevel"/>
    <w:lvl w:ilvl="0">
      <w:lvlJc w:val="left"/>
      <w:lvlText w:val="(%1)"/>
      <w:numFmt w:val="lowerRoman"/>
      <w:start w:val="2"/>
    </w:lvl>
    <w:lvl w:ilvl="1">
      <w:lvlJc w:val="left"/>
      <w:lvlText w:val="(%2)"/>
      <w:numFmt w:val="upperLetter"/>
      <w:start w:val="1"/>
    </w:lvl>
  </w:abstractNum>
  <w:abstractNum w:abstractNumId="134">
    <w:nsid w:val="13E21002"/>
    <w:multiLevelType w:val="hybridMultilevel"/>
    <w:lvl w:ilvl="0">
      <w:lvlJc w:val="left"/>
      <w:lvlText w:val="(%1)"/>
      <w:numFmt w:val="upperLetter"/>
      <w:start w:val="9"/>
    </w:lvl>
  </w:abstractNum>
  <w:abstractNum w:abstractNumId="135">
    <w:nsid w:val="257D63F4"/>
    <w:multiLevelType w:val="hybridMultilevel"/>
    <w:lvl w:ilvl="0">
      <w:lvlJc w:val="left"/>
      <w:lvlText w:val="%1"/>
      <w:numFmt w:val="upperLetter"/>
      <w:start w:val="1"/>
    </w:lvl>
    <w:lvl w:ilvl="1">
      <w:lvlJc w:val="left"/>
      <w:lvlText w:val="(%2)"/>
      <w:numFmt w:val="upperLetter"/>
      <w:start w:val="35"/>
    </w:lvl>
  </w:abstractNum>
  <w:abstractNum w:abstractNumId="136">
    <w:nsid w:val="70EC11B2"/>
    <w:multiLevelType w:val="hybridMultilevel"/>
    <w:lvl w:ilvl="0">
      <w:lvlJc w:val="left"/>
      <w:lvlText w:val="(%1)"/>
      <w:numFmt w:val="upperLetter"/>
      <w:start w:val="2"/>
    </w:lvl>
    <w:lvl w:ilvl="1">
      <w:lvlJc w:val="left"/>
      <w:lvlText w:val="%2"/>
      <w:numFmt w:val="upperLetter"/>
      <w:start w:val="1"/>
    </w:lvl>
  </w:abstractNum>
  <w:abstractNum w:abstractNumId="137">
    <w:nsid w:val="2EDA00ED"/>
    <w:multiLevelType w:val="hybridMultilevel"/>
    <w:lvl w:ilvl="0">
      <w:lvlJc w:val="left"/>
      <w:lvlText w:val="(%1)"/>
      <w:numFmt w:val="lowerLetter"/>
      <w:start w:val="3"/>
    </w:lvl>
  </w:abstractNum>
  <w:abstractNum w:abstractNumId="138">
    <w:nsid w:val="73209072"/>
    <w:multiLevelType w:val="hybridMultilevel"/>
    <w:lvl w:ilvl="0">
      <w:lvlJc w:val="left"/>
      <w:lvlText w:val="(%1)"/>
      <w:numFmt w:val="lowerLetter"/>
      <w:start w:val="1"/>
    </w:lvl>
  </w:abstractNum>
  <w:abstractNum w:abstractNumId="139">
    <w:nsid w:val="5FB29816"/>
    <w:multiLevelType w:val="hybridMultilevel"/>
    <w:lvl w:ilvl="0">
      <w:lvlJc w:val="left"/>
      <w:lvlText w:val="(%1)"/>
      <w:numFmt w:val="lowerLetter"/>
      <w:start w:val="2"/>
    </w:lvl>
  </w:abstractNum>
  <w:abstractNum w:abstractNumId="140">
    <w:nsid w:val="3CE732EC"/>
    <w:multiLevelType w:val="hybridMultilevel"/>
    <w:lvl w:ilvl="0">
      <w:lvlJc w:val="left"/>
      <w:lvlText w:val="(%1)"/>
      <w:numFmt w:val="lowerRoman"/>
      <w:start w:val="1"/>
    </w:lvl>
  </w:abstractNum>
  <w:abstractNum w:abstractNumId="141">
    <w:nsid w:val="22F13DF3"/>
    <w:multiLevelType w:val="hybridMultilevel"/>
    <w:lvl w:ilvl="0">
      <w:lvlJc w:val="left"/>
      <w:lvlText w:val="(%1)"/>
      <w:numFmt w:val="lowerRoman"/>
      <w:start w:val="2"/>
    </w:lvl>
  </w:abstractNum>
  <w:abstractNum w:abstractNumId="142">
    <w:nsid w:val="792B8401"/>
    <w:multiLevelType w:val="hybridMultilevel"/>
    <w:lvl w:ilvl="0">
      <w:lvlJc w:val="left"/>
      <w:lvlText w:val="(%1)"/>
      <w:numFmt w:val="lowerLetter"/>
      <w:start w:val="2"/>
    </w:lvl>
  </w:abstractNum>
  <w:abstractNum w:abstractNumId="143">
    <w:nsid w:val="FA85F4D"/>
    <w:multiLevelType w:val="hybridMultilevel"/>
    <w:lvl w:ilvl="0">
      <w:lvlJc w:val="left"/>
      <w:lvlText w:val="(%1)"/>
      <w:numFmt w:val="lowerLetter"/>
      <w:start w:val="4"/>
    </w:lvl>
  </w:abstractNum>
  <w:abstractNum w:abstractNumId="144">
    <w:nsid w:val="6ECE91F0"/>
    <w:multiLevelType w:val="hybridMultilevel"/>
    <w:lvl w:ilvl="0">
      <w:lvlJc w:val="left"/>
      <w:lvlText w:val="(%1)"/>
      <w:numFmt w:val="lowerRoman"/>
      <w:start w:val="1"/>
    </w:lvl>
  </w:abstractNum>
  <w:abstractNum w:abstractNumId="145">
    <w:nsid w:val="4FC4D600"/>
    <w:multiLevelType w:val="hybridMultilevel"/>
    <w:lvl w:ilvl="0">
      <w:lvlJc w:val="left"/>
      <w:lvlText w:val="(%1)"/>
      <w:numFmt w:val="lowerLetter"/>
      <w:start w:val="2"/>
    </w:lvl>
  </w:abstractNum>
  <w:abstractNum w:abstractNumId="146">
    <w:nsid w:val="5BFD4210"/>
    <w:multiLevelType w:val="hybridMultilevel"/>
    <w:lvl w:ilvl="0">
      <w:lvlJc w:val="left"/>
      <w:lvlText w:val="(%1)"/>
      <w:numFmt w:val="lowerLetter"/>
      <w:start w:val="1"/>
    </w:lvl>
  </w:abstractNum>
  <w:abstractNum w:abstractNumId="147">
    <w:nsid w:val="76574F8B"/>
    <w:multiLevelType w:val="hybridMultilevel"/>
    <w:lvl w:ilvl="0">
      <w:lvlJc w:val="left"/>
      <w:lvlText w:val="(%1)"/>
      <w:numFmt w:val="lowerLetter"/>
      <w:start w:val="1"/>
    </w:lvl>
  </w:abstractNum>
  <w:abstractNum w:abstractNumId="148">
    <w:nsid w:val="178F7B67"/>
    <w:multiLevelType w:val="hybridMultilevel"/>
    <w:lvl w:ilvl="0">
      <w:lvlJc w:val="left"/>
      <w:lvlText w:val="(%1)"/>
      <w:numFmt w:val="lowerLetter"/>
      <w:start w:val="1"/>
    </w:lvl>
  </w:abstractNum>
  <w:abstractNum w:abstractNumId="149">
    <w:nsid w:val="2421DFCF"/>
    <w:multiLevelType w:val="hybridMultilevel"/>
    <w:lvl w:ilvl="0">
      <w:lvlJc w:val="left"/>
      <w:lvlText w:val="(%1)"/>
      <w:numFmt w:val="lowerLetter"/>
      <w:start w:val="2"/>
    </w:lvl>
  </w:abstractNum>
  <w:abstractNum w:abstractNumId="150">
    <w:nsid w:val="1565AC99"/>
    <w:multiLevelType w:val="hybridMultilevel"/>
    <w:lvl w:ilvl="0">
      <w:lvlJc w:val="left"/>
      <w:lvlText w:val="(%1)"/>
      <w:numFmt w:val="lowerLetter"/>
      <w:start w:val="3"/>
    </w:lvl>
  </w:abstractNum>
  <w:abstractNum w:abstractNumId="151">
    <w:nsid w:val="19FB2650"/>
    <w:multiLevelType w:val="hybridMultilevel"/>
    <w:lvl w:ilvl="0">
      <w:lvlJc w:val="left"/>
      <w:lvlText w:val="(%1)"/>
      <w:numFmt w:val="lowerRoman"/>
      <w:start w:val="1"/>
    </w:lvl>
  </w:abstractNum>
  <w:abstractNum w:abstractNumId="152">
    <w:nsid w:val="5024DE5B"/>
    <w:multiLevelType w:val="hybridMultilevel"/>
    <w:lvl w:ilvl="0">
      <w:lvlJc w:val="left"/>
      <w:lvlText w:val="(%1)"/>
      <w:numFmt w:val="lowerLetter"/>
      <w:start w:val="2"/>
    </w:lvl>
    <w:lvl w:ilvl="1">
      <w:lvlJc w:val="left"/>
      <w:lvlText w:val="(%2)"/>
      <w:numFmt w:val="lowerRoman"/>
      <w:start w:val="1"/>
    </w:lvl>
  </w:abstractNum>
  <w:abstractNum w:abstractNumId="153">
    <w:nsid w:val="168EFE17"/>
    <w:multiLevelType w:val="hybridMultilevel"/>
    <w:lvl w:ilvl="0">
      <w:lvlJc w:val="left"/>
      <w:lvlText w:val="(%1)"/>
      <w:numFmt w:val="lowerLetter"/>
      <w:start w:val="4"/>
    </w:lvl>
  </w:abstractNum>
  <w:abstractNum w:abstractNumId="154">
    <w:nsid w:val="1036B29F"/>
    <w:multiLevelType w:val="hybridMultilevel"/>
    <w:lvl w:ilvl="0">
      <w:lvlJc w:val="left"/>
      <w:lvlText w:val="(%1)"/>
      <w:numFmt w:val="lowerLetter"/>
      <w:start w:val="10"/>
    </w:lvl>
  </w:abstractNum>
  <w:abstractNum w:abstractNumId="155">
    <w:nsid w:val="1D206B8E"/>
    <w:multiLevelType w:val="hybridMultilevel"/>
    <w:lvl w:ilvl="0">
      <w:lvlJc w:val="left"/>
      <w:lvlText w:val="(%1)"/>
      <w:numFmt w:val="lowerLetter"/>
      <w:start w:val="1"/>
    </w:lvl>
  </w:abstractNum>
  <w:abstractNum w:abstractNumId="156">
    <w:nsid w:val="7934D3D4"/>
    <w:multiLevelType w:val="hybridMultilevel"/>
    <w:lvl w:ilvl="0">
      <w:lvlJc w:val="left"/>
      <w:lvlText w:val="(%1)"/>
      <w:numFmt w:val="lowerLetter"/>
      <w:start w:val="2"/>
    </w:lvl>
  </w:abstractNum>
  <w:abstractNum w:abstractNumId="157">
    <w:nsid w:val="1C65E98"/>
    <w:multiLevelType w:val="hybridMultilevel"/>
    <w:lvl w:ilvl="0">
      <w:lvlJc w:val="left"/>
      <w:lvlText w:val="(%1)"/>
      <w:numFmt w:val="lowerLetter"/>
      <w:start w:val="8"/>
    </w:lvl>
  </w:abstractNum>
  <w:abstractNum w:abstractNumId="158">
    <w:nsid w:val="1495E50A"/>
    <w:multiLevelType w:val="hybridMultilevel"/>
    <w:lvl w:ilvl="0">
      <w:lvlJc w:val="left"/>
      <w:lvlText w:val="(%1)"/>
      <w:numFmt w:val="lowerLetter"/>
      <w:start w:val="13"/>
    </w:lvl>
  </w:abstractNum>
  <w:abstractNum w:abstractNumId="159">
    <w:nsid w:val="F5BCF61"/>
    <w:multiLevelType w:val="hybridMultilevel"/>
    <w:lvl w:ilvl="0">
      <w:lvlJc w:val="left"/>
      <w:lvlText w:val="(%1)"/>
      <w:numFmt w:val="lowerLetter"/>
      <w:start w:val="20"/>
    </w:lvl>
  </w:abstractNum>
  <w:abstractNum w:abstractNumId="160">
    <w:nsid w:val="3B1DD403"/>
    <w:multiLevelType w:val="hybridMultilevel"/>
    <w:lvl w:ilvl="0">
      <w:lvlJc w:val="left"/>
      <w:lvlText w:val="%1"/>
      <w:numFmt w:val="lowerLetter"/>
      <w:start w:val="1"/>
    </w:lvl>
    <w:lvl w:ilvl="1">
      <w:lvlJc w:val="left"/>
      <w:lvlText w:val="(%2)"/>
      <w:numFmt w:val="lowerLetter"/>
      <w:start w:val="26"/>
    </w:lvl>
  </w:abstractNum>
  <w:abstractNum w:abstractNumId="161">
    <w:nsid w:val="530386D1"/>
    <w:multiLevelType w:val="hybridMultilevel"/>
    <w:lvl w:ilvl="0">
      <w:lvlJc w:val="left"/>
      <w:lvlText w:val="(%1)"/>
      <w:numFmt w:val="lowerLetter"/>
      <w:start w:val="35"/>
    </w:lvl>
    <w:lvl w:ilvl="1">
      <w:lvlJc w:val="left"/>
      <w:lvlText w:val="(%2)"/>
      <w:numFmt w:val="lowerLetter"/>
      <w:start w:val="27"/>
    </w:lvl>
  </w:abstractNum>
  <w:abstractNum w:abstractNumId="162">
    <w:nsid w:val="7525F2BC"/>
    <w:multiLevelType w:val="hybridMultilevel"/>
    <w:lvl w:ilvl="0">
      <w:lvlJc w:val="left"/>
      <w:lvlText w:val="(%1)"/>
      <w:numFmt w:val="lowerRoman"/>
      <w:start w:val="1"/>
    </w:lvl>
  </w:abstractNum>
  <w:abstractNum w:abstractNumId="163">
    <w:nsid w:val="CE8E1A7"/>
    <w:multiLevelType w:val="hybridMultilevel"/>
    <w:lvl w:ilvl="0">
      <w:lvlJc w:val="left"/>
      <w:lvlText w:val="%1"/>
      <w:numFmt w:val="lowerLetter"/>
      <w:start w:val="1"/>
    </w:lvl>
    <w:lvl w:ilvl="1">
      <w:lvlJc w:val="left"/>
      <w:lvlText w:val="(%2)"/>
      <w:numFmt w:val="lowerRoman"/>
      <w:start w:val="4"/>
    </w:lvl>
  </w:abstractNum>
  <w:abstractNum w:abstractNumId="164">
    <w:nsid w:val="4E9EFB0D"/>
    <w:multiLevelType w:val="hybridMultilevel"/>
    <w:lvl w:ilvl="0">
      <w:lvlJc w:val="left"/>
      <w:lvlText w:val="(%1)"/>
      <w:numFmt w:val="lowerLetter"/>
      <w:start w:val="2"/>
    </w:lvl>
    <w:lvl w:ilvl="1">
      <w:lvlJc w:val="left"/>
      <w:lvlText w:val="%2"/>
      <w:numFmt w:val="lowerRoman"/>
      <w:start w:val="1"/>
    </w:lvl>
  </w:abstractNum>
  <w:abstractNum w:abstractNumId="165">
    <w:nsid w:val="90802BE"/>
    <w:multiLevelType w:val="hybridMultilevel"/>
    <w:lvl w:ilvl="0">
      <w:lvlJc w:val="left"/>
      <w:lvlText w:val="(%1)"/>
      <w:numFmt w:val="lowerLetter"/>
      <w:start w:val="2"/>
    </w:lvl>
    <w:lvl w:ilvl="1">
      <w:lvlJc w:val="left"/>
      <w:lvlText w:val="(%2)"/>
      <w:numFmt w:val="lowerRoman"/>
      <w:start w:val="1"/>
    </w:lvl>
  </w:abstractNum>
  <w:abstractNum w:abstractNumId="166">
    <w:nsid w:val="3266459B"/>
    <w:multiLevelType w:val="hybridMultilevel"/>
    <w:lvl w:ilvl="0">
      <w:lvlJc w:val="left"/>
      <w:lvlText w:val="(%1)"/>
      <w:numFmt w:val="lowerLetter"/>
      <w:start w:val="5"/>
    </w:lvl>
  </w:abstractNum>
  <w:abstractNum w:abstractNumId="167">
    <w:nsid w:val="3F8B0CBF"/>
    <w:multiLevelType w:val="hybridMultilevel"/>
    <w:lvl w:ilvl="0">
      <w:lvlJc w:val="left"/>
      <w:lvlText w:val="(%1)"/>
      <w:numFmt w:val="lowerLetter"/>
      <w:start w:val="1"/>
    </w:lvl>
  </w:abstractNum>
  <w:abstractNum w:abstractNumId="168">
    <w:nsid w:val="37E203AB"/>
    <w:multiLevelType w:val="hybridMultilevel"/>
    <w:lvl w:ilvl="0">
      <w:lvlJc w:val="left"/>
      <w:lvlText w:val="(%1)"/>
      <w:numFmt w:val="lowerLetter"/>
      <w:start w:val="1"/>
    </w:lvl>
  </w:abstractNum>
  <w:abstractNum w:abstractNumId="169">
    <w:nsid w:val="2586D60E"/>
    <w:multiLevelType w:val="hybridMultilevel"/>
    <w:lvl w:ilvl="0">
      <w:lvlJc w:val="left"/>
      <w:lvlText w:val="(%1)"/>
      <w:numFmt w:val="lowerLetter"/>
      <w:start w:val="1"/>
    </w:lvl>
  </w:abstractNum>
  <w:abstractNum w:abstractNumId="170">
    <w:nsid w:val="1F3DA4D5"/>
    <w:multiLevelType w:val="hybridMultilevel"/>
    <w:lvl w:ilvl="0">
      <w:lvlJc w:val="left"/>
      <w:lvlText w:val="(%1)"/>
      <w:numFmt w:val="lowerLetter"/>
      <w:start w:val="5"/>
    </w:lvl>
  </w:abstractNum>
  <w:abstractNum w:abstractNumId="171">
    <w:nsid w:val="74C93698"/>
    <w:multiLevelType w:val="hybridMultilevel"/>
    <w:lvl w:ilvl="0">
      <w:lvlJc w:val="left"/>
      <w:lvlText w:val="(%1)"/>
      <w:numFmt w:val="lowerLetter"/>
      <w:start w:val="2"/>
    </w:lvl>
  </w:abstractNum>
  <w:abstractNum w:abstractNumId="172">
    <w:nsid w:val="48781401"/>
    <w:multiLevelType w:val="hybridMultilevel"/>
    <w:lvl w:ilvl="0">
      <w:lvlJc w:val="left"/>
      <w:lvlText w:val="(%1)"/>
      <w:numFmt w:val="lowerRoman"/>
      <w:start w:val="1"/>
    </w:lvl>
  </w:abstractNum>
  <w:abstractNum w:abstractNumId="173">
    <w:nsid w:val="186928D6"/>
    <w:multiLevelType w:val="hybridMultilevel"/>
    <w:lvl w:ilvl="0">
      <w:lvlJc w:val="left"/>
      <w:lvlText w:val="(%1)"/>
      <w:numFmt w:val="lowerLetter"/>
      <w:start w:val="2"/>
    </w:lvl>
  </w:abstractNum>
  <w:abstractNum w:abstractNumId="174">
    <w:nsid w:val="47195E5"/>
    <w:multiLevelType w:val="hybridMultilevel"/>
    <w:lvl w:ilvl="0">
      <w:lvlJc w:val="left"/>
      <w:lvlText w:val="(%1)"/>
      <w:numFmt w:val="lowerLetter"/>
      <w:start w:val="2"/>
    </w:lvl>
  </w:abstractNum>
  <w:abstractNum w:abstractNumId="175">
    <w:nsid w:val="3746A5F2"/>
    <w:multiLevelType w:val="hybridMultilevel"/>
    <w:lvl w:ilvl="0">
      <w:lvlJc w:val="left"/>
      <w:lvlText w:val="(%1)"/>
      <w:numFmt w:val="lowerRoman"/>
      <w:start w:val="1"/>
    </w:lvl>
  </w:abstractNum>
  <w:abstractNum w:abstractNumId="176">
    <w:nsid w:val="682DFED6"/>
    <w:multiLevelType w:val="hybridMultilevel"/>
    <w:lvl w:ilvl="0">
      <w:lvlJc w:val="left"/>
      <w:lvlText w:val="%1"/>
      <w:numFmt w:val="lowerLetter"/>
      <w:start w:val="1"/>
    </w:lvl>
    <w:lvl w:ilvl="1">
      <w:lvlJc w:val="left"/>
      <w:lvlText w:val="(%2)"/>
      <w:numFmt w:val="lowerRoman"/>
      <w:start w:val="12"/>
    </w:lvl>
  </w:abstractNum>
  <w:abstractNum w:abstractNumId="177">
    <w:nsid w:val="606ED7F6"/>
    <w:multiLevelType w:val="hybridMultilevel"/>
    <w:lvl w:ilvl="0">
      <w:lvlJc w:val="left"/>
      <w:lvlText w:val="(%1)"/>
      <w:numFmt w:val="lowerLetter"/>
      <w:start w:val="2"/>
    </w:lvl>
    <w:lvl w:ilvl="1">
      <w:lvlJc w:val="left"/>
      <w:lvlText w:val="%2"/>
      <w:numFmt w:val="lowerRoman"/>
      <w:start w:val="1"/>
    </w:lvl>
  </w:abstractNum>
  <w:abstractNum w:abstractNumId="178">
    <w:nsid w:val="2D9DF57D"/>
    <w:multiLevelType w:val="hybridMultilevel"/>
    <w:lvl w:ilvl="0">
      <w:lvlJc w:val="left"/>
      <w:lvlText w:val="%1"/>
      <w:numFmt w:val="lowerLetter"/>
      <w:start w:val="1"/>
    </w:lvl>
    <w:lvl w:ilvl="1">
      <w:lvlJc w:val="left"/>
      <w:lvlText w:val="(%2)"/>
      <w:numFmt w:val="lowerLetter"/>
      <w:start w:val="1"/>
    </w:lvl>
  </w:abstractNum>
  <w:abstractNum w:abstractNumId="179">
    <w:nsid w:val="7FBD7A3E"/>
    <w:multiLevelType w:val="hybridMultilevel"/>
    <w:lvl w:ilvl="0">
      <w:lvlJc w:val="left"/>
      <w:lvlText w:val="(%1)"/>
      <w:numFmt w:val="lowerLetter"/>
      <w:start w:val="35"/>
    </w:lvl>
    <w:lvl w:ilvl="1">
      <w:lvlJc w:val="left"/>
      <w:lvlText w:val="(%2)"/>
      <w:numFmt w:val="lowerLetter"/>
      <w:start w:val="4"/>
    </w:lvl>
  </w:abstractNum>
  <w:abstractNum w:abstractNumId="180">
    <w:nsid w:val="490B7C5"/>
    <w:multiLevelType w:val="hybridMultilevel"/>
    <w:lvl w:ilvl="0">
      <w:lvlJc w:val="left"/>
      <w:lvlText w:val="(%1)"/>
      <w:numFmt w:val="lowerLetter"/>
      <w:start w:val="6"/>
    </w:lvl>
  </w:abstractNum>
  <w:abstractNum w:abstractNumId="181">
    <w:nsid w:val="4303A216"/>
    <w:multiLevelType w:val="hybridMultilevel"/>
    <w:lvl w:ilvl="0">
      <w:lvlJc w:val="left"/>
      <w:lvlText w:val="(%1)"/>
      <w:numFmt w:val="lowerLetter"/>
      <w:start w:val="7"/>
    </w:lvl>
  </w:abstractNum>
  <w:abstractNum w:abstractNumId="182">
    <w:nsid w:val="19B8A08E"/>
    <w:multiLevelType w:val="hybridMultilevel"/>
    <w:lvl w:ilvl="0">
      <w:lvlJc w:val="left"/>
      <w:lvlText w:val="(%1)"/>
      <w:numFmt w:val="lowerLetter"/>
      <w:start w:val="2"/>
    </w:lvl>
  </w:abstractNum>
  <w:abstractNum w:abstractNumId="183">
    <w:nsid w:val="54B59621"/>
    <w:multiLevelType w:val="hybridMultilevel"/>
    <w:lvl w:ilvl="0">
      <w:lvlJc w:val="left"/>
      <w:lvlText w:val="(%1)"/>
      <w:numFmt w:val="lowerLetter"/>
      <w:start w:val="2"/>
    </w:lvl>
  </w:abstractNum>
  <w:abstractNum w:abstractNumId="184">
    <w:nsid w:val="5992A02E"/>
    <w:multiLevelType w:val="hybridMultilevel"/>
    <w:lvl w:ilvl="0">
      <w:lvlJc w:val="left"/>
      <w:lvlText w:val="%1"/>
      <w:numFmt w:val="lowerLetter"/>
      <w:start w:val="1"/>
    </w:lvl>
    <w:lvl w:ilvl="1">
      <w:lvlJc w:val="left"/>
      <w:lvlText w:val="(%2)"/>
      <w:numFmt w:val="lowerRoman"/>
      <w:start w:val="2"/>
    </w:lvl>
  </w:abstractNum>
  <w:abstractNum w:abstractNumId="185">
    <w:nsid w:val="29EF532D"/>
    <w:multiLevelType w:val="hybridMultilevel"/>
    <w:lvl w:ilvl="0">
      <w:lvlJc w:val="left"/>
      <w:lvlText w:val="(%1)"/>
      <w:numFmt w:val="lowerLetter"/>
      <w:start w:val="3"/>
    </w:lvl>
    <w:lvl w:ilvl="1">
      <w:lvlJc w:val="left"/>
      <w:lvlText w:val="%2"/>
      <w:numFmt w:val="lowerRoman"/>
      <w:start w:val="1"/>
    </w:lvl>
  </w:abstractNum>
  <w:abstractNum w:abstractNumId="186">
    <w:nsid w:val="71D601AF"/>
    <w:multiLevelType w:val="hybridMultilevel"/>
    <w:lvl w:ilvl="0">
      <w:lvlJc w:val="left"/>
      <w:lvlText w:val="(%1)"/>
      <w:numFmt w:val="lowerLetter"/>
      <w:start w:val="2"/>
    </w:lvl>
  </w:abstractNum>
  <w:abstractNum w:abstractNumId="187">
    <w:nsid w:val="52C77402"/>
    <w:multiLevelType w:val="hybridMultilevel"/>
    <w:lvl w:ilvl="0">
      <w:lvlJc w:val="left"/>
      <w:lvlText w:val="(%1)"/>
      <w:numFmt w:val="lowerLetter"/>
      <w:start w:val="4"/>
    </w:lvl>
  </w:abstractNum>
  <w:abstractNum w:abstractNumId="188">
    <w:nsid w:val="2BB5B1C6"/>
    <w:multiLevelType w:val="hybridMultilevel"/>
    <w:lvl w:ilvl="0">
      <w:lvlJc w:val="left"/>
      <w:lvlText w:val="%1"/>
      <w:numFmt w:val="lowerLetter"/>
      <w:start w:val="1"/>
    </w:lvl>
    <w:lvl w:ilvl="1">
      <w:lvlJc w:val="left"/>
      <w:lvlText w:val="(%2)"/>
      <w:numFmt w:val="lowerLetter"/>
      <w:start w:val="10"/>
    </w:lvl>
    <w:lvl w:ilvl="2">
      <w:lvlJc w:val="left"/>
      <w:lvlText w:val="%3"/>
      <w:numFmt w:val="lowerLetter"/>
      <w:start w:val="1"/>
    </w:lvl>
  </w:abstractNum>
  <w:abstractNum w:abstractNumId="189">
    <w:nsid w:val="66BE6B9"/>
    <w:multiLevelType w:val="hybridMultilevel"/>
    <w:lvl w:ilvl="0">
      <w:lvlJc w:val="left"/>
      <w:lvlText w:val="(%1)"/>
      <w:numFmt w:val="lowerLetter"/>
      <w:start w:val="9"/>
    </w:lvl>
    <w:lvl w:ilvl="1">
      <w:lvlJc w:val="left"/>
      <w:lvlText w:val="(%2)"/>
      <w:numFmt w:val="lowerLetter"/>
      <w:start w:val="12"/>
    </w:lvl>
    <w:lvl w:ilvl="2">
      <w:lvlJc w:val="left"/>
      <w:lvlText w:val="(%3)"/>
      <w:numFmt w:val="lowerLetter"/>
      <w:start w:val="35"/>
    </w:lvl>
  </w:abstractNum>
  <w:abstractNum w:abstractNumId="190">
    <w:nsid w:val="62234363"/>
    <w:multiLevelType w:val="hybridMultilevel"/>
    <w:lvl w:ilvl="0">
      <w:lvlJc w:val="left"/>
      <w:lvlText w:val="%1"/>
      <w:numFmt w:val="lowerLetter"/>
      <w:start w:val="1"/>
    </w:lvl>
    <w:lvl w:ilvl="1">
      <w:lvlJc w:val="left"/>
      <w:lvlText w:val="(%2)"/>
      <w:numFmt w:val="lowerRoman"/>
      <w:start w:val="3"/>
    </w:lvl>
  </w:abstractNum>
  <w:abstractNum w:abstractNumId="191">
    <w:nsid w:val="66D385C9"/>
    <w:multiLevelType w:val="hybridMultilevel"/>
    <w:lvl w:ilvl="0">
      <w:lvlJc w:val="left"/>
      <w:lvlText w:val="(%1)"/>
      <w:numFmt w:val="lowerLetter"/>
      <w:start w:val="13"/>
    </w:lvl>
    <w:lvl w:ilvl="1">
      <w:lvlJc w:val="left"/>
      <w:lvlText w:val="%2"/>
      <w:numFmt w:val="lowerRoman"/>
      <w:start w:val="1"/>
    </w:lvl>
  </w:abstractNum>
  <w:abstractNum w:abstractNumId="192">
    <w:nsid w:val="596F6D8A"/>
    <w:multiLevelType w:val="hybridMultilevel"/>
    <w:lvl w:ilvl="0">
      <w:lvlJc w:val="left"/>
      <w:lvlText w:val="(%1)"/>
      <w:numFmt w:val="lowerLetter"/>
      <w:start w:val="1"/>
    </w:lvl>
  </w:abstractNum>
  <w:abstractNum w:abstractNumId="193">
    <w:nsid w:val="5749361F"/>
    <w:multiLevelType w:val="hybridMultilevel"/>
    <w:lvl w:ilvl="0">
      <w:lvlJc w:val="left"/>
      <w:lvlText w:val="(%1)"/>
      <w:numFmt w:val="lowerLetter"/>
      <w:start w:val="2"/>
    </w:lvl>
  </w:abstractNum>
  <w:abstractNum w:abstractNumId="194">
    <w:nsid w:val="73BC6770"/>
    <w:multiLevelType w:val="hybridMultilevel"/>
    <w:lvl w:ilvl="0">
      <w:lvlJc w:val="left"/>
      <w:lvlText w:val="(%1)"/>
      <w:numFmt w:val="lowerLetter"/>
      <w:start w:val="9"/>
    </w:lvl>
    <w:lvl w:ilvl="1">
      <w:lvlJc w:val="left"/>
      <w:lvlText w:val="(%2)"/>
      <w:numFmt w:val="lowerLetter"/>
      <w:start w:val="6"/>
    </w:lvl>
  </w:abstractNum>
  <w:abstractNum w:abstractNumId="195">
    <w:nsid w:val="280E6897"/>
    <w:multiLevelType w:val="hybridMultilevel"/>
    <w:lvl w:ilvl="0">
      <w:lvlJc w:val="left"/>
      <w:lvlText w:val="(%1)"/>
      <w:numFmt w:val="lowerLetter"/>
      <w:start w:val="7"/>
    </w:lvl>
  </w:abstractNum>
  <w:abstractNum w:abstractNumId="196">
    <w:nsid w:val="605138DE"/>
    <w:multiLevelType w:val="hybridMultilevel"/>
    <w:lvl w:ilvl="0">
      <w:lvlJc w:val="left"/>
      <w:lvlText w:val="(%1)"/>
      <w:numFmt w:val="lowerRoman"/>
      <w:start w:val="1"/>
    </w:lvl>
  </w:abstractNum>
  <w:abstractNum w:abstractNumId="197">
    <w:nsid w:val="2622AD0C"/>
    <w:multiLevelType w:val="hybridMultilevel"/>
    <w:lvl w:ilvl="0">
      <w:lvlJc w:val="left"/>
      <w:lvlText w:val="%1"/>
      <w:numFmt w:val="lowerLetter"/>
      <w:start w:val="1"/>
    </w:lvl>
    <w:lvl w:ilvl="1">
      <w:lvlJc w:val="left"/>
      <w:lvlText w:val="(%2)"/>
      <w:numFmt w:val="lowerRoman"/>
      <w:start w:val="2"/>
    </w:lvl>
  </w:abstractNum>
  <w:abstractNum w:abstractNumId="198">
    <w:nsid w:val="67997556"/>
    <w:multiLevelType w:val="hybridMultilevel"/>
    <w:lvl w:ilvl="0">
      <w:lvlJc w:val="left"/>
      <w:lvlText w:val="(%1)"/>
      <w:numFmt w:val="lowerLetter"/>
      <w:start w:val="2"/>
    </w:lvl>
    <w:lvl w:ilvl="1">
      <w:lvlJc w:val="left"/>
      <w:lvlText w:val="(%2)"/>
      <w:numFmt w:val="lowerRoman"/>
      <w:start w:val="1"/>
    </w:lvl>
  </w:abstractNum>
  <w:abstractNum w:abstractNumId="199">
    <w:nsid w:val="18333C89"/>
    <w:multiLevelType w:val="hybridMultilevel"/>
    <w:lvl w:ilvl="0">
      <w:lvlJc w:val="left"/>
      <w:lvlText w:val="%1"/>
      <w:numFmt w:val="lowerLetter"/>
      <w:start w:val="1"/>
    </w:lvl>
    <w:lvl w:ilvl="1">
      <w:lvlJc w:val="left"/>
      <w:lvlText w:val="(%2)"/>
      <w:numFmt w:val="lowerLetter"/>
      <w:start w:val="35"/>
    </w:lvl>
  </w:abstractNum>
  <w:abstractNum w:abstractNumId="200">
    <w:nsid w:val="4BA9831A"/>
    <w:multiLevelType w:val="hybridMultilevel"/>
    <w:lvl w:ilvl="0">
      <w:lvlJc w:val="left"/>
      <w:lvlText w:val="(%1)"/>
      <w:numFmt w:val="lowerLetter"/>
      <w:start w:val="3"/>
    </w:lvl>
    <w:lvl w:ilvl="1">
      <w:lvlJc w:val="left"/>
      <w:lvlText w:val="(%2)"/>
      <w:numFmt w:val="lowerLetter"/>
      <w:start w:val="9"/>
    </w:lvl>
  </w:abstractNum>
  <w:abstractNum w:abstractNumId="201">
    <w:nsid w:val="6D71A2B"/>
    <w:multiLevelType w:val="hybridMultilevel"/>
    <w:lvl w:ilvl="0">
      <w:lvlJc w:val="left"/>
      <w:lvlText w:val="%1"/>
      <w:numFmt w:val="lowerLetter"/>
      <w:start w:val="1"/>
    </w:lvl>
    <w:lvl w:ilvl="1">
      <w:lvlJc w:val="left"/>
      <w:lvlText w:val="(%2)"/>
      <w:numFmt w:val="lowerRoman"/>
      <w:start w:val="2"/>
    </w:lvl>
  </w:abstractNum>
  <w:abstractNum w:abstractNumId="202">
    <w:nsid w:val="CFC7321"/>
    <w:multiLevelType w:val="hybridMultilevel"/>
    <w:lvl w:ilvl="0">
      <w:lvlJc w:val="left"/>
      <w:lvlText w:val="(%1)"/>
      <w:numFmt w:val="lowerLetter"/>
      <w:start w:val="4"/>
    </w:lvl>
    <w:lvl w:ilvl="1">
      <w:lvlJc w:val="left"/>
      <w:lvlText w:val="(%2)"/>
      <w:numFmt w:val="lowerRoman"/>
      <w:start w:val="1"/>
    </w:lvl>
  </w:abstractNum>
  <w:abstractNum w:abstractNumId="203">
    <w:nsid w:val="1421971B"/>
    <w:multiLevelType w:val="hybridMultilevel"/>
    <w:lvl w:ilvl="0">
      <w:lvlJc w:val="left"/>
      <w:lvlText w:val="%1"/>
      <w:numFmt w:val="lowerLetter"/>
      <w:start w:val="1"/>
    </w:lvl>
    <w:lvl w:ilvl="1">
      <w:lvlJc w:val="left"/>
      <w:lvlText w:val="(%2)"/>
      <w:numFmt w:val="lowerLetter"/>
      <w:start w:val="35"/>
    </w:lvl>
  </w:abstractNum>
  <w:abstractNum w:abstractNumId="204">
    <w:nsid w:val="1F404301"/>
    <w:multiLevelType w:val="hybridMultilevel"/>
    <w:lvl w:ilvl="0">
      <w:lvlJc w:val="left"/>
      <w:lvlText w:val="(%1)"/>
      <w:numFmt w:val="lowerLetter"/>
      <w:start w:val="5"/>
    </w:lvl>
    <w:lvl w:ilvl="1">
      <w:lvlJc w:val="left"/>
      <w:lvlText w:val="%2"/>
      <w:numFmt w:val="lowerLetter"/>
      <w:start w:val="1"/>
    </w:lvl>
  </w:abstractNum>
  <w:abstractNum w:abstractNumId="205">
    <w:nsid w:val="116E0907"/>
    <w:multiLevelType w:val="hybridMultilevel"/>
    <w:lvl w:ilvl="0">
      <w:lvlJc w:val="left"/>
      <w:lvlText w:val="(%1)"/>
      <w:numFmt w:val="lowerRoman"/>
      <w:start w:val="1"/>
    </w:lvl>
  </w:abstractNum>
  <w:abstractNum w:abstractNumId="206">
    <w:nsid w:val="4B683D0D"/>
    <w:multiLevelType w:val="hybridMultilevel"/>
    <w:lvl w:ilvl="0">
      <w:lvlJc w:val="left"/>
      <w:lvlText w:val="(%1)"/>
      <w:numFmt w:val="lowerRoman"/>
      <w:start w:val="10"/>
    </w:lvl>
  </w:abstractNum>
  <w:abstractNum w:abstractNumId="207">
    <w:nsid w:val="76E41D8"/>
    <w:multiLevelType w:val="hybridMultilevel"/>
    <w:lvl w:ilvl="0">
      <w:lvlJc w:val="left"/>
      <w:lvlText w:val="(%1)"/>
      <w:numFmt w:val="lowerRoman"/>
      <w:start w:val="19"/>
    </w:lvl>
  </w:abstractNum>
  <w:abstractNum w:abstractNumId="208">
    <w:nsid w:val="71DCE0FD"/>
    <w:multiLevelType w:val="hybridMultilevel"/>
    <w:lvl w:ilvl="0">
      <w:lvlJc w:val="left"/>
      <w:lvlText w:val="(%1)"/>
      <w:numFmt w:val="lowerRoman"/>
      <w:start w:val="20"/>
    </w:lvl>
  </w:abstractNum>
  <w:abstractNum w:abstractNumId="209">
    <w:nsid w:val="7906328B"/>
    <w:multiLevelType w:val="hybridMultilevel"/>
    <w:lvl w:ilvl="0">
      <w:lvlJc w:val="left"/>
      <w:lvlText w:val="%1"/>
      <w:numFmt w:val="decimal"/>
      <w:start w:val="1"/>
    </w:lvl>
    <w:lvl w:ilvl="1">
      <w:lvlJc w:val="left"/>
      <w:lvlText w:val="(%2)"/>
      <w:numFmt w:val="lowerRoman"/>
      <w:start w:val="27"/>
    </w:lvl>
  </w:abstractNum>
  <w:abstractNum w:abstractNumId="210">
    <w:nsid w:val="72BBC16"/>
    <w:multiLevelType w:val="hybridMultilevel"/>
    <w:lvl w:ilvl="0">
      <w:lvlJc w:val="left"/>
      <w:lvlText w:val="(%1)"/>
      <w:numFmt w:val="decimal"/>
      <w:start w:val="1"/>
    </w:lvl>
    <w:lvl w:ilvl="1">
      <w:lvlJc w:val="left"/>
      <w:lvlText w:val="%2"/>
      <w:numFmt w:val="lowerRoman"/>
      <w:start w:val="1"/>
    </w:lvl>
  </w:abstractNum>
  <w:abstractNum w:abstractNumId="211">
    <w:nsid w:val="766D98C2"/>
    <w:multiLevelType w:val="hybridMultilevel"/>
    <w:lvl w:ilvl="0">
      <w:lvlJc w:val="left"/>
      <w:lvlText w:val="(%1)"/>
      <w:numFmt w:val="lowerLetter"/>
      <w:start w:val="2"/>
    </w:lvl>
  </w:abstractNum>
  <w:abstractNum w:abstractNumId="212">
    <w:nsid w:val="3C09D4A1"/>
    <w:multiLevelType w:val="hybridMultilevel"/>
    <w:lvl w:ilvl="0">
      <w:lvlJc w:val="left"/>
      <w:lvlText w:val="(%1)"/>
      <w:numFmt w:val="lowerRoman"/>
      <w:start w:val="1"/>
    </w:lvl>
  </w:abstractNum>
  <w:abstractNum w:abstractNumId="213">
    <w:nsid w:val="20E45CA4"/>
    <w:multiLevelType w:val="hybridMultilevel"/>
    <w:lvl w:ilvl="0">
      <w:lvlJc w:val="left"/>
      <w:lvlText w:val="(%1)"/>
      <w:numFmt w:val="lowerRoman"/>
      <w:start w:val="8"/>
    </w:lvl>
  </w:abstractNum>
  <w:abstractNum w:abstractNumId="214">
    <w:nsid w:val="4B232EE3"/>
    <w:multiLevelType w:val="hybridMultilevel"/>
    <w:lvl w:ilvl="0">
      <w:lvlJc w:val="left"/>
      <w:lvlText w:val="(%1)"/>
      <w:numFmt w:val="lowerLetter"/>
      <w:start w:val="2"/>
    </w:lvl>
  </w:abstractNum>
  <w:abstractNum w:abstractNumId="215">
    <w:nsid w:val="159C74CF"/>
    <w:multiLevelType w:val="hybridMultilevel"/>
    <w:lvl w:ilvl="0">
      <w:lvlJc w:val="left"/>
      <w:lvlText w:val="(%1)"/>
      <w:numFmt w:val="lowerLetter"/>
      <w:start w:val="4"/>
    </w:lvl>
  </w:abstractNum>
  <w:abstractNum w:abstractNumId="216">
    <w:nsid w:val="4AD3AFD2"/>
    <w:multiLevelType w:val="hybridMultilevel"/>
    <w:lvl w:ilvl="0">
      <w:lvlJc w:val="left"/>
      <w:lvlText w:val="(%1)"/>
      <w:numFmt w:val="lowerLetter"/>
      <w:start w:val="7"/>
    </w:lvl>
  </w:abstractNum>
  <w:abstractNum w:abstractNumId="217">
    <w:nsid w:val="3CF93092"/>
    <w:multiLevelType w:val="hybridMultilevel"/>
    <w:lvl w:ilvl="0">
      <w:lvlJc w:val="left"/>
      <w:lvlText w:val="(%1)"/>
      <w:numFmt w:val="lowerLetter"/>
      <w:start w:val="1"/>
    </w:lvl>
  </w:abstractNum>
  <w:abstractNum w:abstractNumId="218">
    <w:nsid w:val="6863E8D2"/>
    <w:multiLevelType w:val="hybridMultilevel"/>
    <w:lvl w:ilvl="0">
      <w:lvlJc w:val="left"/>
      <w:lvlText w:val="(%1)"/>
      <w:numFmt w:val="lowerLetter"/>
      <w:start w:val="2"/>
    </w:lvl>
  </w:abstractNum>
  <w:abstractNum w:abstractNumId="219">
    <w:nsid w:val="76896198"/>
    <w:multiLevelType w:val="hybridMultilevel"/>
    <w:lvl w:ilvl="0">
      <w:lvlJc w:val="left"/>
      <w:lvlText w:val="(%1)"/>
      <w:numFmt w:val="lowerLetter"/>
      <w:start w:val="3"/>
    </w:lvl>
  </w:abstractNum>
  <w:abstractNum w:abstractNumId="220">
    <w:nsid w:val="4365174B"/>
    <w:multiLevelType w:val="hybridMultilevel"/>
    <w:lvl w:ilvl="0">
      <w:lvlJc w:val="left"/>
      <w:lvlText w:val="(%1)"/>
      <w:numFmt w:val="lowerLetter"/>
      <w:start w:val="7"/>
    </w:lvl>
  </w:abstractNum>
  <w:abstractNum w:abstractNumId="221">
    <w:nsid w:val="4A872C35"/>
    <w:multiLevelType w:val="hybridMultilevel"/>
    <w:lvl w:ilvl="0">
      <w:lvlJc w:val="left"/>
      <w:lvlText w:val="(%1)"/>
      <w:numFmt w:val="lowerLetter"/>
      <w:start w:val="8"/>
    </w:lvl>
  </w:abstractNum>
  <w:abstractNum w:abstractNumId="222">
    <w:nsid w:val="5D5CE761"/>
    <w:multiLevelType w:val="hybridMultilevel"/>
    <w:lvl w:ilvl="0">
      <w:lvlJc w:val="left"/>
      <w:lvlText w:val="(%1)"/>
      <w:numFmt w:val="lowerLetter"/>
      <w:start w:val="12"/>
    </w:lvl>
  </w:abstractNum>
  <w:abstractNum w:abstractNumId="223">
    <w:nsid w:val="1CD484D5"/>
    <w:multiLevelType w:val="hybridMultilevel"/>
    <w:lvl w:ilvl="0">
      <w:lvlJc w:val="left"/>
      <w:lvlText w:val="(%1)"/>
      <w:numFmt w:val="lowerLetter"/>
      <w:start w:val="2"/>
    </w:lvl>
  </w:abstractNum>
  <w:abstractNum w:abstractNumId="224">
    <w:nsid w:val="21D06255"/>
    <w:multiLevelType w:val="hybridMultilevel"/>
    <w:lvl w:ilvl="0">
      <w:lvlJc w:val="left"/>
      <w:lvlText w:val="(%1)"/>
      <w:numFmt w:val="lowerLetter"/>
      <w:start w:val="2"/>
    </w:lvl>
    <w:lvl w:ilvl="1">
      <w:lvlJc w:val="left"/>
      <w:lvlText w:val="(%2)"/>
      <w:numFmt w:val="lowerRoman"/>
      <w:start w:val="1"/>
    </w:lvl>
  </w:abstractNum>
  <w:abstractNum w:abstractNumId="225">
    <w:nsid w:val="51194ED1"/>
    <w:multiLevelType w:val="hybridMultilevel"/>
    <w:lvl w:ilvl="0">
      <w:lvlJc w:val="left"/>
      <w:lvlText w:val="%1"/>
      <w:numFmt w:val="lowerLetter"/>
      <w:start w:val="1"/>
    </w:lvl>
    <w:lvl w:ilvl="1">
      <w:lvlJc w:val="left"/>
      <w:lvlText w:val="(%2)"/>
      <w:numFmt w:val="lowerRoman"/>
      <w:start w:val="3"/>
    </w:lvl>
  </w:abstractNum>
  <w:abstractNum w:abstractNumId="226">
    <w:nsid w:val="44E2ED6C"/>
    <w:multiLevelType w:val="hybridMultilevel"/>
    <w:lvl w:ilvl="0">
      <w:lvlJc w:val="left"/>
      <w:lvlText w:val="(%1)"/>
      <w:numFmt w:val="lowerLetter"/>
      <w:start w:val="3"/>
    </w:lvl>
    <w:lvl w:ilvl="1">
      <w:lvlJc w:val="left"/>
      <w:lvlText w:val="%2"/>
      <w:numFmt w:val="lowerRoman"/>
      <w:start w:val="1"/>
    </w:lvl>
  </w:abstractNum>
  <w:abstractNum w:abstractNumId="227">
    <w:nsid w:val="2219B33"/>
    <w:multiLevelType w:val="hybridMultilevel"/>
    <w:lvl w:ilvl="0">
      <w:lvlJc w:val="left"/>
      <w:lvlText w:val="(%1)"/>
      <w:numFmt w:val="lowerLetter"/>
      <w:start w:val="6"/>
    </w:lvl>
  </w:abstractNum>
  <w:abstractNum w:abstractNumId="228">
    <w:nsid w:val="773BFBDD"/>
    <w:multiLevelType w:val="hybridMultilevel"/>
    <w:lvl w:ilvl="0">
      <w:lvlJc w:val="left"/>
      <w:lvlText w:val="(%1)"/>
      <w:numFmt w:val="lowerLetter"/>
      <w:start w:val="2"/>
    </w:lvl>
  </w:abstractNum>
  <w:abstractNum w:abstractNumId="229">
    <w:nsid w:val="2C7C62C2"/>
    <w:multiLevelType w:val="hybridMultilevel"/>
    <w:lvl w:ilvl="0">
      <w:lvlJc w:val="left"/>
      <w:lvlText w:val="(%1)"/>
      <w:numFmt w:val="lowerLetter"/>
      <w:start w:val="2"/>
    </w:lvl>
    <w:lvl w:ilvl="1">
      <w:lvlJc w:val="left"/>
      <w:lvlText w:val="(%2)"/>
      <w:numFmt w:val="lowerRoman"/>
      <w:start w:val="1"/>
    </w:lvl>
  </w:abstractNum>
  <w:abstractNum w:abstractNumId="230">
    <w:nsid w:val="1A54D7B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231">
    <w:nsid w:val="42E57EF7"/>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32">
    <w:nsid w:val="33537CED"/>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233">
    <w:nsid w:val="27514ADE"/>
    <w:multiLevelType w:val="hybridMultilevel"/>
    <w:lvl w:ilvl="0">
      <w:lvlJc w:val="left"/>
      <w:lvlText w:val="(%1)"/>
      <w:numFmt w:val="lowerLetter"/>
      <w:start w:val="6"/>
    </w:lvl>
  </w:abstractNum>
  <w:abstractNum w:abstractNumId="234">
    <w:nsid w:val="57071613"/>
    <w:multiLevelType w:val="hybridMultilevel"/>
    <w:lvl w:ilvl="0">
      <w:lvlJc w:val="left"/>
      <w:lvlText w:val="(%1)"/>
      <w:numFmt w:val="lowerLetter"/>
      <w:start w:val="8"/>
    </w:lvl>
  </w:abstractNum>
  <w:abstractNum w:abstractNumId="235">
    <w:nsid w:val="5293BFEF"/>
    <w:multiLevelType w:val="hybridMultilevel"/>
    <w:lvl w:ilvl="0">
      <w:lvlJc w:val="left"/>
      <w:lvlText w:val="(%1)"/>
      <w:numFmt w:val="lowerLetter"/>
      <w:start w:val="11"/>
    </w:lvl>
  </w:abstractNum>
  <w:abstractNum w:abstractNumId="236">
    <w:nsid w:val="38BF53E5"/>
    <w:multiLevelType w:val="hybridMultilevel"/>
    <w:lvl w:ilvl="0">
      <w:lvlJc w:val="left"/>
      <w:lvlText w:val="(%1)"/>
      <w:numFmt w:val="lowerLetter"/>
      <w:start w:val="1"/>
    </w:lvl>
  </w:abstractNum>
  <w:abstractNum w:abstractNumId="237">
    <w:nsid w:val="226F5320"/>
    <w:multiLevelType w:val="hybridMultilevel"/>
    <w:lvl w:ilvl="0">
      <w:lvlJc w:val="left"/>
      <w:lvlText w:val="(%1)"/>
      <w:numFmt w:val="lowerLetter"/>
      <w:start w:val="3"/>
    </w:lvl>
  </w:abstractNum>
  <w:abstractNum w:abstractNumId="238">
    <w:nsid w:val="5A0201C7"/>
    <w:multiLevelType w:val="hybridMultilevel"/>
    <w:lvl w:ilvl="0">
      <w:lvlJc w:val="left"/>
      <w:lvlText w:val="(%1)"/>
      <w:numFmt w:val="lowerLetter"/>
      <w:start w:val="2"/>
    </w:lvl>
  </w:abstractNum>
  <w:abstractNum w:abstractNumId="239">
    <w:nsid w:val="2A9C34E2"/>
    <w:multiLevelType w:val="hybridMultilevel"/>
    <w:lvl w:ilvl="0">
      <w:lvlJc w:val="left"/>
      <w:lvlText w:val="(%1)"/>
      <w:numFmt w:val="lowerLetter"/>
      <w:start w:val="3"/>
    </w:lvl>
  </w:abstractNum>
  <w:abstractNum w:abstractNumId="240">
    <w:nsid w:val="1B7585AB"/>
    <w:multiLevelType w:val="hybridMultilevel"/>
    <w:lvl w:ilvl="0">
      <w:lvlJc w:val="left"/>
      <w:lvlText w:val="(%1)"/>
      <w:numFmt w:val="lowerLetter"/>
      <w:start w:val="5"/>
    </w:lvl>
  </w:abstractNum>
  <w:abstractNum w:abstractNumId="241">
    <w:nsid w:val="612DBDDD"/>
    <w:multiLevelType w:val="hybridMultilevel"/>
    <w:lvl w:ilvl="0">
      <w:lvlJc w:val="left"/>
      <w:lvlText w:val="(%1)"/>
      <w:numFmt w:val="lowerLetter"/>
      <w:start w:val="1"/>
    </w:lvl>
  </w:abstractNum>
  <w:abstractNum w:abstractNumId="242">
    <w:nsid w:val="2109CDA4"/>
    <w:multiLevelType w:val="hybridMultilevel"/>
    <w:lvl w:ilvl="0">
      <w:lvlJc w:val="left"/>
      <w:lvlText w:val="(%1)"/>
      <w:numFmt w:val="lowerLetter"/>
      <w:start w:val="2"/>
    </w:lvl>
  </w:abstractNum>
  <w:abstractNum w:abstractNumId="243">
    <w:nsid w:val="577F5A4D"/>
    <w:multiLevelType w:val="hybridMultilevel"/>
    <w:lvl w:ilvl="0">
      <w:lvlJc w:val="left"/>
      <w:lvlText w:val="(%1)"/>
      <w:numFmt w:val="lowerLetter"/>
      <w:start w:val="5"/>
    </w:lvl>
  </w:abstractNum>
  <w:abstractNum w:abstractNumId="244">
    <w:nsid w:val="2121A81"/>
    <w:multiLevelType w:val="hybridMultilevel"/>
    <w:lvl w:ilvl="0">
      <w:lvlJc w:val="left"/>
      <w:lvlText w:val="(%1)"/>
      <w:numFmt w:val="lowerLetter"/>
      <w:start w:val="2"/>
    </w:lvl>
  </w:abstractNum>
  <w:abstractNum w:abstractNumId="245">
    <w:nsid w:val="6C2CFC88"/>
    <w:multiLevelType w:val="hybridMultilevel"/>
    <w:lvl w:ilvl="0">
      <w:lvlJc w:val="left"/>
      <w:lvlText w:val="(%1)"/>
      <w:numFmt w:val="lowerLetter"/>
      <w:start w:val="5"/>
    </w:lvl>
  </w:abstractNum>
  <w:abstractNum w:abstractNumId="246">
    <w:nsid w:val="6D1BCF1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7">
    <w:nsid w:val="4CE5CA53"/>
    <w:multiLevelType w:val="hybridMultilevel"/>
    <w:lvl w:ilvl="0">
      <w:lvlJc w:val="left"/>
      <w:lvlText w:val="%1"/>
      <w:numFmt w:val="decimal"/>
      <w:start w:val="1"/>
    </w:lvl>
    <w:lvl w:ilvl="1">
      <w:lvlJc w:val="left"/>
      <w:lvlText w:val="(%2)"/>
      <w:numFmt w:val="upperLetter"/>
      <w:start w:val="3"/>
    </w:lvl>
  </w:abstractNum>
  <w:abstractNum w:abstractNumId="248">
    <w:nsid w:val="29262D1A"/>
    <w:multiLevelType w:val="hybridMultilevel"/>
    <w:lvl w:ilvl="0">
      <w:lvlJc w:val="left"/>
      <w:lvlText w:val="(%1)"/>
      <w:numFmt w:val="decimal"/>
      <w:start w:val="13"/>
    </w:lvl>
    <w:lvl w:ilvl="1">
      <w:lvlJc w:val="left"/>
      <w:lvlText w:val="(%2)"/>
      <w:numFmt w:val="upperLetter"/>
      <w:start w:val="11"/>
    </w:lvl>
  </w:abstractNum>
  <w:abstractNum w:abstractNumId="249">
    <w:nsid w:val="557FB7EE"/>
    <w:multiLevelType w:val="hybridMultilevel"/>
    <w:lvl w:ilvl="0">
      <w:lvlJc w:val="left"/>
      <w:lvlText w:val="(%1)"/>
      <w:numFmt w:val="upperLetter"/>
      <w:start w:val="9"/>
    </w:lvl>
  </w:abstractNum>
  <w:abstractNum w:abstractNumId="250">
    <w:nsid w:val="436F2BEB"/>
    <w:multiLevelType w:val="hybridMultilevel"/>
    <w:lvl w:ilvl="0">
      <w:lvlJc w:val="left"/>
      <w:lvlText w:val="(%1)"/>
      <w:numFmt w:val="upperLetter"/>
      <w:start w:val="35"/>
    </w:lvl>
  </w:abstractNum>
  <w:abstractNum w:abstractNumId="251">
    <w:nsid w:val="6C8B4466"/>
    <w:multiLevelType w:val="hybridMultilevel"/>
    <w:lvl w:ilvl="0">
      <w:lvlJc w:val="left"/>
      <w:lvlText w:val="%1"/>
      <w:numFmt w:val="upperLetter"/>
      <w:start w:val="1"/>
    </w:lvl>
    <w:lvl w:ilvl="1">
      <w:lvlJc w:val="left"/>
      <w:lvlText w:val="(%2)"/>
      <w:numFmt w:val="upperLetter"/>
      <w:start w:val="61"/>
    </w:lvl>
  </w:abstractNum>
  <w:abstractNum w:abstractNumId="252">
    <w:nsid w:val="2006E424"/>
    <w:multiLevelType w:val="hybridMultilevel"/>
    <w:lvl w:ilvl="0">
      <w:lvlJc w:val="left"/>
      <w:lvlText w:val="(%1)"/>
      <w:numFmt w:val="upperLetter"/>
      <w:start w:val="12"/>
    </w:lvl>
    <w:lvl w:ilvl="1">
      <w:lvlJc w:val="left"/>
      <w:lvlText w:val="(%2)"/>
      <w:numFmt w:val="upperLetter"/>
      <w:start w:val="9"/>
    </w:lvl>
  </w:abstractNum>
  <w:abstractNum w:abstractNumId="253">
    <w:nsid w:val="20CC134C"/>
    <w:multiLevelType w:val="hybridMultilevel"/>
    <w:lvl w:ilvl="0">
      <w:lvlJc w:val="left"/>
      <w:lvlText w:val="%1"/>
      <w:numFmt w:val="upperLetter"/>
      <w:start w:val="1"/>
    </w:lvl>
    <w:lvl w:ilvl="1">
      <w:lvlJc w:val="left"/>
      <w:lvlText w:val="(%2)"/>
      <w:numFmt w:val="upperLetter"/>
      <w:start w:val="35"/>
    </w:lvl>
  </w:abstractNum>
  <w:abstractNum w:abstractNumId="254">
    <w:nsid w:val="95FC93B"/>
    <w:multiLevelType w:val="hybridMultilevel"/>
    <w:lvl w:ilvl="0">
      <w:lvlJc w:val="left"/>
      <w:lvlText w:val="(%1)"/>
      <w:numFmt w:val="upperLetter"/>
      <w:start w:val="13"/>
    </w:lvl>
    <w:lvl w:ilvl="1">
      <w:lvlJc w:val="left"/>
      <w:lvlText w:val="%2"/>
      <w:numFmt w:val="upperLetter"/>
      <w:start w:val="1"/>
    </w:lvl>
  </w:abstractNum>
  <w:abstractNum w:abstractNumId="255">
    <w:nsid w:val="41D74679"/>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4"/>
    </w:lvl>
  </w:abstractNum>
  <w:abstractNum w:abstractNumId="256">
    <w:nsid w:val="71E5621E"/>
    <w:multiLevelType w:val="hybridMultilevel"/>
    <w:lvl w:ilvl="0">
      <w:lvlJc w:val="left"/>
      <w:lvlText w:val="%1"/>
      <w:numFmt w:val="decimal"/>
      <w:start w:val="1"/>
    </w:lvl>
    <w:lvl w:ilvl="1">
      <w:lvlJc w:val="left"/>
      <w:lvlText w:val="(%2)"/>
      <w:numFmt w:val="lowerRoman"/>
      <w:start w:val="5"/>
    </w:lvl>
    <w:lvl w:ilvl="2">
      <w:lvlJc w:val="left"/>
      <w:lvlText w:val="%3"/>
      <w:numFmt w:val="upperLetter"/>
      <w:start w:val="1"/>
    </w:lvl>
  </w:abstractNum>
  <w:abstractNum w:abstractNumId="257">
    <w:nsid w:val="4E42B6A8"/>
    <w:multiLevelType w:val="hybridMultilevel"/>
    <w:lvl w:ilvl="0">
      <w:lvlJc w:val="left"/>
      <w:lvlText w:val="(%1)"/>
      <w:numFmt w:val="decimal"/>
      <w:start w:val="2"/>
    </w:lvl>
    <w:lvl w:ilvl="1">
      <w:lvlJc w:val="left"/>
      <w:lvlText w:val="(%2)"/>
      <w:numFmt w:val="lowerRoman"/>
      <w:start w:val="7"/>
    </w:lvl>
    <w:lvl w:ilvl="2">
      <w:lvlJc w:val="left"/>
      <w:lvlText w:val="(%3)"/>
      <w:numFmt w:val="upperLetter"/>
      <w:start w:val="1"/>
    </w:lvl>
  </w:abstractNum>
  <w:abstractNum w:abstractNumId="258">
    <w:nsid w:val="43F8E1AC"/>
    <w:multiLevelType w:val="hybridMultilevel"/>
    <w:lvl w:ilvl="0">
      <w:lvlJc w:val="left"/>
      <w:lvlText w:val="(%1)"/>
      <w:numFmt w:val="lowerRoman"/>
      <w:start w:val="9"/>
    </w:lvl>
    <w:lvl w:ilvl="1">
      <w:lvlJc w:val="left"/>
      <w:lvlText w:val="(%2)"/>
      <w:numFmt w:val="upperLetter"/>
      <w:start w:val="1"/>
    </w:lvl>
  </w:abstractNum>
  <w:abstractNum w:abstractNumId="259">
    <w:nsid w:val="69215DFB"/>
    <w:multiLevelType w:val="hybridMultilevel"/>
    <w:lvl w:ilvl="0">
      <w:lvlJc w:val="left"/>
      <w:lvlText w:val="(%1)"/>
      <w:numFmt w:val="lowerRoman"/>
      <w:start w:val="13"/>
    </w:lvl>
  </w:abstractNum>
  <w:abstractNum w:abstractNumId="260">
    <w:nsid w:val="7ABF196A"/>
    <w:multiLevelType w:val="hybridMultilevel"/>
    <w:lvl w:ilvl="0">
      <w:lvlJc w:val="left"/>
      <w:lvlText w:val="(%1)"/>
      <w:numFmt w:val="lowerLetter"/>
      <w:start w:val="2"/>
    </w:lvl>
  </w:abstractNum>
  <w:abstractNum w:abstractNumId="261">
    <w:nsid w:val="5E4DB96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62">
    <w:nsid w:val="2C06DCF3"/>
    <w:multiLevelType w:val="hybridMultilevel"/>
    <w:lvl w:ilvl="0">
      <w:lvlJc w:val="left"/>
      <w:lvlText w:val="%1"/>
      <w:numFmt w:val="lowerRoman"/>
      <w:start w:val="1"/>
    </w:lvl>
    <w:lvl w:ilvl="1">
      <w:lvlJc w:val="left"/>
      <w:lvlText w:val="(%2)"/>
      <w:numFmt w:val="upperLetter"/>
      <w:start w:val="3"/>
    </w:lvl>
  </w:abstractNum>
  <w:abstractNum w:abstractNumId="263">
    <w:nsid w:val="2E129658"/>
    <w:multiLevelType w:val="hybridMultilevel"/>
    <w:lvl w:ilvl="0">
      <w:lvlJc w:val="left"/>
      <w:lvlText w:val="(%1)"/>
      <w:numFmt w:val="lowerRoman"/>
      <w:start w:val="6"/>
    </w:lvl>
    <w:lvl w:ilvl="1">
      <w:lvlJc w:val="left"/>
      <w:lvlText w:val="%2"/>
      <w:numFmt w:val="upperLetter"/>
      <w:start w:val="1"/>
    </w:lvl>
  </w:abstractNum>
  <w:abstractNum w:abstractNumId="264">
    <w:nsid w:val="59F0446"/>
    <w:multiLevelType w:val="hybridMultilevel"/>
    <w:lvl w:ilvl="0">
      <w:lvlJc w:val="left"/>
      <w:lvlText w:val="(%1)"/>
      <w:numFmt w:val="lowerLetter"/>
      <w:start w:val="3"/>
    </w:lvl>
  </w:abstractNum>
  <w:abstractNum w:abstractNumId="265">
    <w:nsid w:val="30DF306"/>
    <w:multiLevelType w:val="hybridMultilevel"/>
    <w:lvl w:ilvl="0">
      <w:lvlJc w:val="left"/>
      <w:lvlText w:val="(%1)"/>
      <w:numFmt w:val="lowerLetter"/>
      <w:start w:val="2"/>
    </w:lvl>
  </w:abstractNum>
  <w:abstractNum w:abstractNumId="266">
    <w:nsid w:val="A65647"/>
    <w:multiLevelType w:val="hybridMultilevel"/>
    <w:lvl w:ilvl="0">
      <w:lvlJc w:val="left"/>
      <w:lvlText w:val="(%1)"/>
      <w:numFmt w:val="lowerLetter"/>
      <w:start w:val="6"/>
    </w:lvl>
  </w:abstractNum>
  <w:abstractNum w:abstractNumId="267">
    <w:nsid w:val="3E5E582B"/>
    <w:multiLevelType w:val="hybridMultilevel"/>
    <w:lvl w:ilvl="0">
      <w:lvlJc w:val="left"/>
      <w:lvlText w:val="(%1)"/>
      <w:numFmt w:val="lowerLetter"/>
      <w:start w:val="11"/>
    </w:lvl>
  </w:abstractNum>
  <w:abstractNum w:abstractNumId="268">
    <w:nsid w:val="257D4626"/>
    <w:multiLevelType w:val="hybridMultilevel"/>
    <w:lvl w:ilvl="0">
      <w:lvlJc w:val="left"/>
      <w:lvlText w:val="(%1)"/>
      <w:numFmt w:val="lowerLetter"/>
      <w:start w:val="2"/>
    </w:lvl>
  </w:abstractNum>
  <w:abstractNum w:abstractNumId="269">
    <w:nsid w:val="5AA8580E"/>
    <w:multiLevelType w:val="hybridMultilevel"/>
    <w:lvl w:ilvl="0">
      <w:lvlJc w:val="left"/>
      <w:lvlText w:val="(%1)"/>
      <w:numFmt w:val="lowerLetter"/>
      <w:start w:val="4"/>
    </w:lvl>
  </w:abstractNum>
  <w:abstractNum w:abstractNumId="270">
    <w:nsid w:val="68FA8D0D"/>
    <w:multiLevelType w:val="hybridMultilevel"/>
    <w:lvl w:ilvl="0">
      <w:lvlJc w:val="left"/>
      <w:lvlText w:val="(%1)"/>
      <w:numFmt w:val="lowerLetter"/>
      <w:start w:val="2"/>
    </w:lvl>
  </w:abstractNum>
  <w:abstractNum w:abstractNumId="271">
    <w:nsid w:val="40F2CBD2"/>
    <w:multiLevelType w:val="hybridMultilevel"/>
    <w:lvl w:ilvl="0">
      <w:lvlJc w:val="left"/>
      <w:lvlText w:val="(%1)"/>
      <w:numFmt w:val="lowerLetter"/>
      <w:start w:val="1"/>
    </w:lvl>
  </w:abstractNum>
  <w:abstractNum w:abstractNumId="272">
    <w:nsid w:val="3BD615E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3">
    <w:nsid w:val="A045AB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74">
    <w:nsid w:val="1872261F"/>
    <w:multiLevelType w:val="hybridMultilevel"/>
    <w:lvl w:ilvl="0">
      <w:lvlJc w:val="left"/>
      <w:lvlText w:val="(%1)"/>
      <w:numFmt w:val="lowerRoman"/>
      <w:start w:val="2"/>
    </w:lvl>
    <w:lvl w:ilvl="1">
      <w:lvlJc w:val="left"/>
      <w:lvlText w:val="(%2)"/>
      <w:numFmt w:val="upperLetter"/>
      <w:start w:val="1"/>
    </w:lvl>
  </w:abstractNum>
  <w:abstractNum w:abstractNumId="275">
    <w:nsid w:val="3DE8306C"/>
    <w:multiLevelType w:val="hybridMultilevel"/>
    <w:lvl w:ilvl="0">
      <w:lvlJc w:val="left"/>
      <w:lvlText w:val="(%1)"/>
      <w:numFmt w:val="lowerRoman"/>
      <w:start w:val="1"/>
    </w:lvl>
    <w:lvl w:ilvl="1">
      <w:lvlJc w:val="left"/>
      <w:lvlText w:val="(%2)"/>
      <w:numFmt w:val="upperLetter"/>
      <w:start w:val="1"/>
    </w:lvl>
  </w:abstractNum>
  <w:abstractNum w:abstractNumId="276">
    <w:nsid w:val="7631573A"/>
    <w:multiLevelType w:val="hybridMultilevel"/>
    <w:lvl w:ilvl="0">
      <w:lvlJc w:val="left"/>
      <w:lvlText w:val="(%1)"/>
      <w:numFmt w:val="upperLetter"/>
      <w:start w:val="2"/>
    </w:lvl>
  </w:abstractNum>
  <w:abstractNum w:abstractNumId="277">
    <w:nsid w:val="58DF53B"/>
    <w:multiLevelType w:val="hybridMultilevel"/>
    <w:lvl w:ilvl="0">
      <w:lvlJc w:val="left"/>
      <w:lvlText w:val="%1"/>
      <w:numFmt w:val="lowerRoman"/>
      <w:start w:val="1"/>
    </w:lvl>
    <w:lvl w:ilvl="1">
      <w:lvlJc w:val="left"/>
      <w:lvlText w:val="(%2)"/>
      <w:numFmt w:val="upperLetter"/>
      <w:start w:val="10"/>
    </w:lvl>
  </w:abstractNum>
  <w:abstractNum w:abstractNumId="278">
    <w:nsid w:val="ACDFAC0"/>
    <w:multiLevelType w:val="hybridMultilevel"/>
    <w:lvl w:ilvl="0">
      <w:lvlJc w:val="left"/>
      <w:lvlText w:val="(%1)"/>
      <w:numFmt w:val="lowerRoman"/>
      <w:start w:val="2"/>
    </w:lvl>
    <w:lvl w:ilvl="1">
      <w:lvlJc w:val="left"/>
      <w:lvlText w:val="(%2)"/>
      <w:numFmt w:val="upperLetter"/>
      <w:start w:val="1"/>
    </w:lvl>
  </w:abstractNum>
  <w:abstractNum w:abstractNumId="279">
    <w:nsid w:val="1F578454"/>
    <w:multiLevelType w:val="hybridMultilevel"/>
    <w:lvl w:ilvl="0">
      <w:lvlJc w:val="left"/>
      <w:lvlText w:val="(%1)"/>
      <w:numFmt w:val="upperLetter"/>
      <w:start w:val="2"/>
    </w:lvl>
  </w:abstractNum>
  <w:abstractNum w:abstractNumId="280">
    <w:nsid w:val="5B0DAD2A"/>
    <w:multiLevelType w:val="hybridMultilevel"/>
    <w:lvl w:ilvl="0">
      <w:lvlJc w:val="left"/>
      <w:lvlText w:val="(%1)"/>
      <w:numFmt w:val="upperLetter"/>
      <w:start w:val="11"/>
    </w:lvl>
  </w:abstractNum>
  <w:abstractNum w:abstractNumId="281">
    <w:nsid w:val="4E3D26AB"/>
    <w:multiLevelType w:val="hybridMultilevel"/>
    <w:lvl w:ilvl="0">
      <w:lvlJc w:val="left"/>
      <w:lvlText w:val="(%1)"/>
      <w:numFmt w:val="lowerRoman"/>
      <w:start w:val="3"/>
    </w:lvl>
    <w:lvl w:ilvl="1">
      <w:lvlJc w:val="left"/>
      <w:lvlText w:val="(%2)"/>
      <w:numFmt w:val="upperLetter"/>
      <w:start w:val="1"/>
    </w:lvl>
  </w:abstractNum>
  <w:abstractNum w:abstractNumId="282">
    <w:nsid w:val="BE2C8BA"/>
    <w:multiLevelType w:val="hybridMultilevel"/>
    <w:lvl w:ilvl="0">
      <w:lvlJc w:val="left"/>
      <w:lvlText w:val="(%1)"/>
      <w:numFmt w:val="upperLetter"/>
      <w:start w:val="2"/>
    </w:lvl>
  </w:abstractNum>
  <w:abstractNum w:abstractNumId="283">
    <w:nsid w:val="7B14914E"/>
    <w:multiLevelType w:val="hybridMultilevel"/>
    <w:lvl w:ilvl="0">
      <w:lvlJc w:val="left"/>
      <w:lvlText w:val="(%1)"/>
      <w:numFmt w:val="upperLetter"/>
      <w:start w:val="17"/>
    </w:lvl>
  </w:abstractNum>
  <w:abstractNum w:abstractNumId="284">
    <w:nsid w:val="6F0939F8"/>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85">
    <w:nsid w:val="154291F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6">
    <w:nsid w:val="3CEBD7C7"/>
    <w:multiLevelType w:val="hybridMultilevel"/>
    <w:lvl w:ilvl="0">
      <w:lvlJc w:val="left"/>
      <w:lvlText w:val="(%1)"/>
      <w:numFmt w:val="lowerLetter"/>
      <w:start w:val="5"/>
    </w:lvl>
  </w:abstractNum>
  <w:abstractNum w:abstractNumId="287">
    <w:nsid w:val="60EE9C16"/>
    <w:multiLevelType w:val="hybridMultilevel"/>
    <w:lvl w:ilvl="0">
      <w:lvlJc w:val="left"/>
      <w:lvlText w:val="(%1)"/>
      <w:numFmt w:val="lowerLetter"/>
      <w:start w:val="1"/>
    </w:lvl>
  </w:abstractNum>
  <w:abstractNum w:abstractNumId="288">
    <w:nsid w:val="6385489E"/>
    <w:multiLevelType w:val="hybridMultilevel"/>
    <w:lvl w:ilvl="0">
      <w:lvlJc w:val="left"/>
      <w:lvlText w:val="(%1)"/>
      <w:numFmt w:val="lowerLetter"/>
      <w:start w:val="6"/>
    </w:lvl>
    <w:lvl w:ilvl="1">
      <w:lvlJc w:val="left"/>
      <w:lvlText w:val="(%2)"/>
      <w:numFmt w:val="upperLetter"/>
      <w:start w:val="1"/>
    </w:lvl>
  </w:abstractNum>
  <w:abstractNum w:abstractNumId="289">
    <w:nsid w:val="E4B973"/>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290">
    <w:nsid w:val="4A0FFA11"/>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291">
    <w:nsid w:val="5E446208"/>
    <w:multiLevelType w:val="hybridMultilevel"/>
    <w:lvl w:ilvl="0">
      <w:lvlJc w:val="left"/>
      <w:lvlText w:val="(%1)"/>
      <w:numFmt w:val="lowerRoman"/>
      <w:start w:val="7"/>
    </w:lvl>
    <w:lvl w:ilvl="1">
      <w:lvlJc w:val="left"/>
      <w:lvlText w:val="%2"/>
      <w:numFmt w:val="lowerRoman"/>
      <w:start w:val="1"/>
    </w:lvl>
    <w:lvl w:ilvl="2">
      <w:lvlJc w:val="left"/>
      <w:lvlText w:val="%3"/>
      <w:numFmt w:val="upperLetter"/>
      <w:start w:val="1"/>
    </w:lvl>
  </w:abstractNum>
  <w:abstractNum w:abstractNumId="292">
    <w:nsid w:val="5F3272DB"/>
    <w:multiLevelType w:val="hybridMultilevel"/>
    <w:lvl w:ilvl="0">
      <w:lvlJc w:val="left"/>
      <w:lvlText w:val="(%1)"/>
      <w:numFmt w:val="lowerLetter"/>
      <w:start w:val="10"/>
    </w:lvl>
  </w:abstractNum>
  <w:abstractNum w:abstractNumId="293">
    <w:nsid w:val="7616D704"/>
    <w:multiLevelType w:val="hybridMultilevel"/>
    <w:lvl w:ilvl="0">
      <w:lvlJc w:val="left"/>
      <w:lvlText w:val="(%1)"/>
      <w:numFmt w:val="lowerLetter"/>
      <w:start w:val="1"/>
    </w:lvl>
    <w:lvl w:ilvl="1">
      <w:lvlJc w:val="left"/>
      <w:lvlText w:val="(%2)"/>
      <w:numFmt w:val="lowerRoman"/>
      <w:start w:val="1"/>
    </w:lvl>
  </w:abstractNum>
  <w:abstractNum w:abstractNumId="294">
    <w:nsid w:val="C56F860"/>
    <w:multiLevelType w:val="hybridMultilevel"/>
    <w:lvl w:ilvl="0">
      <w:lvlJc w:val="left"/>
      <w:lvlText w:val="(%1)"/>
      <w:numFmt w:val="lowerRoman"/>
      <w:start w:val="3"/>
    </w:lvl>
  </w:abstractNum>
  <w:abstractNum w:abstractNumId="295">
    <w:nsid w:val="64D17722"/>
    <w:multiLevelType w:val="hybridMultilevel"/>
    <w:lvl w:ilvl="0">
      <w:lvlJc w:val="left"/>
      <w:lvlText w:val="(%1)"/>
      <w:numFmt w:val="lowerLetter"/>
      <w:start w:val="2"/>
    </w:lvl>
  </w:abstractNum>
  <w:abstractNum w:abstractNumId="296">
    <w:nsid w:val="7924CA0A"/>
    <w:multiLevelType w:val="hybridMultilevel"/>
    <w:lvl w:ilvl="0">
      <w:lvlJc w:val="left"/>
      <w:lvlText w:val="(%1)"/>
      <w:numFmt w:val="lowerLetter"/>
      <w:start w:val="1"/>
    </w:lvl>
    <w:lvl w:ilvl="1">
      <w:lvlJc w:val="left"/>
      <w:lvlText w:val="(%2)"/>
      <w:numFmt w:val="lowerRoman"/>
      <w:start w:val="1"/>
    </w:lvl>
  </w:abstractNum>
  <w:abstractNum w:abstractNumId="297">
    <w:nsid w:val="CFD4EA7"/>
    <w:multiLevelType w:val="hybridMultilevel"/>
    <w:lvl w:ilvl="0">
      <w:lvlJc w:val="left"/>
      <w:lvlText w:val="(%1)"/>
      <w:numFmt w:val="lowerLetter"/>
      <w:start w:val="2"/>
    </w:lvl>
  </w:abstractNum>
  <w:abstractNum w:abstractNumId="298">
    <w:nsid w:val="232FCF4D"/>
    <w:multiLevelType w:val="hybridMultilevel"/>
    <w:lvl w:ilvl="0">
      <w:lvlJc w:val="left"/>
      <w:lvlText w:val="(%1)"/>
      <w:numFmt w:val="lowerLetter"/>
      <w:start w:val="4"/>
    </w:lvl>
  </w:abstractNum>
  <w:abstractNum w:abstractNumId="299">
    <w:nsid w:val="1EA21031"/>
    <w:multiLevelType w:val="hybridMultilevel"/>
    <w:lvl w:ilvl="0">
      <w:lvlJc w:val="left"/>
      <w:lvlText w:val="(%1)"/>
      <w:numFmt w:val="lowerLetter"/>
      <w:start w:val="2"/>
    </w:lvl>
  </w:abstractNum>
  <w:abstractNum w:abstractNumId="300">
    <w:nsid w:val="67A5A6B5"/>
    <w:multiLevelType w:val="hybridMultilevel"/>
    <w:lvl w:ilvl="0">
      <w:lvlJc w:val="left"/>
      <w:lvlText w:val="(%1)"/>
      <w:numFmt w:val="lowerLetter"/>
      <w:start w:val="2"/>
    </w:lvl>
  </w:abstractNum>
  <w:abstractNum w:abstractNumId="301">
    <w:nsid w:val="C2A5C5B"/>
    <w:multiLevelType w:val="hybridMultilevel"/>
    <w:lvl w:ilvl="0">
      <w:lvlJc w:val="left"/>
      <w:lvlText w:val="(%1)"/>
      <w:numFmt w:val="lowerLetter"/>
      <w:start w:val="2"/>
    </w:lvl>
  </w:abstractNum>
  <w:abstractNum w:abstractNumId="302">
    <w:nsid w:val="5F94DC03"/>
    <w:multiLevelType w:val="hybridMultilevel"/>
    <w:lvl w:ilvl="0">
      <w:lvlJc w:val="left"/>
      <w:lvlText w:val="(%1)"/>
      <w:numFmt w:val="lowerLetter"/>
      <w:start w:val="5"/>
    </w:lvl>
  </w:abstractNum>
  <w:abstractNum w:abstractNumId="303">
    <w:nsid w:val="237BBCA0"/>
    <w:multiLevelType w:val="hybridMultilevel"/>
    <w:lvl w:ilvl="0">
      <w:lvlJc w:val="left"/>
      <w:lvlText w:val="(%1)"/>
      <w:numFmt w:val="lowerLetter"/>
      <w:start w:val="2"/>
    </w:lvl>
  </w:abstractNum>
  <w:abstractNum w:abstractNumId="304">
    <w:nsid w:val="162EB70D"/>
    <w:multiLevelType w:val="hybridMultilevel"/>
    <w:lvl w:ilvl="0">
      <w:lvlJc w:val="left"/>
      <w:lvlText w:val="(%1)"/>
      <w:numFmt w:val="lowerLetter"/>
      <w:start w:val="5"/>
    </w:lvl>
  </w:abstractNum>
  <w:abstractNum w:abstractNumId="305">
    <w:nsid w:val="78070222"/>
    <w:multiLevelType w:val="hybridMultilevel"/>
    <w:lvl w:ilvl="0">
      <w:lvlJc w:val="left"/>
      <w:lvlText w:val="(%1)"/>
      <w:numFmt w:val="lowerLetter"/>
      <w:start w:val="1"/>
    </w:lvl>
    <w:lvl w:ilvl="1">
      <w:lvlJc w:val="left"/>
      <w:lvlText w:val="(%2)"/>
      <w:numFmt w:val="lowerRoman"/>
      <w:start w:val="1"/>
    </w:lvl>
  </w:abstractNum>
  <w:abstractNum w:abstractNumId="306">
    <w:nsid w:val="6163ED0D"/>
    <w:multiLevelType w:val="hybridMultilevel"/>
    <w:lvl w:ilvl="0">
      <w:lvlJc w:val="left"/>
      <w:lvlText w:val="(%1)"/>
      <w:numFmt w:val="lowerRoman"/>
      <w:start w:val="4"/>
    </w:lvl>
  </w:abstractNum>
  <w:abstractNum w:abstractNumId="307">
    <w:nsid w:val="C600E47"/>
    <w:multiLevelType w:val="hybridMultilevel"/>
    <w:lvl w:ilvl="0">
      <w:lvlJc w:val="left"/>
      <w:lvlText w:val="(%1)"/>
      <w:numFmt w:val="lowerLetter"/>
      <w:start w:val="2"/>
    </w:lvl>
  </w:abstractNum>
  <w:abstractNum w:abstractNumId="308">
    <w:nsid w:val="7D94F75D"/>
    <w:multiLevelType w:val="hybridMultilevel"/>
    <w:lvl w:ilvl="0">
      <w:lvlJc w:val="left"/>
      <w:lvlText w:val="%1"/>
      <w:numFmt w:val="lowerLetter"/>
      <w:start w:val="1"/>
    </w:lvl>
    <w:lvl w:ilvl="1">
      <w:lvlJc w:val="left"/>
      <w:lvlText w:val="(%2)"/>
      <w:numFmt w:val="lowerRoman"/>
      <w:start w:val="1"/>
    </w:lvl>
  </w:abstractNum>
  <w:abstractNum w:abstractNumId="309">
    <w:nsid w:val="6C31E7CD"/>
    <w:multiLevelType w:val="hybridMultilevel"/>
    <w:lvl w:ilvl="0">
      <w:lvlJc w:val="left"/>
      <w:lvlText w:val="(%1)"/>
      <w:numFmt w:val="lowerLetter"/>
      <w:start w:val="2"/>
    </w:lvl>
    <w:lvl w:ilvl="1">
      <w:lvlJc w:val="left"/>
      <w:lvlText w:val="%2"/>
      <w:numFmt w:val="lowerRoman"/>
      <w:start w:val="1"/>
    </w:lvl>
  </w:abstractNum>
  <w:abstractNum w:abstractNumId="310">
    <w:nsid w:val="2BB7929B"/>
    <w:multiLevelType w:val="hybridMultilevel"/>
    <w:lvl w:ilvl="0">
      <w:lvlJc w:val="left"/>
      <w:lvlText w:val="(%1)"/>
      <w:numFmt w:val="lowerLetter"/>
      <w:start w:val="4"/>
    </w:lvl>
  </w:abstractNum>
  <w:abstractNum w:abstractNumId="311">
    <w:nsid w:val="58A2A487"/>
    <w:multiLevelType w:val="hybridMultilevel"/>
    <w:lvl w:ilvl="0">
      <w:lvlJc w:val="left"/>
      <w:lvlText w:val="(%1)"/>
      <w:numFmt w:val="lowerLetter"/>
      <w:start w:val="2"/>
    </w:lvl>
  </w:abstractNum>
  <w:abstractNum w:abstractNumId="312">
    <w:nsid w:val="3A6F0E78"/>
    <w:multiLevelType w:val="hybridMultilevel"/>
    <w:lvl w:ilvl="0">
      <w:lvlJc w:val="left"/>
      <w:lvlText w:val="(%1)"/>
      <w:numFmt w:val="lowerLetter"/>
      <w:start w:val="3"/>
    </w:lvl>
  </w:abstractNum>
  <w:abstractNum w:abstractNumId="313">
    <w:nsid w:val="379A5B56"/>
    <w:multiLevelType w:val="hybridMultilevel"/>
    <w:lvl w:ilvl="0">
      <w:lvlJc w:val="left"/>
      <w:lvlText w:val="(%1)"/>
      <w:numFmt w:val="lowerLetter"/>
      <w:start w:val="2"/>
    </w:lvl>
  </w:abstractNum>
  <w:abstractNum w:abstractNumId="314">
    <w:nsid w:val="53B735D5"/>
    <w:multiLevelType w:val="hybridMultilevel"/>
    <w:lvl w:ilvl="0">
      <w:lvlJc w:val="left"/>
      <w:lvlText w:val="(%1)"/>
      <w:numFmt w:val="lowerLetter"/>
      <w:start w:val="4"/>
    </w:lvl>
  </w:abstractNum>
  <w:abstractNum w:abstractNumId="315">
    <w:nsid w:val="29784870"/>
    <w:multiLevelType w:val="hybridMultilevel"/>
    <w:lvl w:ilvl="0">
      <w:lvlJc w:val="left"/>
      <w:lvlText w:val="(%1)"/>
      <w:numFmt w:val="lowerLetter"/>
      <w:start w:val="2"/>
    </w:lvl>
  </w:abstractNum>
  <w:abstractNum w:abstractNumId="316">
    <w:nsid w:val="4CDCED4C"/>
    <w:multiLevelType w:val="hybridMultilevel"/>
    <w:lvl w:ilvl="0">
      <w:lvlJc w:val="left"/>
      <w:lvlText w:val="(%1)"/>
      <w:numFmt w:val="lowerLetter"/>
      <w:start w:val="5"/>
    </w:lvl>
  </w:abstractNum>
  <w:abstractNum w:abstractNumId="317">
    <w:nsid w:val="10A30D9C"/>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318">
    <w:nsid w:val="A66E486"/>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319">
    <w:nsid w:val="306235EA"/>
    <w:multiLevelType w:val="hybridMultilevel"/>
    <w:lvl w:ilvl="0">
      <w:lvlJc w:val="left"/>
      <w:lvlText w:val="%1"/>
      <w:numFmt w:val="lowerLetter"/>
      <w:start w:val="1"/>
    </w:lvl>
    <w:lvl w:ilvl="1">
      <w:lvlJc w:val="left"/>
      <w:lvlText w:val="(%2)"/>
      <w:numFmt w:val="lowerRoman"/>
      <w:start w:val="6"/>
    </w:lvl>
  </w:abstractNum>
  <w:abstractNum w:abstractNumId="320">
    <w:nsid w:val="1187C70F"/>
    <w:multiLevelType w:val="hybridMultilevel"/>
    <w:lvl w:ilvl="0">
      <w:lvlJc w:val="left"/>
      <w:lvlText w:val="(%1)"/>
      <w:numFmt w:val="lowerLetter"/>
      <w:start w:val="7"/>
    </w:lvl>
    <w:lvl w:ilvl="1">
      <w:lvlJc w:val="left"/>
      <w:lvlText w:val="%2"/>
      <w:numFmt w:val="lowerRoman"/>
      <w:start w:val="1"/>
    </w:lvl>
  </w:abstractNum>
  <w:abstractNum w:abstractNumId="321">
    <w:nsid w:val="5476DE98"/>
    <w:multiLevelType w:val="hybridMultilevel"/>
    <w:lvl w:ilvl="0">
      <w:lvlJc w:val="left"/>
      <w:lvlText w:val="(%1)"/>
      <w:numFmt w:val="lowerLetter"/>
      <w:start w:val="1"/>
    </w:lvl>
  </w:abstractNum>
  <w:abstractNum w:abstractNumId="322">
    <w:nsid w:val="EA697F2"/>
    <w:multiLevelType w:val="hybridMultilevel"/>
    <w:lvl w:ilvl="0">
      <w:lvlJc w:val="left"/>
      <w:lvlText w:val="(%1)"/>
      <w:numFmt w:val="lowerRoman"/>
      <w:start w:val="1"/>
    </w:lvl>
    <w:lvl w:ilvl="1">
      <w:lvlJc w:val="left"/>
      <w:lvlText w:val="(%2)"/>
      <w:numFmt w:val="lowerRoman"/>
      <w:start w:val="1"/>
    </w:lvl>
  </w:abstractNum>
  <w:abstractNum w:abstractNumId="323">
    <w:nsid w:val="70BA39EB"/>
    <w:multiLevelType w:val="hybridMultilevel"/>
    <w:lvl w:ilvl="0">
      <w:lvlJc w:val="left"/>
      <w:lvlText w:val="(%1)"/>
      <w:numFmt w:val="lowerRoman"/>
      <w:start w:val="2"/>
    </w:lvl>
  </w:abstractNum>
  <w:abstractNum w:abstractNumId="324">
    <w:nsid w:val="4A8DB59C"/>
    <w:multiLevelType w:val="hybridMultilevel"/>
    <w:lvl w:ilvl="0">
      <w:lvlJc w:val="left"/>
      <w:lvlText w:val="(%1)"/>
      <w:numFmt w:val="lowerRoman"/>
      <w:start w:val="2"/>
    </w:lvl>
  </w:abstractNum>
  <w:abstractNum w:abstractNumId="325">
    <w:nsid w:val="1AFD9053"/>
    <w:multiLevelType w:val="hybridMultilevel"/>
    <w:lvl w:ilvl="0">
      <w:lvlJc w:val="left"/>
      <w:lvlText w:val="(%1)"/>
      <w:numFmt w:val="lowerRoman"/>
      <w:start w:val="1"/>
    </w:lvl>
  </w:abstractNum>
  <w:abstractNum w:abstractNumId="326">
    <w:nsid w:val="558BB10D"/>
    <w:multiLevelType w:val="hybridMultilevel"/>
    <w:lvl w:ilvl="0">
      <w:lvlJc w:val="left"/>
      <w:lvlText w:val="(%1)"/>
      <w:numFmt w:val="lowerLetter"/>
      <w:start w:val="1"/>
    </w:lvl>
  </w:abstractNum>
  <w:abstractNum w:abstractNumId="327">
    <w:nsid w:val="43B27FA7"/>
    <w:multiLevelType w:val="hybridMultilevel"/>
    <w:lvl w:ilvl="0">
      <w:lvlJc w:val="left"/>
      <w:lvlText w:val="*"/>
      <w:numFmt w:val="bullet"/>
      <w:start w:val="1"/>
    </w:lvl>
    <w:lvl w:ilvl="1">
      <w:lvlJc w:val="left"/>
      <w:lvlText w:val="(%2)"/>
      <w:numFmt w:val="lowerRoman"/>
      <w:start w:val="2"/>
    </w:lvl>
  </w:abstractNum>
  <w:abstractNum w:abstractNumId="328">
    <w:nsid w:val="27FADEFA"/>
    <w:multiLevelType w:val="hybridMultilevel"/>
    <w:lvl w:ilvl="0">
      <w:lvlJc w:val="left"/>
      <w:lvlText w:val="(%1)"/>
      <w:numFmt w:val="lowerRoman"/>
      <w:start w:val="3"/>
    </w:lvl>
  </w:abstractNum>
  <w:abstractNum w:abstractNumId="329">
    <w:nsid w:val="78BB805A"/>
    <w:multiLevelType w:val="hybridMultilevel"/>
    <w:lvl w:ilvl="0">
      <w:lvlJc w:val="left"/>
      <w:lvlText w:val="(%1)"/>
      <w:numFmt w:val="lowerLetter"/>
      <w:start w:val="2"/>
    </w:lvl>
  </w:abstractNum>
  <w:abstractNum w:abstractNumId="330">
    <w:nsid w:val="62548FD8"/>
    <w:multiLevelType w:val="hybridMultilevel"/>
    <w:lvl w:ilvl="0">
      <w:lvlJc w:val="left"/>
      <w:lvlText w:val="4"/>
      <w:numFmt w:val="bullet"/>
      <w:start w:val="1"/>
    </w:lvl>
  </w:abstractNum>
  <w:abstractNum w:abstractNumId="331">
    <w:nsid w:val="FA085B0"/>
    <w:multiLevelType w:val="hybridMultilevel"/>
    <w:lvl w:ilvl="0">
      <w:lvlJc w:val="left"/>
      <w:lvlText w:val="5"/>
      <w:numFmt w:val="bullet"/>
      <w:start w:val="1"/>
    </w:lvl>
  </w:abstractNum>
  <w:abstractNum w:abstractNumId="332">
    <w:nsid w:val="4E5DCB5"/>
    <w:multiLevelType w:val="hybridMultilevel"/>
    <w:lvl w:ilvl="0">
      <w:lvlJc w:val="left"/>
      <w:lvlText w:val="%1."/>
      <w:numFmt w:val="decimal"/>
      <w:start w:val="4"/>
    </w:lvl>
  </w:abstractNum>
  <w:abstractNum w:abstractNumId="333">
    <w:nsid w:val="41E96BDB"/>
    <w:multiLevelType w:val="hybridMultilevel"/>
    <w:lvl w:ilvl="0">
      <w:lvlJc w:val="left"/>
      <w:lvlText w:val="(%1)"/>
      <w:numFmt w:val="decimal"/>
      <w:start w:val="1"/>
    </w:lvl>
  </w:abstractNum>
  <w:abstractNum w:abstractNumId="334">
    <w:nsid w:val="331C4250"/>
    <w:multiLevelType w:val="hybridMultilevel"/>
    <w:lvl w:ilvl="0">
      <w:lvlJc w:val="left"/>
      <w:lvlText w:val="(%1)"/>
      <w:numFmt w:val="decimal"/>
      <w:start w:val="3"/>
    </w:lvl>
  </w:abstractNum>
  <w:abstractNum w:abstractNumId="335">
    <w:nsid w:val="1B1493C2"/>
    <w:multiLevelType w:val="hybridMultilevel"/>
    <w:lvl w:ilvl="0">
      <w:lvlJc w:val="left"/>
      <w:lvlText w:val="(%1)"/>
      <w:numFmt w:val="lowerLetter"/>
      <w:start w:val="4"/>
    </w:lvl>
  </w:abstractNum>
  <w:abstractNum w:abstractNumId="336">
    <w:nsid w:val="39F06DFD"/>
    <w:multiLevelType w:val="hybridMultilevel"/>
    <w:lvl w:ilvl="0">
      <w:lvlJc w:val="left"/>
      <w:lvlText w:val="(%1)"/>
      <w:numFmt w:val="lowerLetter"/>
      <w:start w:val="1"/>
    </w:lvl>
  </w:abstractNum>
  <w:abstractNum w:abstractNumId="337">
    <w:nsid w:val="14802F5D"/>
    <w:multiLevelType w:val="hybridMultilevel"/>
    <w:lvl w:ilvl="0">
      <w:lvlJc w:val="left"/>
      <w:lvlText w:val="(%1)"/>
      <w:numFmt w:val="lowerLetter"/>
      <w:start w:val="1"/>
    </w:lvl>
  </w:abstractNum>
  <w:abstractNum w:abstractNumId="338">
    <w:nsid w:val="2774A209"/>
    <w:multiLevelType w:val="hybridMultilevel"/>
    <w:lvl w:ilvl="0">
      <w:lvlJc w:val="left"/>
      <w:lvlText w:val="(%1)"/>
      <w:numFmt w:val="lowerLetter"/>
      <w:start w:val="1"/>
    </w:lvl>
  </w:abstractNum>
  <w:abstractNum w:abstractNumId="339">
    <w:nsid w:val="3785655A"/>
    <w:multiLevelType w:val="hybridMultilevel"/>
    <w:lvl w:ilvl="0">
      <w:lvlJc w:val="left"/>
      <w:lvlText w:val="(%1)"/>
      <w:numFmt w:val="lowerLetter"/>
      <w:start w:val="1"/>
    </w:lvl>
  </w:abstractNum>
  <w:abstractNum w:abstractNumId="340">
    <w:nsid w:val="B2172A"/>
    <w:multiLevelType w:val="hybridMultilevel"/>
    <w:lvl w:ilvl="0">
      <w:lvlJc w:val="left"/>
      <w:lvlText w:val="(%1)"/>
      <w:numFmt w:val="lowerLetter"/>
      <w:start w:val="3"/>
    </w:lvl>
  </w:abstractNum>
  <w:abstractNum w:abstractNumId="341">
    <w:nsid w:val="532C34A5"/>
    <w:multiLevelType w:val="hybridMultilevel"/>
    <w:lvl w:ilvl="0">
      <w:lvlJc w:val="left"/>
      <w:lvlText w:val="(%1)"/>
      <w:numFmt w:val="lowerLetter"/>
      <w:start w:val="1"/>
    </w:lvl>
    <w:lvl w:ilvl="1">
      <w:lvlJc w:val="left"/>
      <w:lvlText w:val="(%2)"/>
      <w:numFmt w:val="lowerRoman"/>
      <w:start w:val="1"/>
    </w:lvl>
  </w:abstractNum>
  <w:abstractNum w:abstractNumId="342">
    <w:nsid w:val="102809E2"/>
    <w:multiLevelType w:val="hybridMultilevel"/>
    <w:lvl w:ilvl="0">
      <w:lvlJc w:val="left"/>
      <w:lvlText w:val="(%1)"/>
      <w:numFmt w:val="lowerLetter"/>
      <w:start w:val="1"/>
    </w:lvl>
  </w:abstractNum>
  <w:abstractNum w:abstractNumId="343">
    <w:nsid w:val="3B2125A3"/>
    <w:multiLevelType w:val="hybridMultilevel"/>
    <w:lvl w:ilvl="0">
      <w:lvlJc w:val="left"/>
      <w:lvlText w:val="(%1)"/>
      <w:numFmt w:val="lowerLetter"/>
      <w:start w:val="1"/>
    </w:lvl>
  </w:abstractNum>
  <w:abstractNum w:abstractNumId="344">
    <w:nsid w:val="AC68FFB"/>
    <w:multiLevelType w:val="hybridMultilevel"/>
    <w:lvl w:ilvl="0">
      <w:lvlJc w:val="left"/>
      <w:lvlText w:val="(%1)"/>
      <w:numFmt w:val="lowerLetter"/>
      <w:start w:val="2"/>
    </w:lvl>
  </w:abstractNum>
  <w:abstractNum w:abstractNumId="345">
    <w:nsid w:val="63DF3FB7"/>
    <w:multiLevelType w:val="hybridMultilevel"/>
    <w:lvl w:ilvl="0">
      <w:lvlJc w:val="left"/>
      <w:lvlText w:val="(%1)"/>
      <w:numFmt w:val="lowerLetter"/>
      <w:start w:val="1"/>
    </w:lvl>
  </w:abstractNum>
  <w:abstractNum w:abstractNumId="346">
    <w:nsid w:val="64996E13"/>
    <w:multiLevelType w:val="hybridMultilevel"/>
    <w:lvl w:ilvl="0">
      <w:lvlJc w:val="left"/>
      <w:lvlText w:val="(%1)"/>
      <w:numFmt w:val="lowerRoman"/>
      <w:start w:val="1"/>
    </w:lvl>
  </w:abstractNum>
  <w:abstractNum w:abstractNumId="347">
    <w:nsid w:val="57A37D47"/>
    <w:multiLevelType w:val="hybridMultilevel"/>
    <w:lvl w:ilvl="0">
      <w:lvlJc w:val="left"/>
      <w:lvlText w:val="(%1)"/>
      <w:numFmt w:val="lowerRoman"/>
      <w:start w:val="1"/>
    </w:lvl>
  </w:abstractNum>
  <w:abstractNum w:abstractNumId="348">
    <w:nsid w:val="74824D54"/>
    <w:multiLevelType w:val="hybridMultilevel"/>
    <w:lvl w:ilvl="0">
      <w:lvlJc w:val="left"/>
      <w:lvlText w:val="(%1)"/>
      <w:numFmt w:val="lowerLetter"/>
      <w:start w:val="1"/>
    </w:lvl>
  </w:abstractNum>
  <w:abstractNum w:abstractNumId="349">
    <w:nsid w:val="6F00529A"/>
    <w:multiLevelType w:val="hybridMultilevel"/>
    <w:lvl w:ilvl="0">
      <w:lvlJc w:val="left"/>
      <w:lvlText w:val="(%1)"/>
      <w:numFmt w:val="lowerLetter"/>
      <w:start w:val="4"/>
    </w:lvl>
  </w:abstractNum>
  <w:abstractNum w:abstractNumId="350">
    <w:nsid w:val="805B331"/>
    <w:multiLevelType w:val="hybridMultilevel"/>
    <w:lvl w:ilvl="0">
      <w:lvlJc w:val="left"/>
      <w:lvlText w:val="(%1)"/>
      <w:numFmt w:val="lowerLetter"/>
      <w:start w:val="8"/>
    </w:lvl>
  </w:abstractNum>
  <w:abstractNum w:abstractNumId="351">
    <w:nsid w:val="60A1463"/>
    <w:multiLevelType w:val="hybridMultilevel"/>
    <w:lvl w:ilvl="0">
      <w:lvlJc w:val="left"/>
      <w:lvlText w:val="(%1)"/>
      <w:numFmt w:val="lowerLetter"/>
      <w:start w:val="12"/>
    </w:lvl>
  </w:abstractNum>
  <w:abstractNum w:abstractNumId="352">
    <w:nsid w:val="43773132"/>
    <w:multiLevelType w:val="hybridMultilevel"/>
    <w:lvl w:ilvl="0">
      <w:lvlJc w:val="left"/>
      <w:lvlText w:val="(%1)"/>
      <w:numFmt w:val="lowerLetter"/>
      <w:start w:val="19"/>
    </w:lvl>
  </w:abstractNum>
  <w:abstractNum w:abstractNumId="353">
    <w:nsid w:val="16AC4B23"/>
    <w:multiLevelType w:val="hybridMultilevel"/>
    <w:lvl w:ilvl="0">
      <w:lvlJc w:val="left"/>
      <w:lvlText w:val="(%1)"/>
      <w:numFmt w:val="lowerLetter"/>
      <w:start w:val="1"/>
    </w:lvl>
  </w:abstractNum>
  <w:abstractNum w:abstractNumId="354">
    <w:nsid w:val="76C44E4E"/>
    <w:multiLevelType w:val="hybridMultilevel"/>
    <w:lvl w:ilvl="0">
      <w:lvlJc w:val="left"/>
      <w:lvlText w:val="(%1)"/>
      <w:numFmt w:val="lowerRoman"/>
      <w:start w:val="1"/>
    </w:lvl>
  </w:abstractNum>
  <w:abstractNum w:abstractNumId="355">
    <w:nsid w:val="E04E6CE"/>
    <w:multiLevelType w:val="hybridMultilevel"/>
    <w:lvl w:ilvl="0">
      <w:lvlJc w:val="left"/>
      <w:lvlText w:val="(%1)"/>
      <w:numFmt w:val="lowerRoman"/>
      <w:start w:val="3"/>
    </w:lvl>
  </w:abstractNum>
  <w:abstractNum w:abstractNumId="356">
    <w:nsid w:val="31A9DB76"/>
    <w:multiLevelType w:val="hybridMultilevel"/>
    <w:lvl w:ilvl="0">
      <w:lvlJc w:val="left"/>
      <w:lvlText w:val="(%1)"/>
      <w:numFmt w:val="lowerLetter"/>
      <w:start w:val="2"/>
    </w:lvl>
  </w:abstractNum>
  <w:abstractNum w:abstractNumId="357">
    <w:nsid w:val="4C4FFF5B"/>
    <w:multiLevelType w:val="hybridMultilevel"/>
    <w:lvl w:ilvl="0">
      <w:lvlJc w:val="left"/>
      <w:lvlText w:val="(%1)"/>
      <w:numFmt w:val="lowerLetter"/>
      <w:start w:val="1"/>
    </w:lvl>
  </w:abstractNum>
  <w:abstractNum w:abstractNumId="358">
    <w:nsid w:val="51B76675"/>
    <w:multiLevelType w:val="hybridMultilevel"/>
    <w:lvl w:ilvl="0">
      <w:lvlJc w:val="left"/>
      <w:lvlText w:val="(%1)"/>
      <w:numFmt w:val="lowerRoman"/>
      <w:start w:val="1"/>
    </w:lvl>
  </w:abstractNum>
  <w:abstractNum w:abstractNumId="359">
    <w:nsid w:val="59A4BA71"/>
    <w:multiLevelType w:val="hybridMultilevel"/>
    <w:lvl w:ilvl="0">
      <w:lvlJc w:val="left"/>
      <w:lvlText w:val="(%1)"/>
      <w:numFmt w:val="lowerLetter"/>
      <w:start w:val="4"/>
    </w:lvl>
  </w:abstractNum>
  <w:abstractNum w:abstractNumId="360">
    <w:nsid w:val="450B7FB6"/>
    <w:multiLevelType w:val="hybridMultilevel"/>
    <w:lvl w:ilvl="0">
      <w:lvlJc w:val="left"/>
      <w:lvlText w:val="(%1)"/>
      <w:numFmt w:val="lowerLetter"/>
      <w:start w:val="5"/>
    </w:lvl>
  </w:abstractNum>
  <w:abstractNum w:abstractNumId="361">
    <w:nsid w:val="340BF64D"/>
    <w:multiLevelType w:val="hybridMultilevel"/>
    <w:lvl w:ilvl="0">
      <w:lvlJc w:val="left"/>
      <w:lvlText w:val="(%1)"/>
      <w:numFmt w:val="lowerLetter"/>
      <w:start w:val="1"/>
    </w:lvl>
  </w:abstractNum>
  <w:abstractNum w:abstractNumId="362">
    <w:nsid w:val="69454021"/>
    <w:multiLevelType w:val="hybridMultilevel"/>
    <w:lvl w:ilvl="0">
      <w:lvlJc w:val="left"/>
      <w:lvlText w:val="(%1)"/>
      <w:numFmt w:val="lowerLetter"/>
      <w:start w:val="1"/>
    </w:lvl>
  </w:abstractNum>
  <w:abstractNum w:abstractNumId="363">
    <w:nsid w:val="49F15C6B"/>
    <w:multiLevelType w:val="hybridMultilevel"/>
    <w:lvl w:ilvl="0">
      <w:lvlJc w:val="left"/>
      <w:lvlText w:val="(%1)"/>
      <w:numFmt w:val="lowerLetter"/>
      <w:start w:val="2"/>
    </w:lvl>
  </w:abstractNum>
  <w:abstractNum w:abstractNumId="364">
    <w:nsid w:val="75F56228"/>
    <w:multiLevelType w:val="hybridMultilevel"/>
    <w:lvl w:ilvl="0">
      <w:lvlJc w:val="left"/>
      <w:lvlText w:val="(%1)"/>
      <w:numFmt w:val="lowerLetter"/>
      <w:start w:val="1"/>
    </w:lvl>
  </w:abstractNum>
  <w:abstractNum w:abstractNumId="365">
    <w:nsid w:val="1C618271"/>
    <w:multiLevelType w:val="hybridMultilevel"/>
    <w:lvl w:ilvl="0">
      <w:lvlJc w:val="left"/>
      <w:lvlText w:val="%1"/>
      <w:numFmt w:val="lowerLetter"/>
      <w:start w:val="1"/>
    </w:lvl>
    <w:lvl w:ilvl="1">
      <w:lvlJc w:val="left"/>
      <w:lvlText w:val="(%2)"/>
      <w:numFmt w:val="lowerLetter"/>
      <w:start w:val="1"/>
    </w:lvl>
  </w:abstractNum>
  <w:abstractNum w:abstractNumId="366">
    <w:nsid w:val="6505F02E"/>
    <w:multiLevelType w:val="hybridMultilevel"/>
    <w:lvl w:ilvl="0">
      <w:lvlJc w:val="left"/>
      <w:lvlText w:val="(%1)"/>
      <w:numFmt w:val="lowerLetter"/>
      <w:start w:val="25"/>
    </w:lvl>
    <w:lvl w:ilvl="1">
      <w:lvlJc w:val="left"/>
      <w:lvlText w:val="%2"/>
      <w:numFmt w:val="lowerLetter"/>
      <w:start w:val="1"/>
    </w:lvl>
  </w:abstractNum>
  <w:abstractNum w:abstractNumId="367">
    <w:nsid w:val="2FE5D025"/>
    <w:multiLevelType w:val="hybridMultilevel"/>
    <w:lvl w:ilvl="0">
      <w:lvlJc w:val="left"/>
      <w:lvlText w:val="%1"/>
      <w:numFmt w:val="lowerLetter"/>
      <w:start w:val="1"/>
    </w:lvl>
    <w:lvl w:ilvl="1">
      <w:lvlJc w:val="left"/>
      <w:lvlText w:val="(%2)"/>
      <w:numFmt w:val="lowerLetter"/>
      <w:start w:val="4"/>
    </w:lvl>
  </w:abstractNum>
  <w:abstractNum w:abstractNumId="368">
    <w:nsid w:val="30E1B1CF"/>
    <w:multiLevelType w:val="hybridMultilevel"/>
    <w:lvl w:ilvl="0">
      <w:lvlJc w:val="left"/>
      <w:lvlText w:val="(%1)"/>
      <w:numFmt w:val="lowerLetter"/>
      <w:start w:val="24"/>
    </w:lvl>
    <w:lvl w:ilvl="1">
      <w:lvlJc w:val="left"/>
      <w:lvlText w:val="(%2)"/>
      <w:numFmt w:val="lowerLetter"/>
      <w:start w:val="6"/>
    </w:lvl>
  </w:abstractNum>
  <w:abstractNum w:abstractNumId="369">
    <w:nsid w:val="C7A9237"/>
    <w:multiLevelType w:val="hybridMultilevel"/>
    <w:lvl w:ilvl="0">
      <w:lvlJc w:val="left"/>
      <w:lvlText w:val="(%1)"/>
      <w:numFmt w:val="lowerLetter"/>
      <w:start w:val="1"/>
    </w:lvl>
  </w:abstractNum>
  <w:abstractNum w:abstractNumId="370">
    <w:nsid w:val="676B3580"/>
    <w:multiLevelType w:val="hybridMultilevel"/>
    <w:lvl w:ilvl="0">
      <w:lvlJc w:val="left"/>
      <w:lvlText w:val="(%1)"/>
      <w:numFmt w:val="lowerLetter"/>
      <w:start w:val="2"/>
    </w:lvl>
  </w:abstractNum>
  <w:abstractNum w:abstractNumId="371">
    <w:nsid w:val="3193C8F9"/>
    <w:multiLevelType w:val="hybridMultilevel"/>
    <w:lvl w:ilvl="0">
      <w:lvlJc w:val="left"/>
      <w:lvlText w:val="(%1)"/>
      <w:numFmt w:val="decimal"/>
      <w:start w:val="1"/>
    </w:lvl>
  </w:abstractNum>
  <w:abstractNum w:abstractNumId="372">
    <w:nsid w:val="5FA6C6DC"/>
    <w:multiLevelType w:val="hybridMultilevel"/>
    <w:lvl w:ilvl="0">
      <w:lvlJc w:val="left"/>
      <w:lvlText w:val="(%1)"/>
      <w:numFmt w:val="lowerLetter"/>
      <w:start w:val="1"/>
    </w:lvl>
  </w:abstractNum>
  <w:abstractNum w:abstractNumId="373">
    <w:nsid w:val="77933F62"/>
    <w:multiLevelType w:val="hybridMultilevel"/>
    <w:lvl w:ilvl="0">
      <w:lvlJc w:val="left"/>
      <w:lvlText w:val="(%1)"/>
      <w:numFmt w:val="lowerLetter"/>
      <w:start w:val="2"/>
    </w:lvl>
  </w:abstractNum>
  <w:abstractNum w:abstractNumId="374">
    <w:nsid w:val="6CB4EE9C"/>
    <w:multiLevelType w:val="hybridMultilevel"/>
    <w:lvl w:ilvl="0">
      <w:lvlJc w:val="left"/>
      <w:lvlText w:val="(%1)"/>
      <w:numFmt w:val="lowerLetter"/>
      <w:start w:val="1"/>
    </w:lvl>
  </w:abstractNum>
  <w:abstractNum w:abstractNumId="375">
    <w:nsid w:val="6A6D56D7"/>
    <w:multiLevelType w:val="hybridMultilevel"/>
    <w:lvl w:ilvl="0">
      <w:lvlJc w:val="left"/>
      <w:lvlText w:val="(%1)"/>
      <w:numFmt w:val="lowerLetter"/>
      <w:start w:val="1"/>
    </w:lvl>
  </w:abstractNum>
  <w:abstractNum w:abstractNumId="376">
    <w:nsid w:val="5B727F19"/>
    <w:multiLevelType w:val="hybridMultilevel"/>
    <w:lvl w:ilvl="0">
      <w:lvlJc w:val="left"/>
      <w:lvlText w:val="(%1)"/>
      <w:numFmt w:val="lowerLetter"/>
      <w:start w:val="2"/>
    </w:lvl>
  </w:abstractNum>
  <w:abstractNum w:abstractNumId="377">
    <w:nsid w:val="514E5CB0"/>
    <w:multiLevelType w:val="hybridMultilevel"/>
    <w:lvl w:ilvl="0">
      <w:lvlJc w:val="left"/>
      <w:lvlText w:val="(%1)"/>
      <w:numFmt w:val="lowerLetter"/>
      <w:start w:val="1"/>
    </w:lvl>
  </w:abstractNum>
  <w:abstractNum w:abstractNumId="378">
    <w:nsid w:val="4210D41E"/>
    <w:multiLevelType w:val="hybridMultilevel"/>
    <w:lvl w:ilvl="0">
      <w:lvlJc w:val="left"/>
      <w:lvlText w:val="(%1)"/>
      <w:numFmt w:val="lowerLetter"/>
      <w:start w:val="3"/>
    </w:lvl>
  </w:abstractNum>
  <w:abstractNum w:abstractNumId="379">
    <w:nsid w:val="4FF4CC6D"/>
    <w:multiLevelType w:val="hybridMultilevel"/>
    <w:lvl w:ilvl="0">
      <w:lvlJc w:val="left"/>
      <w:lvlText w:val="(%1)"/>
      <w:numFmt w:val="lowerLetter"/>
      <w:start w:val="1"/>
    </w:lvl>
  </w:abstractNum>
  <w:abstractNum w:abstractNumId="380">
    <w:nsid w:val="404EAF4A"/>
    <w:multiLevelType w:val="hybridMultilevel"/>
    <w:lvl w:ilvl="0">
      <w:lvlJc w:val="left"/>
      <w:lvlText w:val="(%1)"/>
      <w:numFmt w:val="lowerLetter"/>
      <w:start w:val="2"/>
    </w:lvl>
  </w:abstractNum>
  <w:abstractNum w:abstractNumId="381">
    <w:nsid w:val="4A16874F"/>
    <w:multiLevelType w:val="hybridMultilevel"/>
    <w:lvl w:ilvl="0">
      <w:lvlJc w:val="left"/>
      <w:lvlText w:val="(%1)"/>
      <w:numFmt w:val="lowerRoman"/>
      <w:start w:val="1"/>
    </w:lvl>
  </w:abstractNum>
  <w:abstractNum w:abstractNumId="382">
    <w:nsid w:val="55FEE0D1"/>
    <w:multiLevelType w:val="hybridMultilevel"/>
    <w:lvl w:ilvl="0">
      <w:lvlJc w:val="left"/>
      <w:lvlText w:val="(%1)"/>
      <w:numFmt w:val="upperLetter"/>
      <w:start w:val="2"/>
    </w:lvl>
  </w:abstractNum>
  <w:abstractNum w:abstractNumId="383">
    <w:nsid w:val="3C5E07C"/>
    <w:multiLevelType w:val="hybridMultilevel"/>
    <w:lvl w:ilvl="0">
      <w:lvlJc w:val="left"/>
      <w:lvlText w:val="(%1)"/>
      <w:numFmt w:val="lowerLetter"/>
      <w:start w:val="2"/>
    </w:lvl>
  </w:abstractNum>
  <w:abstractNum w:abstractNumId="384">
    <w:nsid w:val="60C2D273"/>
    <w:multiLevelType w:val="hybridMultilevel"/>
    <w:lvl w:ilvl="0">
      <w:lvlJc w:val="left"/>
      <w:lvlText w:val="(%1)"/>
      <w:numFmt w:val="lowerLetter"/>
      <w:start w:val="2"/>
    </w:lvl>
  </w:abstractNum>
  <w:abstractNum w:abstractNumId="385">
    <w:nsid w:val="4CC32F1F"/>
    <w:multiLevelType w:val="hybridMultilevel"/>
    <w:lvl w:ilvl="0">
      <w:lvlJc w:val="left"/>
      <w:lvlText w:val="(%1)"/>
      <w:numFmt w:val="lowerRoman"/>
      <w:start w:val="1"/>
    </w:lvl>
  </w:abstractNum>
  <w:abstractNum w:abstractNumId="386">
    <w:nsid w:val="11CAC74A"/>
    <w:multiLevelType w:val="hybridMultilevel"/>
    <w:lvl w:ilvl="0">
      <w:lvlJc w:val="left"/>
      <w:lvlText w:val="%1"/>
      <w:numFmt w:val="lowerLetter"/>
      <w:start w:val="1"/>
    </w:lvl>
    <w:lvl w:ilvl="1">
      <w:lvlJc w:val="left"/>
      <w:lvlText w:val="(%2)"/>
      <w:numFmt w:val="lowerRoman"/>
      <w:start w:val="5"/>
    </w:lvl>
  </w:abstractNum>
  <w:abstractNum w:abstractNumId="387">
    <w:nsid w:val="126CADE9"/>
    <w:multiLevelType w:val="hybridMultilevel"/>
    <w:lvl w:ilvl="0">
      <w:lvlJc w:val="left"/>
      <w:lvlText w:val="(%1)"/>
      <w:numFmt w:val="lowerLetter"/>
      <w:start w:val="2"/>
    </w:lvl>
    <w:lvl w:ilvl="1">
      <w:lvlJc w:val="left"/>
      <w:lvlText w:val="(%2)"/>
      <w:numFmt w:val="lowerRoman"/>
      <w:start w:val="1"/>
    </w:lvl>
  </w:abstractNum>
  <w:abstractNum w:abstractNumId="388">
    <w:nsid w:val="19132E7B"/>
    <w:multiLevelType w:val="hybridMultilevel"/>
    <w:lvl w:ilvl="0">
      <w:lvlJc w:val="left"/>
      <w:lvlText w:val="(%1)"/>
      <w:numFmt w:val="lowerRoman"/>
      <w:start w:val="4"/>
    </w:lvl>
  </w:abstractNum>
  <w:abstractNum w:abstractNumId="389">
    <w:nsid w:val="63822DC0"/>
    <w:multiLevelType w:val="hybridMultilevel"/>
    <w:lvl w:ilvl="0">
      <w:lvlJc w:val="left"/>
      <w:lvlText w:val="(%1)"/>
      <w:numFmt w:val="lowerLetter"/>
      <w:start w:val="2"/>
    </w:lvl>
    <w:lvl w:ilvl="1">
      <w:lvlJc w:val="left"/>
      <w:lvlText w:val="(%2)"/>
      <w:numFmt w:val="lowerRoman"/>
      <w:start w:val="1"/>
    </w:lvl>
  </w:abstractNum>
  <w:abstractNum w:abstractNumId="390">
    <w:nsid w:val="6C11685A"/>
    <w:multiLevelType w:val="hybridMultilevel"/>
    <w:lvl w:ilvl="0">
      <w:lvlJc w:val="left"/>
      <w:lvlText w:val="(%1)"/>
      <w:numFmt w:val="lowerRoman"/>
      <w:start w:val="6"/>
    </w:lvl>
  </w:abstractNum>
  <w:abstractNum w:abstractNumId="391">
    <w:nsid w:val="5E1EAE31"/>
    <w:multiLevelType w:val="hybridMultilevel"/>
    <w:lvl w:ilvl="0">
      <w:lvlJc w:val="left"/>
      <w:lvlText w:val="(%1)"/>
      <w:numFmt w:val="lowerRoman"/>
      <w:start w:val="11"/>
    </w:lvl>
  </w:abstractNum>
  <w:abstractNum w:abstractNumId="392">
    <w:nsid w:val="178E240D"/>
    <w:multiLevelType w:val="hybridMultilevel"/>
    <w:lvl w:ilvl="0">
      <w:lvlJc w:val="left"/>
      <w:lvlText w:val="(%1)"/>
      <w:numFmt w:val="lowerLetter"/>
      <w:start w:val="3"/>
    </w:lvl>
  </w:abstractNum>
  <w:abstractNum w:abstractNumId="393">
    <w:nsid w:val="5556A87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94">
    <w:nsid w:val="28100A9C"/>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395">
    <w:nsid w:val="D838636"/>
    <w:multiLevelType w:val="hybridMultilevel"/>
    <w:lvl w:ilvl="0">
      <w:lvlJc w:val="left"/>
      <w:lvlText w:val="(%1)"/>
      <w:numFmt w:val="lowerLetter"/>
      <w:start w:val="3"/>
    </w:lvl>
  </w:abstractNum>
  <w:abstractNum w:abstractNumId="396">
    <w:nsid w:val="71B82AED"/>
    <w:multiLevelType w:val="hybridMultilevel"/>
    <w:lvl w:ilvl="0">
      <w:lvlJc w:val="left"/>
      <w:lvlText w:val="(%1)"/>
      <w:numFmt w:val="lowerLetter"/>
      <w:start w:val="2"/>
    </w:lvl>
  </w:abstractNum>
  <w:abstractNum w:abstractNumId="397">
    <w:nsid w:val="D15FACA"/>
    <w:multiLevelType w:val="hybridMultilevel"/>
    <w:lvl w:ilvl="0">
      <w:lvlJc w:val="left"/>
      <w:lvlText w:val="%1"/>
      <w:numFmt w:val="decimal"/>
      <w:start w:val="1"/>
    </w:lvl>
    <w:lvl w:ilvl="1">
      <w:lvlJc w:val="left"/>
      <w:lvlText w:val="(%2)"/>
      <w:numFmt w:val="lowerLetter"/>
      <w:start w:val="3"/>
    </w:lvl>
  </w:abstractNum>
  <w:abstractNum w:abstractNumId="398">
    <w:nsid w:val="3D69565B"/>
    <w:multiLevelType w:val="hybridMultilevel"/>
    <w:lvl w:ilvl="0">
      <w:lvlJc w:val="left"/>
      <w:lvlText w:val="(%1)"/>
      <w:numFmt w:val="decimal"/>
      <w:start w:val="10"/>
    </w:lvl>
    <w:lvl w:ilvl="1">
      <w:lvlJc w:val="left"/>
      <w:lvlText w:val="%2"/>
      <w:numFmt w:val="lowerLetter"/>
      <w:start w:val="1"/>
    </w:lvl>
  </w:abstractNum>
  <w:abstractNum w:abstractNumId="399">
    <w:nsid w:val="2299DCBC"/>
    <w:multiLevelType w:val="hybridMultilevel"/>
    <w:lvl w:ilvl="0">
      <w:lvlJc w:val="left"/>
      <w:lvlText w:val="(%1)"/>
      <w:numFmt w:val="lowerLetter"/>
      <w:start w:val="1"/>
    </w:lvl>
  </w:abstractNum>
  <w:abstractNum w:abstractNumId="400">
    <w:nsid w:val="19908D02"/>
    <w:multiLevelType w:val="hybridMultilevel"/>
    <w:lvl w:ilvl="0">
      <w:lvlJc w:val="left"/>
      <w:lvlText w:val="(%1)"/>
      <w:numFmt w:val="lowerLetter"/>
      <w:start w:val="2"/>
    </w:lvl>
  </w:abstractNum>
  <w:abstractNum w:abstractNumId="401">
    <w:nsid w:val="24D48BDB"/>
    <w:multiLevelType w:val="hybridMultilevel"/>
    <w:lvl w:ilvl="0">
      <w:lvlJc w:val="left"/>
      <w:lvlText w:val="(%1)"/>
      <w:numFmt w:val="lowerLetter"/>
      <w:start w:val="2"/>
    </w:lvl>
    <w:lvl w:ilvl="1">
      <w:lvlJc w:val="left"/>
      <w:lvlText w:val="(%2)"/>
      <w:numFmt w:val="upperLetter"/>
      <w:start w:val="1"/>
    </w:lvl>
  </w:abstractNum>
  <w:abstractNum w:abstractNumId="402">
    <w:nsid w:val="542DA5B5"/>
    <w:multiLevelType w:val="hybridMultilevel"/>
    <w:lvl w:ilvl="0">
      <w:lvlJc w:val="left"/>
      <w:lvlText w:val="(%1)"/>
      <w:numFmt w:val="lowerLetter"/>
      <w:start w:val="4"/>
    </w:lvl>
  </w:abstractNum>
  <w:abstractNum w:abstractNumId="403">
    <w:nsid w:val="793753DE"/>
    <w:multiLevelType w:val="hybridMultilevel"/>
    <w:lvl w:ilvl="0">
      <w:lvlJc w:val="left"/>
      <w:lvlText w:val="(%1)"/>
      <w:numFmt w:val="lowerLetter"/>
      <w:start w:val="2"/>
    </w:lvl>
  </w:abstractNum>
  <w:abstractNum w:abstractNumId="404">
    <w:nsid w:val="1C67CB3D"/>
    <w:multiLevelType w:val="hybridMultilevel"/>
    <w:lvl w:ilvl="0">
      <w:lvlJc w:val="left"/>
      <w:lvlText w:val="(%1)"/>
      <w:numFmt w:val="lowerLetter"/>
      <w:start w:val="2"/>
    </w:lvl>
  </w:abstractNum>
  <w:abstractNum w:abstractNumId="405">
    <w:nsid w:val="40E29452"/>
    <w:multiLevelType w:val="hybridMultilevel"/>
    <w:lvl w:ilvl="0">
      <w:lvlJc w:val="left"/>
      <w:lvlText w:val="(%1)"/>
      <w:numFmt w:val="lowerLetter"/>
      <w:start w:val="4"/>
    </w:lvl>
  </w:abstractNum>
  <w:abstractNum w:abstractNumId="406">
    <w:nsid w:val="63A4AAB6"/>
    <w:multiLevelType w:val="hybridMultilevel"/>
    <w:lvl w:ilvl="0">
      <w:lvlJc w:val="left"/>
      <w:lvlText w:val="(%1)"/>
      <w:numFmt w:val="lowerLetter"/>
      <w:start w:val="2"/>
    </w:lvl>
  </w:abstractNum>
  <w:abstractNum w:abstractNumId="407">
    <w:nsid w:val="77DA4A57"/>
    <w:multiLevelType w:val="hybridMultilevel"/>
    <w:lvl w:ilvl="0">
      <w:lvlJc w:val="left"/>
      <w:lvlText w:val="(%1)"/>
      <w:numFmt w:val="lowerLetter"/>
      <w:start w:val="2"/>
    </w:lvl>
  </w:abstractNum>
  <w:abstractNum w:abstractNumId="408">
    <w:nsid w:val="1230F102"/>
    <w:multiLevelType w:val="hybridMultilevel"/>
    <w:lvl w:ilvl="0">
      <w:lvlJc w:val="left"/>
      <w:lvlText w:val="(%1)"/>
      <w:numFmt w:val="lowerLetter"/>
      <w:start w:val="3"/>
    </w:lvl>
  </w:abstractNum>
  <w:abstractNum w:abstractNumId="409">
    <w:nsid w:val="25B57ED4"/>
    <w:multiLevelType w:val="hybridMultilevel"/>
    <w:lvl w:ilvl="0">
      <w:lvlJc w:val="left"/>
      <w:lvlText w:val="(%1)"/>
      <w:numFmt w:val="lowerRoman"/>
      <w:start w:val="1"/>
    </w:lvl>
    <w:lvl w:ilvl="1">
      <w:lvlJc w:val="left"/>
      <w:lvlText w:val="(%2)"/>
      <w:numFmt w:val="upperLetter"/>
      <w:start w:val="2"/>
    </w:lvl>
  </w:abstractNum>
  <w:abstractNum w:abstractNumId="410">
    <w:nsid w:val="47CF16C4"/>
    <w:multiLevelType w:val="hybridMultilevel"/>
    <w:lvl w:ilvl="0">
      <w:lvlJc w:val="left"/>
      <w:lvlText w:val="%1"/>
      <w:numFmt w:val="lowerRoman"/>
      <w:start w:val="1"/>
    </w:lvl>
    <w:lvl w:ilvl="1">
      <w:lvlJc w:val="left"/>
      <w:lvlText w:val="(%2)"/>
      <w:numFmt w:val="upperLetter"/>
      <w:start w:val="3"/>
    </w:lvl>
  </w:abstractNum>
  <w:abstractNum w:abstractNumId="411">
    <w:nsid w:val="527FA04C"/>
    <w:multiLevelType w:val="hybridMultilevel"/>
    <w:lvl w:ilvl="0">
      <w:lvlJc w:val="left"/>
      <w:lvlText w:val="(%1)"/>
      <w:numFmt w:val="lowerRoman"/>
      <w:start w:val="4"/>
    </w:lvl>
    <w:lvl w:ilvl="1">
      <w:lvlJc w:val="left"/>
      <w:lvlText w:val="%2"/>
      <w:numFmt w:val="upperLetter"/>
      <w:start w:val="1"/>
    </w:lvl>
  </w:abstractNum>
  <w:abstractNum w:abstractNumId="412">
    <w:nsid w:val="6FCC0624"/>
    <w:multiLevelType w:val="hybridMultilevel"/>
    <w:lvl w:ilvl="0">
      <w:lvlJc w:val="left"/>
      <w:lvlText w:val="(%1)"/>
      <w:numFmt w:val="lowerLetter"/>
      <w:start w:val="2"/>
    </w:lvl>
  </w:abstractNum>
  <w:abstractNum w:abstractNumId="413">
    <w:nsid w:val="1DCDF795"/>
    <w:multiLevelType w:val="hybridMultilevel"/>
    <w:lvl w:ilvl="0">
      <w:lvlJc w:val="left"/>
      <w:lvlText w:val="(%1)"/>
      <w:numFmt w:val="lowerLetter"/>
      <w:start w:val="1"/>
    </w:lvl>
  </w:abstractNum>
  <w:abstractNum w:abstractNumId="414">
    <w:nsid w:val="564580C8"/>
    <w:multiLevelType w:val="hybridMultilevel"/>
    <w:lvl w:ilvl="0">
      <w:lvlJc w:val="left"/>
      <w:lvlText w:val="(%1)"/>
      <w:numFmt w:val="lowerLetter"/>
      <w:start w:val="1"/>
    </w:lvl>
  </w:abstractNum>
  <w:abstractNum w:abstractNumId="415">
    <w:nsid w:val="508ED897"/>
    <w:multiLevelType w:val="hybridMultilevel"/>
    <w:lvl w:ilvl="0">
      <w:lvlJc w:val="left"/>
      <w:lvlText w:val="(%1)"/>
      <w:numFmt w:val="lowerLetter"/>
      <w:start w:val="1"/>
    </w:lvl>
    <w:lvl w:ilvl="1">
      <w:lvlJc w:val="left"/>
      <w:lvlText w:val="(%2)"/>
      <w:numFmt w:val="lowerRoman"/>
      <w:start w:val="1"/>
    </w:lvl>
  </w:abstractNum>
  <w:abstractNum w:abstractNumId="416">
    <w:nsid w:val="6A9126B5"/>
    <w:multiLevelType w:val="hybridMultilevel"/>
    <w:lvl w:ilvl="0">
      <w:lvlJc w:val="left"/>
      <w:lvlText w:val="(%1)"/>
      <w:numFmt w:val="lowerLetter"/>
      <w:start w:val="1"/>
    </w:lvl>
  </w:abstractNum>
  <w:abstractNum w:abstractNumId="417">
    <w:nsid w:val="68104812"/>
    <w:multiLevelType w:val="hybridMultilevel"/>
    <w:lvl w:ilvl="0">
      <w:lvlJc w:val="left"/>
      <w:lvlText w:val="(%1)"/>
      <w:numFmt w:val="lowerRoman"/>
      <w:start w:val="1"/>
    </w:lvl>
    <w:lvl w:ilvl="1">
      <w:lvlJc w:val="left"/>
      <w:lvlText w:val="*"/>
      <w:numFmt w:val="bullet"/>
      <w:start w:val="1"/>
    </w:lvl>
  </w:abstractNum>
  <w:abstractNum w:abstractNumId="418">
    <w:nsid w:val="62FB8680"/>
    <w:multiLevelType w:val="hybridMultilevel"/>
    <w:lvl w:ilvl="0">
      <w:lvlJc w:val="left"/>
      <w:lvlText w:val="(%1)"/>
      <w:numFmt w:val="lowerLetter"/>
      <w:start w:val="2"/>
    </w:lvl>
  </w:abstractNum>
  <w:abstractNum w:abstractNumId="419">
    <w:nsid w:val="3A45530"/>
    <w:multiLevelType w:val="hybridMultilevel"/>
    <w:lvl w:ilvl="0">
      <w:lvlJc w:val="left"/>
      <w:lvlText w:val="%1."/>
      <w:numFmt w:val="decimal"/>
      <w:start w:val="1"/>
    </w:lvl>
    <w:lvl w:ilvl="1">
      <w:lvlJc w:val="left"/>
      <w:lvlText w:val="(%2)"/>
      <w:numFmt w:val="lowerLetter"/>
      <w:start w:val="1"/>
    </w:lvl>
  </w:abstractNum>
  <w:abstractNum w:abstractNumId="420">
    <w:nsid w:val="4B9275D2"/>
    <w:multiLevelType w:val="hybridMultilevel"/>
    <w:lvl w:ilvl="0">
      <w:lvlJc w:val="left"/>
      <w:lvlText w:val="%1"/>
      <w:numFmt w:val="decimal"/>
      <w:start w:val="1"/>
    </w:lvl>
    <w:lvl w:ilvl="1">
      <w:lvlJc w:val="left"/>
      <w:lvlText w:val="-"/>
      <w:numFmt w:val="bullet"/>
      <w:start w:val="1"/>
    </w:lvl>
    <w:lvl w:ilvl="2">
      <w:lvlJc w:val="left"/>
      <w:lvlText w:val="(%3)"/>
      <w:numFmt w:val="lowerLetter"/>
      <w:start w:val="2"/>
    </w:lvl>
  </w:abstractNum>
  <w:abstractNum w:abstractNumId="421">
    <w:nsid w:val="4F0CEEDB"/>
    <w:multiLevelType w:val="hybridMultilevel"/>
    <w:lvl w:ilvl="0">
      <w:lvlJc w:val="left"/>
      <w:lvlText w:val="%1."/>
      <w:numFmt w:val="decimal"/>
      <w:start w:val="2"/>
    </w:lvl>
    <w:lvl w:ilvl="1">
      <w:lvlJc w:val="left"/>
      <w:lvlText w:val="-"/>
      <w:numFmt w:val="bullet"/>
      <w:start w:val="1"/>
    </w:lvl>
    <w:lvl w:ilvl="2">
      <w:lvlJc w:val="left"/>
      <w:lvlText w:val="(%3)"/>
      <w:numFmt w:val="lowerLetter"/>
      <w:start w:val="1"/>
    </w:lvl>
  </w:abstractNum>
  <w:abstractNum w:abstractNumId="422">
    <w:nsid w:val="61C30361"/>
    <w:multiLevelType w:val="hybridMultilevel"/>
    <w:lvl w:ilvl="0">
      <w:lvlJc w:val="left"/>
      <w:lvlText w:val="(%1)"/>
      <w:numFmt w:val="lowerRoman"/>
      <w:start w:val="1"/>
    </w:lvl>
  </w:abstractNum>
  <w:abstractNum w:abstractNumId="423">
    <w:nsid w:val="632099E0"/>
    <w:multiLevelType w:val="hybridMultilevel"/>
    <w:lvl w:ilvl="0">
      <w:lvlJc w:val="left"/>
      <w:lvlText w:val="-"/>
      <w:numFmt w:val="bullet"/>
      <w:start w:val="1"/>
    </w:lvl>
    <w:lvl w:ilvl="1">
      <w:lvlJc w:val="left"/>
      <w:lvlText w:val="(%2)"/>
      <w:numFmt w:val="lowerLetter"/>
      <w:start w:val="3"/>
    </w:lvl>
    <w:lvl w:ilvl="2">
      <w:lvlJc w:val="left"/>
      <w:lvlText w:val="(%3)"/>
      <w:numFmt w:val="lowerLetter"/>
      <w:start w:val="9"/>
    </w:lvl>
  </w:abstractNum>
  <w:abstractNum w:abstractNumId="424">
    <w:nsid w:val="24639756"/>
    <w:multiLevelType w:val="hybridMultilevel"/>
    <w:lvl w:ilvl="0">
      <w:lvlJc w:val="left"/>
      <w:lvlText w:val="-"/>
      <w:numFmt w:val="bullet"/>
      <w:start w:val="1"/>
    </w:lvl>
    <w:lvl w:ilvl="1">
      <w:lvlJc w:val="left"/>
      <w:lvlText w:val="(%2)"/>
      <w:numFmt w:val="lowerRoman"/>
      <w:start w:val="2"/>
    </w:lvl>
    <w:lvl w:ilvl="2">
      <w:lvlJc w:val="left"/>
      <w:lvlText w:val="(%3)"/>
      <w:numFmt w:val="decimal"/>
      <w:start w:val="1"/>
    </w:lvl>
  </w:abstractNum>
  <w:abstractNum w:abstractNumId="425">
    <w:nsid w:val="9D30DFD"/>
    <w:multiLevelType w:val="hybridMultilevel"/>
    <w:lvl w:ilvl="0">
      <w:lvlJc w:val="left"/>
      <w:lvlText w:val="-"/>
      <w:numFmt w:val="bullet"/>
      <w:start w:val="1"/>
    </w:lvl>
    <w:lvl w:ilvl="1">
      <w:lvlJc w:val="left"/>
      <w:lvlText w:val="(%2)"/>
      <w:numFmt w:val="decimal"/>
      <w:start w:val="2"/>
    </w:lvl>
  </w:abstractNum>
  <w:abstractNum w:abstractNumId="426">
    <w:nsid w:val="70A42016"/>
    <w:multiLevelType w:val="hybridMultilevel"/>
    <w:lvl w:ilvl="0">
      <w:lvlJc w:val="left"/>
      <w:lvlText w:val="-"/>
      <w:numFmt w:val="bullet"/>
      <w:start w:val="1"/>
    </w:lvl>
    <w:lvl w:ilvl="1">
      <w:lvlJc w:val="left"/>
      <w:lvlText w:val="%2"/>
      <w:numFmt w:val="lowerLetter"/>
      <w:start w:val="1"/>
    </w:lvl>
    <w:lvl w:ilvl="2">
      <w:lvlJc w:val="left"/>
      <w:lvlText w:val="(%3)"/>
      <w:numFmt w:val="lowerRoman"/>
      <w:start w:val="5"/>
    </w:lvl>
  </w:abstractNum>
  <w:abstractNum w:abstractNumId="427">
    <w:nsid w:val="161BC243"/>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428">
    <w:nsid w:val="16E908C8"/>
    <w:multiLevelType w:val="hybridMultilevel"/>
    <w:lvl w:ilvl="0">
      <w:lvlJc w:val="left"/>
      <w:lvlText w:val="%1"/>
      <w:numFmt w:val="decimal"/>
      <w:start w:val="1"/>
    </w:lvl>
    <w:lvl w:ilvl="1">
      <w:lvlJc w:val="left"/>
      <w:lvlText w:val="-"/>
      <w:numFmt w:val="bullet"/>
      <w:start w:val="1"/>
    </w:lvl>
    <w:lvl w:ilvl="2">
      <w:lvlJc w:val="left"/>
      <w:lvlText w:val="(%3)"/>
      <w:numFmt w:val="lowerLetter"/>
      <w:start w:val="7"/>
    </w:lvl>
  </w:abstractNum>
  <w:abstractNum w:abstractNumId="429">
    <w:nsid w:val="2E0D7671"/>
    <w:multiLevelType w:val="hybridMultilevel"/>
    <w:lvl w:ilvl="0">
      <w:lvlJc w:val="left"/>
      <w:lvlText w:val="%1."/>
      <w:numFmt w:val="decimal"/>
      <w:start w:val="3"/>
    </w:lvl>
    <w:lvl w:ilvl="1">
      <w:lvlJc w:val="left"/>
      <w:lvlText w:val="-"/>
      <w:numFmt w:val="bullet"/>
      <w:start w:val="1"/>
    </w:lvl>
    <w:lvl w:ilvl="2">
      <w:lvlJc w:val="left"/>
      <w:lvlText w:val="(%3)"/>
      <w:numFmt w:val="lowerLetter"/>
      <w:start w:val="1"/>
    </w:lvl>
  </w:abstractNum>
  <w:abstractNum w:abstractNumId="430">
    <w:nsid w:val="38B59EFF"/>
    <w:multiLevelType w:val="hybridMultilevel"/>
    <w:lvl w:ilvl="0">
      <w:lvlJc w:val="left"/>
      <w:lvlText w:val="-"/>
      <w:numFmt w:val="bullet"/>
      <w:start w:val="1"/>
    </w:lvl>
    <w:lvl w:ilvl="1">
      <w:lvlJc w:val="left"/>
      <w:lvlText w:val="(%2)"/>
      <w:numFmt w:val="lowerLetter"/>
      <w:start w:val="3"/>
    </w:lvl>
  </w:abstractNum>
  <w:abstractNum w:abstractNumId="431">
    <w:nsid w:val="307995CA"/>
    <w:multiLevelType w:val="hybridMultilevel"/>
    <w:lvl w:ilvl="0">
      <w:lvlJc w:val="left"/>
      <w:lvlText w:val="%1."/>
      <w:numFmt w:val="decimal"/>
      <w:start w:val="4"/>
    </w:lvl>
  </w:abstractNum>
  <w:abstractNum w:abstractNumId="432">
    <w:nsid w:val="52E2024D"/>
    <w:multiLevelType w:val="hybridMultilevel"/>
    <w:lvl w:ilvl="0">
      <w:lvlJc w:val="left"/>
      <w:lvlText w:val="-"/>
      <w:numFmt w:val="bullet"/>
      <w:start w:val="1"/>
    </w:lvl>
    <w:lvl w:ilvl="1">
      <w:lvlJc w:val="left"/>
      <w:lvlText w:val="(%2)"/>
      <w:numFmt w:val="lowerLetter"/>
      <w:start w:val="1"/>
    </w:lvl>
  </w:abstractNum>
  <w:abstractNum w:abstractNumId="433">
    <w:nsid w:val="CE344B5"/>
    <w:multiLevelType w:val="hybridMultilevel"/>
    <w:lvl w:ilvl="0">
      <w:lvlJc w:val="left"/>
      <w:lvlText w:val="(%1)"/>
      <w:numFmt w:val="lowerLetter"/>
      <w:start w:val="8"/>
    </w:lvl>
  </w:abstractNum>
  <w:abstractNum w:abstractNumId="434">
    <w:nsid w:val="29B0E9A8"/>
    <w:multiLevelType w:val="hybridMultilevel"/>
    <w:lvl w:ilvl="0">
      <w:lvlJc w:val="left"/>
      <w:lvlText w:val="%1."/>
      <w:numFmt w:val="decimal"/>
      <w:start w:val="5"/>
    </w:lvl>
    <w:lvl w:ilvl="1">
      <w:lvlJc w:val="left"/>
      <w:lvlText w:val="-"/>
      <w:numFmt w:val="bullet"/>
      <w:start w:val="1"/>
    </w:lvl>
    <w:lvl w:ilvl="2">
      <w:lvlJc w:val="left"/>
      <w:lvlText w:val="(%3)"/>
      <w:numFmt w:val="lowerLetter"/>
      <w:start w:val="1"/>
    </w:lvl>
  </w:abstractNum>
  <w:abstractNum w:abstractNumId="435">
    <w:nsid w:val="6F49CD8A"/>
    <w:multiLevelType w:val="hybridMultilevel"/>
    <w:lvl w:ilvl="0">
      <w:lvlJc w:val="left"/>
      <w:lvlText w:val="%1"/>
      <w:numFmt w:val="decimal"/>
      <w:start w:val="1"/>
    </w:lvl>
    <w:lvl w:ilvl="1">
      <w:lvlJc w:val="left"/>
      <w:lvlText w:val="(%2)"/>
      <w:numFmt w:val="lowerLetter"/>
      <w:start w:val="4"/>
    </w:lvl>
  </w:abstractNum>
  <w:abstractNum w:abstractNumId="436">
    <w:nsid w:val="4DC5D907"/>
    <w:multiLevelType w:val="hybridMultilevel"/>
    <w:lvl w:ilvl="0">
      <w:lvlJc w:val="left"/>
      <w:lvlText w:val="%1."/>
      <w:numFmt w:val="decimal"/>
      <w:start w:val="6"/>
    </w:lvl>
    <w:lvl w:ilvl="1">
      <w:lvlJc w:val="left"/>
      <w:lvlText w:val="%2"/>
      <w:numFmt w:val="lowerLetter"/>
      <w:start w:val="1"/>
    </w:lvl>
  </w:abstractNum>
  <w:abstractNum w:abstractNumId="437">
    <w:nsid w:val="D55945E"/>
    <w:multiLevelType w:val="hybridMultilevel"/>
    <w:lvl w:ilvl="0">
      <w:lvlJc w:val="left"/>
      <w:lvlText w:val="(%1)"/>
      <w:numFmt w:val="lowerRoman"/>
      <w:start w:val="1"/>
    </w:lvl>
    <w:lvl w:ilvl="1">
      <w:lvlJc w:val="left"/>
      <w:lvlText w:val="-"/>
      <w:numFmt w:val="bullet"/>
      <w:start w:val="1"/>
    </w:lvl>
  </w:abstractNum>
  <w:abstractNum w:abstractNumId="438">
    <w:nsid w:val="672417E1"/>
    <w:multiLevelType w:val="hybridMultilevel"/>
    <w:lvl w:ilvl="0">
      <w:lvlJc w:val="left"/>
      <w:lvlText w:val="%1."/>
      <w:numFmt w:val="decimal"/>
      <w:start w:val="7"/>
    </w:lvl>
  </w:abstractNum>
  <w:abstractNum w:abstractNumId="439">
    <w:nsid w:val="5FF6CA09"/>
    <w:multiLevelType w:val="hybridMultilevel"/>
    <w:lvl w:ilvl="0">
      <w:lvlJc w:val="left"/>
      <w:lvlText w:val="%1."/>
      <w:numFmt w:val="decimal"/>
      <w:start w:val="8"/>
    </w:lvl>
    <w:lvl w:ilvl="1">
      <w:lvlJc w:val="left"/>
      <w:lvlText w:val="(%2)"/>
      <w:numFmt w:val="lowerLetter"/>
      <w:start w:val="1"/>
    </w:lvl>
  </w:abstractNum>
  <w:abstractNum w:abstractNumId="440">
    <w:nsid w:val="330B1333"/>
    <w:multiLevelType w:val="hybridMultilevel"/>
    <w:lvl w:ilvl="0">
      <w:lvlJc w:val="left"/>
      <w:lvlText w:val="%1"/>
      <w:numFmt w:val="decimal"/>
      <w:start w:val="1"/>
    </w:lvl>
    <w:lvl w:ilvl="1">
      <w:lvlJc w:val="left"/>
      <w:lvlText w:val="(%2)"/>
      <w:numFmt w:val="lowerLetter"/>
      <w:start w:val="2"/>
    </w:lvl>
  </w:abstractNum>
  <w:abstractNum w:abstractNumId="441">
    <w:nsid w:val="2EF32EA6"/>
    <w:multiLevelType w:val="hybridMultilevel"/>
    <w:lvl w:ilvl="0">
      <w:lvlJc w:val="left"/>
      <w:lvlText w:val="%1."/>
      <w:numFmt w:val="decimal"/>
      <w:start w:val="9"/>
    </w:lvl>
    <w:lvl w:ilvl="1">
      <w:lvlJc w:val="left"/>
      <w:lvlText w:val="%2"/>
      <w:numFmt w:val="lowerLetter"/>
      <w:start w:val="1"/>
    </w:lvl>
  </w:abstractNum>
  <w:abstractNum w:abstractNumId="442">
    <w:nsid w:val="32766A55"/>
    <w:multiLevelType w:val="hybridMultilevel"/>
    <w:lvl w:ilvl="0">
      <w:lvlJc w:val="left"/>
      <w:lvlText w:val="%1."/>
      <w:numFmt w:val="decimal"/>
      <w:start w:val="10"/>
    </w:lvl>
    <w:lvl w:ilvl="1">
      <w:lvlJc w:val="left"/>
      <w:lvlText w:val="-"/>
      <w:numFmt w:val="bullet"/>
      <w:start w:val="1"/>
    </w:lvl>
    <w:lvl w:ilvl="2">
      <w:lvlJc w:val="left"/>
      <w:lvlText w:val="(%3)"/>
      <w:numFmt w:val="lowerLetter"/>
      <w:start w:val="1"/>
    </w:lvl>
  </w:abstractNum>
  <w:abstractNum w:abstractNumId="443">
    <w:nsid w:val="22D71957"/>
    <w:multiLevelType w:val="hybridMultilevel"/>
    <w:lvl w:ilvl="0">
      <w:lvlJc w:val="left"/>
      <w:lvlText w:val="(%1)"/>
      <w:numFmt w:val="lowerLetter"/>
      <w:start w:val="9"/>
    </w:lvl>
    <w:lvl w:ilvl="1">
      <w:lvlJc w:val="left"/>
      <w:lvlText w:val="-"/>
      <w:numFmt w:val="bullet"/>
      <w:start w:val="1"/>
    </w:lvl>
    <w:lvl w:ilvl="2">
      <w:lvlJc w:val="left"/>
      <w:lvlText w:val="(%3)"/>
      <w:numFmt w:val="lowerLetter"/>
      <w:start w:val="2"/>
    </w:lvl>
  </w:abstractNum>
  <w:abstractNum w:abstractNumId="444">
    <w:nsid w:val="4CC1263B"/>
    <w:multiLevelType w:val="hybridMultilevel"/>
    <w:lvl w:ilvl="0">
      <w:lvlJc w:val="left"/>
      <w:lvlText w:val="-"/>
      <w:numFmt w:val="bullet"/>
      <w:start w:val="1"/>
    </w:lvl>
    <w:lvl w:ilvl="1">
      <w:lvlJc w:val="left"/>
      <w:lvlText w:val="(%2)"/>
      <w:numFmt w:val="lowerLetter"/>
      <w:start w:val="4"/>
    </w:lvl>
  </w:abstractNum>
  <w:abstractNum w:abstractNumId="445">
    <w:nsid w:val="8BBEB1D"/>
    <w:multiLevelType w:val="hybridMultilevel"/>
    <w:lvl w:ilvl="0">
      <w:lvlJc w:val="left"/>
      <w:lvlText w:val="%1"/>
      <w:numFmt w:val="decimal"/>
      <w:start w:val="1"/>
    </w:lvl>
    <w:lvl w:ilvl="1">
      <w:lvlJc w:val="left"/>
      <w:lvlText w:val="(%2)"/>
      <w:numFmt w:val="lowerRoman"/>
      <w:start w:val="1"/>
    </w:lvl>
  </w:abstractNum>
  <w:abstractNum w:abstractNumId="446">
    <w:nsid w:val="7365F1EE"/>
    <w:multiLevelType w:val="hybridMultilevel"/>
    <w:lvl w:ilvl="0">
      <w:lvlJc w:val="left"/>
      <w:lvlText w:val="%1."/>
      <w:numFmt w:val="decimal"/>
      <w:start w:val="11"/>
    </w:lvl>
    <w:lvl w:ilvl="1">
      <w:lvlJc w:val="left"/>
      <w:lvlText w:val="%2"/>
      <w:numFmt w:val="lowerRoman"/>
      <w:start w:val="1"/>
    </w:lvl>
  </w:abstractNum>
  <w:abstractNum w:abstractNumId="447">
    <w:nsid w:val="37524CF0"/>
    <w:multiLevelType w:val="hybridMultilevel"/>
    <w:lvl w:ilvl="0">
      <w:lvlJc w:val="left"/>
      <w:lvlText w:val="%1."/>
      <w:numFmt w:val="decimal"/>
      <w:start w:val="12"/>
    </w:lvl>
    <w:lvl w:ilvl="1">
      <w:lvlJc w:val="left"/>
      <w:lvlText w:val="-"/>
      <w:numFmt w:val="bullet"/>
      <w:start w:val="1"/>
    </w:lvl>
    <w:lvl w:ilvl="2">
      <w:lvlJc w:val="left"/>
      <w:lvlText w:val="(%3)"/>
      <w:numFmt w:val="lowerLetter"/>
      <w:start w:val="1"/>
    </w:lvl>
  </w:abstractNum>
  <w:abstractNum w:abstractNumId="448">
    <w:nsid w:val="70CC332F"/>
    <w:multiLevelType w:val="hybridMultilevel"/>
    <w:lvl w:ilvl="0">
      <w:lvlJc w:val="left"/>
      <w:lvlText w:val="(%1)"/>
      <w:numFmt w:val="lowerLetter"/>
      <w:start w:val="9"/>
    </w:lvl>
    <w:lvl w:ilvl="1">
      <w:lvlJc w:val="left"/>
      <w:lvlText w:val="-"/>
      <w:numFmt w:val="bullet"/>
      <w:start w:val="1"/>
    </w:lvl>
    <w:lvl w:ilvl="2">
      <w:lvlJc w:val="left"/>
      <w:lvlText w:val="(%3)"/>
      <w:numFmt w:val="lowerLetter"/>
      <w:start w:val="5"/>
    </w:lvl>
  </w:abstractNum>
  <w:abstractNum w:abstractNumId="449">
    <w:nsid w:val="5661786E"/>
    <w:multiLevelType w:val="hybridMultilevel"/>
    <w:lvl w:ilvl="0">
      <w:lvlJc w:val="left"/>
      <w:lvlText w:val="%1"/>
      <w:numFmt w:val="decimal"/>
      <w:start w:val="1"/>
    </w:lvl>
    <w:lvl w:ilvl="1">
      <w:lvlJc w:val="left"/>
      <w:lvlText w:val="-"/>
      <w:numFmt w:val="bullet"/>
      <w:start w:val="1"/>
    </w:lvl>
    <w:lvl w:ilvl="2">
      <w:lvlJc w:val="left"/>
      <w:lvlText w:val="(%3)"/>
      <w:numFmt w:val="lowerLetter"/>
      <w:start w:val="8"/>
    </w:lvl>
  </w:abstractNum>
  <w:abstractNum w:abstractNumId="450">
    <w:nsid w:val="3AF6A220"/>
    <w:multiLevelType w:val="hybridMultilevel"/>
    <w:lvl w:ilvl="0">
      <w:lvlJc w:val="left"/>
      <w:lvlText w:val="%1."/>
      <w:numFmt w:val="decimal"/>
      <w:start w:val="13"/>
    </w:lvl>
    <w:lvl w:ilvl="1">
      <w:lvlJc w:val="left"/>
      <w:lvlText w:val="-"/>
      <w:numFmt w:val="bullet"/>
      <w:start w:val="1"/>
    </w:lvl>
    <w:lvl w:ilvl="2">
      <w:lvlJc w:val="left"/>
      <w:lvlText w:val="(%3)"/>
      <w:numFmt w:val="lowerLetter"/>
      <w:start w:val="1"/>
    </w:lvl>
  </w:abstractNum>
  <w:abstractNum w:abstractNumId="451">
    <w:nsid w:val="3C5EA902"/>
    <w:multiLevelType w:val="hybridMultilevel"/>
    <w:lvl w:ilvl="0">
      <w:lvlJc w:val="left"/>
      <w:lvlText w:val="%1"/>
      <w:numFmt w:val="lowerLetter"/>
      <w:start w:val="1"/>
    </w:lvl>
    <w:lvl w:ilvl="1">
      <w:lvlJc w:val="left"/>
      <w:lvlText w:val="(%2)"/>
      <w:numFmt w:val="lowerLetter"/>
      <w:start w:val="3"/>
    </w:lvl>
  </w:abstractNum>
  <w:abstractNum w:abstractNumId="452">
    <w:nsid w:val="256E6749"/>
    <w:multiLevelType w:val="hybridMultilevel"/>
    <w:lvl w:ilvl="0">
      <w:lvlJc w:val="left"/>
      <w:lvlText w:val="(%1)"/>
      <w:numFmt w:val="lowerLetter"/>
      <w:start w:val="35"/>
    </w:lvl>
    <w:lvl w:ilvl="1">
      <w:lvlJc w:val="left"/>
      <w:lvlText w:val="(%2)"/>
      <w:numFmt w:val="lowerLetter"/>
      <w:start w:val="4"/>
    </w:lvl>
  </w:abstractNum>
  <w:abstractNum w:abstractNumId="453">
    <w:nsid w:val="1CB9A581"/>
    <w:multiLevelType w:val="hybridMultilevel"/>
    <w:lvl w:ilvl="0">
      <w:lvlJc w:val="left"/>
      <w:lvlText w:val="%1."/>
      <w:numFmt w:val="decimal"/>
      <w:start w:val="14"/>
    </w:lvl>
    <w:lvl w:ilvl="1">
      <w:lvlJc w:val="left"/>
      <w:lvlText w:val="-"/>
      <w:numFmt w:val="bullet"/>
      <w:start w:val="1"/>
    </w:lvl>
    <w:lvl w:ilvl="2">
      <w:lvlJc w:val="left"/>
      <w:lvlText w:val="(%3)"/>
      <w:numFmt w:val="lowerLetter"/>
      <w:start w:val="1"/>
    </w:lvl>
    <w:lvl w:ilvl="3">
      <w:lvlJc w:val="left"/>
      <w:lvlText w:val="(%4)"/>
      <w:numFmt w:val="lowerLetter"/>
      <w:start w:val="9"/>
    </w:lvl>
  </w:abstractNum>
  <w:abstractNum w:abstractNumId="454">
    <w:nsid w:val="1F7F42E2"/>
    <w:multiLevelType w:val="hybridMultilevel"/>
    <w:lvl w:ilvl="0">
      <w:lvlJc w:val="left"/>
      <w:lvlText w:val="-"/>
      <w:numFmt w:val="bullet"/>
      <w:start w:val="1"/>
    </w:lvl>
    <w:lvl w:ilvl="1">
      <w:lvlJc w:val="left"/>
      <w:lvlText w:val="(%2)"/>
      <w:numFmt w:val="lowerRoman"/>
      <w:start w:val="2"/>
    </w:lvl>
  </w:abstractNum>
  <w:abstractNum w:abstractNumId="455">
    <w:nsid w:val="49D1FEA0"/>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lvl w:ilvl="3">
      <w:lvlJc w:val="left"/>
      <w:lvlText w:val="(%4)"/>
      <w:numFmt w:val="lowerRoman"/>
      <w:start w:val="5"/>
    </w:lvl>
  </w:abstractNum>
  <w:abstractNum w:abstractNumId="456">
    <w:nsid w:val="268CB37F"/>
    <w:multiLevelType w:val="hybridMultilevel"/>
    <w:lvl w:ilvl="0">
      <w:lvlJc w:val="left"/>
      <w:lvlText w:val="%1"/>
      <w:numFmt w:val="decimal"/>
      <w:start w:val="30"/>
    </w:lvl>
    <w:lvl w:ilvl="1">
      <w:lvlJc w:val="left"/>
      <w:lvlText w:val="-"/>
      <w:numFmt w:val="bullet"/>
      <w:start w:val="1"/>
    </w:lvl>
    <w:lvl w:ilvl="2">
      <w:lvlJc w:val="left"/>
      <w:lvlText w:val="(%3)"/>
      <w:numFmt w:val="lowerLetter"/>
      <w:start w:val="2"/>
    </w:lvl>
    <w:lvl w:ilvl="3">
      <w:lvlJc w:val="left"/>
      <w:lvlText w:val="%4"/>
      <w:numFmt w:val="lowerRoman"/>
      <w:start w:val="1"/>
    </w:lvl>
  </w:abstractNum>
  <w:abstractNum w:abstractNumId="457">
    <w:nsid w:val="102362F8"/>
    <w:multiLevelType w:val="hybridMultilevel"/>
    <w:lvl w:ilvl="0">
      <w:lvlJc w:val="left"/>
      <w:lvlText w:val="%1."/>
      <w:numFmt w:val="decimal"/>
      <w:start w:val="15"/>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458">
    <w:nsid w:val="5FEDC0E3"/>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459">
    <w:nsid w:val="3D75BC47"/>
    <w:multiLevelType w:val="hybridMultilevel"/>
    <w:lvl w:ilvl="0">
      <w:lvlJc w:val="left"/>
      <w:lvlText w:val="%1"/>
      <w:numFmt w:val="decimal"/>
      <w:start w:val="1"/>
    </w:lvl>
    <w:lvl w:ilvl="1">
      <w:lvlJc w:val="left"/>
      <w:lvlText w:val="-"/>
      <w:numFmt w:val="bullet"/>
      <w:start w:val="1"/>
    </w:lvl>
    <w:lvl w:ilvl="2">
      <w:lvlJc w:val="left"/>
      <w:lvlText w:val="(%3)"/>
      <w:numFmt w:val="lowerLetter"/>
      <w:start w:val="2"/>
    </w:lvl>
    <w:lvl w:ilvl="3">
      <w:lvlJc w:val="left"/>
      <w:lvlText w:val="%4"/>
      <w:numFmt w:val="lowerRoman"/>
      <w:start w:val="1"/>
    </w:lvl>
  </w:abstractNum>
  <w:abstractNum w:abstractNumId="460">
    <w:nsid w:val="3E30D969"/>
    <w:multiLevelType w:val="hybridMultilevel"/>
    <w:lvl w:ilvl="0">
      <w:lvlJc w:val="left"/>
      <w:lvlText w:val="%1."/>
      <w:numFmt w:val="decimal"/>
      <w:start w:val="16"/>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461">
    <w:nsid w:val="18A35FE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462">
    <w:nsid w:val="6DEF5211"/>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463">
    <w:nsid w:val="1112DBB6"/>
    <w:multiLevelType w:val="hybridMultilevel"/>
    <w:lvl w:ilvl="0">
      <w:lvlJc w:val="left"/>
      <w:lvlText w:val="-"/>
      <w:numFmt w:val="bullet"/>
      <w:start w:val="1"/>
    </w:lvl>
    <w:lvl w:ilvl="1">
      <w:lvlJc w:val="left"/>
      <w:lvlText w:val="(%2)"/>
      <w:numFmt w:val="lowerRoman"/>
      <w:start w:val="2"/>
    </w:lvl>
  </w:abstractNum>
  <w:abstractNum w:abstractNumId="464">
    <w:nsid w:val="2586A4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65">
    <w:nsid w:val="17A03BB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66">
    <w:nsid w:val="5CA941"/>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467">
    <w:nsid w:val="734C7D9F"/>
    <w:multiLevelType w:val="hybridMultilevel"/>
    <w:lvl w:ilvl="0">
      <w:lvlJc w:val="left"/>
      <w:lvlText w:val="%1."/>
      <w:numFmt w:val="decimal"/>
      <w:start w:val="18"/>
    </w:lvl>
  </w:abstractNum>
  <w:abstractNum w:abstractNumId="468">
    <w:nsid w:val="24F5D018"/>
    <w:multiLevelType w:val="hybridMultilevel"/>
    <w:lvl w:ilvl="0">
      <w:lvlJc w:val="left"/>
      <w:lvlText w:val="%1."/>
      <w:numFmt w:val="decimal"/>
      <w:start w:val="19"/>
    </w:lvl>
  </w:abstractNum>
  <w:abstractNum w:abstractNumId="469">
    <w:nsid w:val="6780C122"/>
    <w:multiLevelType w:val="hybridMultilevel"/>
    <w:lvl w:ilvl="0">
      <w:lvlJc w:val="left"/>
      <w:lvlText w:val="%1."/>
      <w:numFmt w:val="decimal"/>
      <w:start w:val="20"/>
    </w:lvl>
    <w:lvl w:ilvl="1">
      <w:lvlJc w:val="left"/>
      <w:lvlText w:val="(%2)"/>
      <w:numFmt w:val="lowerLetter"/>
      <w:start w:val="1"/>
    </w:lvl>
  </w:abstractNum>
  <w:abstractNum w:abstractNumId="470">
    <w:nsid w:val="534347A8"/>
    <w:multiLevelType w:val="hybridMultilevel"/>
    <w:lvl w:ilvl="0">
      <w:lvlJc w:val="left"/>
      <w:lvlText w:val="%1."/>
      <w:numFmt w:val="decimal"/>
      <w:start w:val="22"/>
    </w:lvl>
  </w:abstractNum>
  <w:abstractNum w:abstractNumId="471">
    <w:nsid w:val="5800E34B"/>
    <w:multiLevelType w:val="hybridMultilevel"/>
    <w:lvl w:ilvl="0">
      <w:lvlJc w:val="left"/>
      <w:lvlText w:val="%1."/>
      <w:numFmt w:val="decimal"/>
      <w:start w:val="23"/>
    </w:lvl>
  </w:abstractNum>
  <w:abstractNum w:abstractNumId="472">
    <w:nsid w:val="1673EFC8"/>
    <w:multiLevelType w:val="hybridMultilevel"/>
    <w:lvl w:ilvl="0">
      <w:lvlJc w:val="left"/>
      <w:lvlText w:val="%1."/>
      <w:numFmt w:val="decimal"/>
      <w:start w:val="24"/>
    </w:lvl>
  </w:abstractNum>
  <w:abstractNum w:abstractNumId="473">
    <w:nsid w:val="5B9B1FD"/>
    <w:multiLevelType w:val="hybridMultilevel"/>
    <w:lvl w:ilvl="0">
      <w:lvlJc w:val="left"/>
      <w:lvlText w:val="%1."/>
      <w:numFmt w:val="decimal"/>
      <w:start w:val="25"/>
    </w:lvl>
    <w:lvl w:ilvl="1">
      <w:lvlJc w:val="left"/>
      <w:lvlText w:val="(%2)"/>
      <w:numFmt w:val="lowerLetter"/>
      <w:start w:val="1"/>
    </w:lvl>
  </w:abstractNum>
  <w:abstractNum w:abstractNumId="474">
    <w:nsid w:val="7AD7FCA2"/>
    <w:multiLevelType w:val="hybridMultilevel"/>
    <w:lvl w:ilvl="0">
      <w:lvlJc w:val="left"/>
      <w:lvlText w:val="%1."/>
      <w:numFmt w:val="decimal"/>
      <w:start w:val="27"/>
    </w:lvl>
  </w:abstractNum>
  <w:abstractNum w:abstractNumId="475">
    <w:nsid w:val="63351604"/>
    <w:multiLevelType w:val="hybridMultilevel"/>
    <w:lvl w:ilvl="0">
      <w:lvlJc w:val="left"/>
      <w:lvlText w:val="%1."/>
      <w:numFmt w:val="decimal"/>
      <w:start w:val="28"/>
    </w:lvl>
  </w:abstractNum>
  <w:abstractNum w:abstractNumId="476">
    <w:nsid w:val="E759D1A"/>
    <w:multiLevelType w:val="hybridMultilevel"/>
    <w:lvl w:ilvl="0">
      <w:lvlJc w:val="left"/>
      <w:lvlText w:val="%1."/>
      <w:numFmt w:val="decimal"/>
      <w:start w:val="29"/>
    </w:lvl>
  </w:abstractNum>
  <w:abstractNum w:abstractNumId="477">
    <w:nsid w:val="6E3DEE90"/>
    <w:multiLevelType w:val="hybridMultilevel"/>
    <w:lvl w:ilvl="0">
      <w:lvlJc w:val="left"/>
      <w:lvlText w:val="%1."/>
      <w:numFmt w:val="decimal"/>
      <w:start w:val="30"/>
    </w:lvl>
  </w:abstractNum>
  <w:abstractNum w:abstractNumId="478">
    <w:nsid w:val="1A8762F4"/>
    <w:multiLevelType w:val="hybridMultilevel"/>
    <w:lvl w:ilvl="0">
      <w:lvlJc w:val="left"/>
      <w:lvlText w:val="%1."/>
      <w:numFmt w:val="decimal"/>
      <w:start w:val="31"/>
    </w:lvl>
    <w:lvl w:ilvl="1">
      <w:lvlJc w:val="left"/>
      <w:lvlText w:val="-"/>
      <w:numFmt w:val="bullet"/>
      <w:start w:val="1"/>
    </w:lvl>
    <w:lvl w:ilvl="2">
      <w:lvlJc w:val="left"/>
      <w:lvlText w:val="(%3)"/>
      <w:numFmt w:val="lowerLetter"/>
      <w:start w:val="1"/>
    </w:lvl>
  </w:abstractNum>
  <w:abstractNum w:abstractNumId="479">
    <w:nsid w:val="7F41D049"/>
    <w:multiLevelType w:val="hybridMultilevel"/>
    <w:lvl w:ilvl="0">
      <w:lvlJc w:val="left"/>
      <w:lvlText w:val="(%1)"/>
      <w:numFmt w:val="lowerLetter"/>
      <w:start w:val="2"/>
    </w:lvl>
  </w:abstractNum>
  <w:abstractNum w:abstractNumId="480">
    <w:nsid w:val="449F66FE"/>
    <w:multiLevelType w:val="hybridMultilevel"/>
    <w:lvl w:ilvl="0">
      <w:lvlJc w:val="left"/>
      <w:lvlText w:val="(%1)"/>
      <w:numFmt w:val="lowerRoman"/>
      <w:start w:val="3"/>
    </w:lvl>
  </w:abstractNum>
  <w:abstractNum w:abstractNumId="481">
    <w:nsid w:val="557E0515"/>
    <w:multiLevelType w:val="hybridMultilevel"/>
    <w:lvl w:ilvl="0">
      <w:lvlJc w:val="left"/>
      <w:lvlText w:val="(%1)"/>
      <w:numFmt w:val="lowerLetter"/>
      <w:start w:val="1"/>
    </w:lvl>
  </w:abstractNum>
  <w:abstractNum w:abstractNumId="482">
    <w:nsid w:val="3BA0794B"/>
    <w:multiLevelType w:val="hybridMultilevel"/>
    <w:lvl w:ilvl="0">
      <w:lvlJc w:val="left"/>
      <w:lvlText w:val="(%1)"/>
      <w:numFmt w:val="lowerLetter"/>
      <w:start w:val="1"/>
    </w:lvl>
    <w:lvl w:ilvl="1">
      <w:lvlJc w:val="left"/>
      <w:lvlText w:val="(%2)"/>
      <w:numFmt w:val="lowerRoman"/>
      <w:start w:val="1"/>
    </w:lvl>
  </w:abstractNum>
  <w:abstractNum w:abstractNumId="483">
    <w:nsid w:val="6A0DCE48"/>
    <w:multiLevelType w:val="hybridMultilevel"/>
    <w:lvl w:ilvl="0">
      <w:lvlJc w:val="left"/>
      <w:lvlText w:val="%1"/>
      <w:numFmt w:val="lowerLetter"/>
      <w:start w:val="1"/>
    </w:lvl>
    <w:lvl w:ilvl="1">
      <w:lvlJc w:val="left"/>
      <w:lvlText w:val="(%2)"/>
      <w:numFmt w:val="lowerLetter"/>
      <w:start w:val="22"/>
    </w:lvl>
  </w:abstractNum>
  <w:abstractNum w:abstractNumId="484">
    <w:nsid w:val="7237AA96"/>
    <w:multiLevelType w:val="hybridMultilevel"/>
    <w:lvl w:ilvl="0">
      <w:lvlJc w:val="left"/>
      <w:lvlText w:val="(%1)"/>
      <w:numFmt w:val="lowerLetter"/>
      <w:start w:val="2"/>
    </w:lvl>
    <w:lvl w:ilvl="1">
      <w:lvlJc w:val="left"/>
      <w:lvlText w:val="%2"/>
      <w:numFmt w:val="lowerLetter"/>
      <w:start w:val="1"/>
    </w:lvl>
  </w:abstractNum>
  <w:abstractNum w:abstractNumId="485">
    <w:nsid w:val="5B1FBC2D"/>
    <w:multiLevelType w:val="hybridMultilevel"/>
    <w:lvl w:ilvl="0">
      <w:lvlJc w:val="left"/>
      <w:lvlText w:val="(%1)"/>
      <w:numFmt w:val="lowerLetter"/>
      <w:start w:val="6"/>
    </w:lvl>
  </w:abstractNum>
  <w:abstractNum w:abstractNumId="486">
    <w:nsid w:val="33DFCCE8"/>
    <w:multiLevelType w:val="hybridMultilevel"/>
    <w:lvl w:ilvl="0">
      <w:lvlJc w:val="left"/>
      <w:lvlText w:val="(%1)"/>
      <w:numFmt w:val="lowerLetter"/>
      <w:start w:val="12"/>
    </w:lvl>
  </w:abstractNum>
  <w:abstractNum w:abstractNumId="487">
    <w:nsid w:val="18C45E15"/>
    <w:multiLevelType w:val="hybridMultilevel"/>
    <w:lvl w:ilvl="0">
      <w:lvlJc w:val="left"/>
      <w:lvlText w:val="(%1)"/>
      <w:numFmt w:val="lowerLetter"/>
      <w:start w:val="1"/>
    </w:lvl>
  </w:abstractNum>
  <w:abstractNum w:abstractNumId="488">
    <w:nsid w:val="6B431F25"/>
    <w:multiLevelType w:val="hybridMultilevel"/>
    <w:lvl w:ilvl="0">
      <w:lvlJc w:val="left"/>
      <w:lvlText w:val="(%1)"/>
      <w:numFmt w:val="lowerLetter"/>
      <w:start w:val="3"/>
    </w:lvl>
  </w:abstractNum>
  <w:abstractNum w:abstractNumId="489">
    <w:nsid w:val="13CD8DCB"/>
    <w:multiLevelType w:val="hybridMultilevel"/>
    <w:lvl w:ilvl="0">
      <w:lvlJc w:val="left"/>
      <w:lvlText w:val="(%1)"/>
      <w:numFmt w:val="lowerLetter"/>
      <w:start w:val="1"/>
    </w:lvl>
  </w:abstractNum>
  <w:abstractNum w:abstractNumId="490">
    <w:nsid w:val="563A1A5C"/>
    <w:multiLevelType w:val="hybridMultilevel"/>
    <w:lvl w:ilvl="0">
      <w:lvlJc w:val="left"/>
      <w:lvlText w:val="(%1)"/>
      <w:numFmt w:val="lowerLetter"/>
      <w:start w:val="1"/>
    </w:lvl>
  </w:abstractNum>
  <w:abstractNum w:abstractNumId="491">
    <w:nsid w:val="2973F88F"/>
    <w:multiLevelType w:val="hybridMultilevel"/>
    <w:lvl w:ilvl="0">
      <w:lvlJc w:val="left"/>
      <w:lvlText w:val="(%1)"/>
      <w:numFmt w:val="lowerLetter"/>
      <w:start w:val="1"/>
    </w:lvl>
  </w:abstractNum>
  <w:abstractNum w:abstractNumId="492">
    <w:nsid w:val="2C70EDAE"/>
    <w:multiLevelType w:val="hybridMultilevel"/>
    <w:lvl w:ilvl="0">
      <w:lvlJc w:val="left"/>
      <w:lvlText w:val="(%1)"/>
      <w:numFmt w:val="lowerLetter"/>
      <w:start w:val="1"/>
    </w:lvl>
  </w:abstractNum>
  <w:abstractNum w:abstractNumId="493">
    <w:nsid w:val="44296C6D"/>
    <w:multiLevelType w:val="hybridMultilevel"/>
    <w:lvl w:ilvl="0">
      <w:lvlJc w:val="left"/>
      <w:lvlText w:val="(%1)"/>
      <w:numFmt w:val="lowerLetter"/>
      <w:start w:val="4"/>
    </w:lvl>
  </w:abstractNum>
  <w:abstractNum w:abstractNumId="494">
    <w:nsid w:val="3A86D445"/>
    <w:multiLevelType w:val="hybridMultilevel"/>
    <w:lvl w:ilvl="0">
      <w:lvlJc w:val="left"/>
      <w:lvlText w:val="(%1)"/>
      <w:numFmt w:val="lowerLetter"/>
      <w:start w:val="2"/>
    </w:lvl>
  </w:abstractNum>
  <w:abstractNum w:abstractNumId="495">
    <w:nsid w:val="51F79246"/>
    <w:multiLevelType w:val="hybridMultilevel"/>
    <w:lvl w:ilvl="0">
      <w:lvlJc w:val="left"/>
      <w:lvlText w:val="(%1)"/>
      <w:numFmt w:val="lowerLetter"/>
      <w:start w:val="1"/>
    </w:lvl>
    <w:lvl w:ilvl="1">
      <w:lvlJc w:val="left"/>
      <w:lvlText w:val="(%2)"/>
      <w:numFmt w:val="lowerRoman"/>
      <w:start w:val="1"/>
    </w:lvl>
  </w:abstractNum>
  <w:abstractNum w:abstractNumId="496">
    <w:nsid w:val="5BC9A827"/>
    <w:multiLevelType w:val="hybridMultilevel"/>
    <w:lvl w:ilvl="0">
      <w:lvlJc w:val="left"/>
      <w:lvlText w:val="(%1)"/>
      <w:numFmt w:val="lowerLetter"/>
      <w:start w:val="1"/>
    </w:lvl>
  </w:abstractNum>
  <w:abstractNum w:abstractNumId="497">
    <w:nsid w:val="3AE37D86"/>
    <w:multiLevelType w:val="hybridMultilevel"/>
    <w:lvl w:ilvl="0">
      <w:lvlJc w:val="left"/>
      <w:lvlText w:val="(%1)"/>
      <w:numFmt w:val="lowerLetter"/>
      <w:start w:val="7"/>
    </w:lvl>
  </w:abstractNum>
  <w:abstractNum w:abstractNumId="498">
    <w:nsid w:val="45440FE5"/>
    <w:multiLevelType w:val="hybridMultilevel"/>
    <w:lvl w:ilvl="0">
      <w:lvlJc w:val="left"/>
      <w:lvlText w:val="(%1)"/>
      <w:numFmt w:val="lowerLetter"/>
      <w:start w:val="14"/>
    </w:lvl>
  </w:abstractNum>
  <w:abstractNum w:abstractNumId="499">
    <w:nsid w:val="BF783F"/>
    <w:multiLevelType w:val="hybridMultilevel"/>
    <w:lvl w:ilvl="0">
      <w:lvlJc w:val="left"/>
      <w:lvlText w:val="(%1)"/>
      <w:numFmt w:val="lowerLetter"/>
      <w:start w:val="19"/>
    </w:lvl>
  </w:abstractNum>
  <w:abstractNum w:abstractNumId="500">
    <w:nsid w:val="22643EA9"/>
    <w:multiLevelType w:val="hybridMultilevel"/>
    <w:lvl w:ilvl="0">
      <w:lvlJc w:val="left"/>
      <w:lvlText w:val="(%1)"/>
      <w:numFmt w:val="lowerLetter"/>
      <w:start w:val="1"/>
    </w:lvl>
  </w:abstractNum>
  <w:abstractNum w:abstractNumId="501">
    <w:nsid w:val="1887578D"/>
    <w:multiLevelType w:val="hybridMultilevel"/>
    <w:lvl w:ilvl="0">
      <w:lvlJc w:val="left"/>
      <w:lvlText w:val="(%1)"/>
      <w:numFmt w:val="lowerLetter"/>
      <w:start w:val="1"/>
    </w:lvl>
  </w:abstractNum>
  <w:abstractNum w:abstractNumId="502">
    <w:nsid w:val="58C05B8A"/>
    <w:multiLevelType w:val="hybridMultilevel"/>
    <w:lvl w:ilvl="0">
      <w:lvlJc w:val="left"/>
      <w:lvlText w:val="(%1)"/>
      <w:numFmt w:val="lowerLetter"/>
      <w:start w:val="5"/>
    </w:lvl>
  </w:abstractNum>
  <w:abstractNum w:abstractNumId="503">
    <w:nsid w:val="38D82E71"/>
    <w:multiLevelType w:val="hybridMultilevel"/>
    <w:lvl w:ilvl="0">
      <w:lvlJc w:val="left"/>
      <w:lvlText w:val="(%1)"/>
      <w:numFmt w:val="lowerLetter"/>
      <w:start w:val="1"/>
    </w:lvl>
  </w:abstractNum>
  <w:abstractNum w:abstractNumId="504">
    <w:nsid w:val="1E41098A"/>
    <w:multiLevelType w:val="hybridMultilevel"/>
    <w:lvl w:ilvl="0">
      <w:lvlJc w:val="left"/>
      <w:lvlText w:val="(%1)"/>
      <w:numFmt w:val="lowerLetter"/>
      <w:start w:val="4"/>
    </w:lvl>
  </w:abstractNum>
  <w:abstractNum w:abstractNumId="505">
    <w:nsid w:val="5398582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2025-02-24T16:18:39Z</dcterms:created>
  <dcterms:modified xsi:type="dcterms:W3CDTF">2025-02-24T16:18:39Z</dcterms:modified>
</cp:coreProperties>
</file>