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DECEMBER 31, 2015</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560"/>
        <w:spacing w:after="0"/>
        <w:tabs>
          <w:tab w:leader="none" w:pos="67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3974465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814-00891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4" w:lineRule="exact"/>
        <w:rPr>
          <w:sz w:val="24"/>
          <w:szCs w:val="24"/>
          <w:color w:val="auto"/>
        </w:rPr>
      </w:pPr>
    </w:p>
    <w:tbl>
      <w:tblPr>
        <w:tblLayout w:type="fixed"/>
        <w:tblInd w:w="1340" w:type="dxa"/>
        <w:tblCellMar>
          <w:top w:w="0" w:type="dxa"/>
          <w:left w:w="0" w:type="dxa"/>
          <w:bottom w:w="0" w:type="dxa"/>
          <w:right w:w="0" w:type="dxa"/>
        </w:tblCellMar>
      </w:tblPr>
      <w:tr>
        <w:trPr>
          <w:trHeight w:val="16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r>
      <w:tr>
        <w:trPr>
          <w:trHeight w:val="150"/>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43"/>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4"/>
          <w:szCs w:val="24"/>
          <w:color w:val="auto"/>
        </w:rPr>
      </w:pPr>
    </w:p>
    <w:p>
      <w:pPr>
        <w:ind w:right="80" w:firstLine="33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0" w:lineRule="exact"/>
        <w:rPr>
          <w:sz w:val="24"/>
          <w:szCs w:val="24"/>
          <w:color w:val="auto"/>
        </w:rPr>
      </w:pPr>
    </w:p>
    <w:p>
      <w:pPr>
        <w:ind w:right="400" w:firstLine="33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1" w:lineRule="exact"/>
        <w:rPr>
          <w:sz w:val="24"/>
          <w:szCs w:val="24"/>
          <w:color w:val="auto"/>
        </w:rPr>
      </w:pPr>
    </w:p>
    <w:p>
      <w:pPr>
        <w:ind w:firstLine="33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56" w:lineRule="exact"/>
        <w:rPr>
          <w:sz w:val="24"/>
          <w:szCs w:val="24"/>
          <w:color w:val="auto"/>
        </w:rPr>
      </w:pPr>
    </w:p>
    <w:p>
      <w:pPr>
        <w:sectPr>
          <w:pgSz w:w="11900" w:h="16838" w:orient="portrait"/>
          <w:cols w:equalWidth="0" w:num="5">
            <w:col w:w="6880" w:space="140"/>
            <w:col w:w="200" w:space="80"/>
            <w:col w:w="120" w:space="160"/>
            <w:col w:w="160" w:space="80"/>
            <w:col w:w="3420"/>
          </w:cols>
          <w:pgMar w:left="320" w:top="230" w:right="339" w:bottom="1440" w:gutter="0" w:footer="0" w:header="0"/>
          <w:type w:val="continuous"/>
        </w:sectPr>
      </w:pPr>
    </w:p>
    <w:p>
      <w:pPr>
        <w:spacing w:after="0" w:line="29" w:lineRule="exact"/>
        <w:rPr>
          <w:sz w:val="24"/>
          <w:szCs w:val="24"/>
          <w:color w:val="auto"/>
        </w:rPr>
      </w:pPr>
    </w:p>
    <w:p>
      <w:pPr>
        <w:ind w:left="34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4, 2016 was 26,730,074.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DECEMBER 31,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20" w:type="dxa"/>
            <w:vAlign w:val="bottom"/>
          </w:tcPr>
          <w:p>
            <w:pPr>
              <w:spacing w:after="0"/>
              <w:rPr>
                <w:sz w:val="16"/>
                <w:szCs w:val="16"/>
                <w:color w:val="auto"/>
              </w:rPr>
            </w:pP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20" w:type="dxa"/>
            <w:vAlign w:val="bottom"/>
          </w:tcPr>
          <w:p>
            <w:pPr>
              <w:spacing w:after="0"/>
              <w:rPr>
                <w:sz w:val="22"/>
                <w:szCs w:val="22"/>
                <w:color w:val="auto"/>
              </w:rPr>
            </w:pP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2015 (unaudited) and September 30, 2015</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914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2015 (unaudited) and September 30, 2015</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57"/>
        </w:trPr>
        <w:tc>
          <w:tcPr>
            <w:tcW w:w="9140" w:type="dxa"/>
            <w:vAlign w:val="bottom"/>
          </w:tcPr>
          <w:p>
            <w:pPr>
              <w:ind w:left="30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4. Controls and Procedures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57"/>
        </w:trPr>
        <w:tc>
          <w:tcPr>
            <w:tcW w:w="9140" w:type="dxa"/>
            <w:vAlign w:val="bottom"/>
          </w:tcPr>
          <w:p>
            <w:pPr>
              <w:ind w:left="4280"/>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PART II. OTHER INFORMATION</w:t>
              </w:r>
            </w:hyperlink>
          </w:p>
        </w:tc>
        <w:tc>
          <w:tcPr>
            <w:tcW w:w="2020" w:type="dxa"/>
            <w:vAlign w:val="bottom"/>
          </w:tcPr>
          <w:p>
            <w:pPr>
              <w:spacing w:after="0"/>
              <w:rPr>
                <w:sz w:val="22"/>
                <w:szCs w:val="22"/>
                <w:color w:val="auto"/>
              </w:rPr>
            </w:pP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 Legal Proceedings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1A. Risk Factors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2. 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Defaults Upon Senior Securities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Mine Safety Disclosures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5. Other Information</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57"/>
        </w:trPr>
        <w:tc>
          <w:tcPr>
            <w:tcW w:w="914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6. Exhibits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56"/>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97"/>
        </w:trPr>
        <w:tc>
          <w:tcPr>
            <w:tcW w:w="9140" w:type="dxa"/>
            <w:vAlign w:val="bottom"/>
          </w:tcPr>
          <w:p>
            <w:pPr>
              <w:ind w:left="5580"/>
              <w:spacing w:after="0"/>
              <w:rPr>
                <w:sz w:val="20"/>
                <w:szCs w:val="20"/>
                <w:color w:val="auto"/>
              </w:rPr>
            </w:pPr>
            <w:r>
              <w:rPr>
                <w:rFonts w:ascii="Arial" w:cs="Arial" w:eastAsia="Arial" w:hAnsi="Arial"/>
                <w:sz w:val="14"/>
                <w:szCs w:val="14"/>
                <w:color w:val="auto"/>
              </w:rPr>
              <w:t>2</w:t>
            </w:r>
          </w:p>
        </w:tc>
        <w:tc>
          <w:tcPr>
            <w:tcW w:w="202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08"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We are filing this Report on Form 10-Q, or the Report, in compliance with Rule 13a-13 promulgated by the Securities and Exchange Commission, or the SEC. In this Report, except where the context suggests otherwise, the terms “Company,” “we,” “our” or “us” refer to PennantPark Floating Rate Capital Ltd. and its wholly-owned consolidated subsidiaries; “Funding I” refers to PennantPark Floating Rate Funding I, LLC;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multi-currency, senior secured revolving credit facility, as amended and restated, or the Credit Facility, and our business include investments we make through our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180"/>
          </w:cols>
          <w:pgMar w:left="32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560" w:type="dxa"/>
            <w:vAlign w:val="bottom"/>
          </w:tcPr>
          <w:p>
            <w:pPr>
              <w:ind w:left="280"/>
              <w:spacing w:after="0"/>
              <w:rPr>
                <w:sz w:val="20"/>
                <w:szCs w:val="20"/>
                <w:color w:val="auto"/>
              </w:rPr>
            </w:pPr>
            <w:r>
              <w:rPr>
                <w:rFonts w:ascii="Arial" w:cs="Arial" w:eastAsia="Arial" w:hAnsi="Arial"/>
                <w:sz w:val="14"/>
                <w:szCs w:val="14"/>
                <w:b w:val="1"/>
                <w:bCs w:val="1"/>
                <w:color w:val="auto"/>
              </w:rPr>
              <w:t>Consolidated Financial Statements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560" w:type="dxa"/>
            <w:vAlign w:val="bottom"/>
          </w:tcPr>
          <w:p>
            <w:pPr>
              <w:ind w:left="274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56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67"/>
        </w:trPr>
        <w:tc>
          <w:tcPr>
            <w:tcW w:w="52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71"/>
        </w:trPr>
        <w:tc>
          <w:tcPr>
            <w:tcW w:w="5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5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8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(cost—$464,023,806 and $394,561,175, respectively)</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457,289,068</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388,535,383</w:t>
            </w:r>
          </w:p>
        </w:tc>
      </w:tr>
      <w:tr>
        <w:trPr>
          <w:trHeight w:val="148"/>
        </w:trPr>
        <w:tc>
          <w:tcPr>
            <w:tcW w:w="8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Controlled, affiliated investments (cost—$2,777,132 and $2,777,132, respectively)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2,776,507</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2,776,507</w:t>
            </w:r>
          </w:p>
        </w:tc>
      </w:tr>
      <w:tr>
        <w:trPr>
          <w:trHeight w:val="27"/>
        </w:trPr>
        <w:tc>
          <w:tcPr>
            <w:tcW w:w="5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808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of investments (cost—$466,800,938 and $397,338,307, respectively)</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460,065,575</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391,311,890</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14,035,946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21,428,514</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receivable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2,273,976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1,959,404</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1,480,015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1,420,529</w:t>
            </w:r>
          </w:p>
        </w:tc>
      </w:tr>
      <w:tr>
        <w:trPr>
          <w:trHeight w:val="27"/>
        </w:trPr>
        <w:tc>
          <w:tcPr>
            <w:tcW w:w="5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20" w:type="dxa"/>
            <w:vAlign w:val="bottom"/>
            <w:shd w:val="clear" w:color="auto" w:fill="CCEEFF"/>
          </w:tcPr>
          <w:p>
            <w:pPr>
              <w:spacing w:after="0"/>
              <w:rPr>
                <w:sz w:val="12"/>
                <w:szCs w:val="12"/>
                <w:color w:val="auto"/>
              </w:rPr>
            </w:pPr>
          </w:p>
        </w:tc>
        <w:tc>
          <w:tcPr>
            <w:tcW w:w="7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assets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477,855,512</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416,120,337</w:t>
            </w:r>
          </w:p>
        </w:tc>
      </w:tr>
      <w:tr>
        <w:trPr>
          <w:trHeight w:val="155"/>
        </w:trPr>
        <w:tc>
          <w:tcPr>
            <w:tcW w:w="8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payable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2,539,357</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2,539,357</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10,802,662</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9,367,500</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Credit Facility payable (cost—$96,300,000 and $29,600,000, respectively) (See Notes 5 and 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95,698,125</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29,600,000</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Credit Facility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339,854</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224,633</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Management fee payable (See Note 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1,077,741</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956,115</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Performance-based incentive fee payable (See Note 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2,936</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378,516</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539,347</w:t>
            </w:r>
          </w:p>
        </w:tc>
      </w:tr>
      <w:tr>
        <w:trPr>
          <w:trHeight w:val="163"/>
        </w:trPr>
        <w:tc>
          <w:tcPr>
            <w:tcW w:w="520" w:type="dxa"/>
            <w:vAlign w:val="bottom"/>
          </w:tcPr>
          <w:p>
            <w:pPr>
              <w:spacing w:after="0"/>
              <w:rPr>
                <w:sz w:val="14"/>
                <w:szCs w:val="14"/>
                <w:color w:val="auto"/>
              </w:rPr>
            </w:pPr>
          </w:p>
        </w:tc>
        <w:tc>
          <w:tcPr>
            <w:tcW w:w="75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110,836,255</w:t>
            </w:r>
          </w:p>
        </w:tc>
        <w:tc>
          <w:tcPr>
            <w:tcW w:w="60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43,229,888</w:t>
            </w:r>
          </w:p>
        </w:tc>
        <w:tc>
          <w:tcPr>
            <w:tcW w:w="100" w:type="dxa"/>
            <w:vAlign w:val="bottom"/>
          </w:tcPr>
          <w:p>
            <w:pPr>
              <w:spacing w:after="0"/>
              <w:rPr>
                <w:sz w:val="14"/>
                <w:szCs w:val="14"/>
                <w:color w:val="auto"/>
              </w:rPr>
            </w:pP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26,730,074 shares issued and outstanding.</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0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26,730</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26,730</w:t>
            </w:r>
          </w:p>
        </w:tc>
      </w:tr>
      <w:tr>
        <w:trPr>
          <w:trHeight w:val="149"/>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371,502,801</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371,502,801</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Undistributed net investment income</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4,459,360</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6,991,473</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(2,836,146)</w:t>
            </w: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395,862</w:t>
            </w: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(6,735,363)</w:t>
            </w:r>
          </w:p>
        </w:tc>
        <w:tc>
          <w:tcPr>
            <w:tcW w:w="2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(6,026,417)</w:t>
            </w:r>
          </w:p>
        </w:tc>
      </w:tr>
      <w:tr>
        <w:trPr>
          <w:trHeight w:val="148"/>
        </w:trPr>
        <w:tc>
          <w:tcPr>
            <w:tcW w:w="808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Credit Facility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601,875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27"/>
        </w:trPr>
        <w:tc>
          <w:tcPr>
            <w:tcW w:w="5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20" w:type="dxa"/>
            <w:vAlign w:val="bottom"/>
            <w:shd w:val="clear" w:color="auto" w:fill="CCEEFF"/>
          </w:tcPr>
          <w:p>
            <w:pPr>
              <w:spacing w:after="0"/>
              <w:rPr>
                <w:sz w:val="12"/>
                <w:szCs w:val="12"/>
                <w:color w:val="auto"/>
              </w:rPr>
            </w:pPr>
          </w:p>
        </w:tc>
        <w:tc>
          <w:tcPr>
            <w:tcW w:w="7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367,019,257</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372,890,449</w:t>
            </w:r>
          </w:p>
        </w:tc>
      </w:tr>
      <w:tr>
        <w:trPr>
          <w:trHeight w:val="155"/>
        </w:trPr>
        <w:tc>
          <w:tcPr>
            <w:tcW w:w="520" w:type="dxa"/>
            <w:vAlign w:val="bottom"/>
          </w:tcPr>
          <w:p>
            <w:pPr>
              <w:spacing w:after="0"/>
              <w:rPr>
                <w:sz w:val="13"/>
                <w:szCs w:val="13"/>
                <w:color w:val="auto"/>
              </w:rPr>
            </w:pPr>
          </w:p>
        </w:tc>
        <w:tc>
          <w:tcPr>
            <w:tcW w:w="756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477,855,512</w:t>
            </w:r>
          </w:p>
        </w:tc>
        <w:tc>
          <w:tcPr>
            <w:tcW w:w="6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416,120,337</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08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4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600"/>
              <w:spacing w:after="0" w:line="143" w:lineRule="exact"/>
              <w:rPr>
                <w:sz w:val="20"/>
                <w:szCs w:val="20"/>
                <w:color w:val="auto"/>
              </w:rPr>
            </w:pPr>
            <w:r>
              <w:rPr>
                <w:rFonts w:ascii="Arial" w:cs="Arial" w:eastAsia="Arial" w:hAnsi="Arial"/>
                <w:sz w:val="14"/>
                <w:szCs w:val="14"/>
                <w:color w:val="auto"/>
              </w:rPr>
              <w:t>13.73</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13.95</w:t>
            </w:r>
          </w:p>
        </w:tc>
      </w:tr>
      <w:tr>
        <w:trPr>
          <w:trHeight w:val="20"/>
        </w:trPr>
        <w:tc>
          <w:tcPr>
            <w:tcW w:w="5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8,612,862</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7,448,774</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102,685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27,946</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40,933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8,756,480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7,476,720</w:t>
            </w:r>
          </w:p>
        </w:tc>
        <w:tc>
          <w:tcPr>
            <w:tcW w:w="0" w:type="dxa"/>
            <w:vAlign w:val="bottom"/>
          </w:tcPr>
          <w:p>
            <w:pPr>
              <w:spacing w:after="0"/>
              <w:rPr>
                <w:sz w:val="1"/>
                <w:szCs w:val="1"/>
                <w:color w:val="auto"/>
              </w:rPr>
            </w:pPr>
          </w:p>
        </w:tc>
      </w:tr>
      <w:tr>
        <w:trPr>
          <w:trHeight w:val="156"/>
        </w:trPr>
        <w:tc>
          <w:tcPr>
            <w:tcW w:w="88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1,077,741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883,370</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8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(2,936)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(314,057)</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Credit Facility (See Note 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939,682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885,758</w:t>
            </w:r>
          </w:p>
        </w:tc>
        <w:tc>
          <w:tcPr>
            <w:tcW w:w="0" w:type="dxa"/>
            <w:vAlign w:val="bottom"/>
          </w:tcPr>
          <w:p>
            <w:pPr>
              <w:spacing w:after="0"/>
              <w:rPr>
                <w:sz w:val="1"/>
                <w:szCs w:val="1"/>
                <w:color w:val="auto"/>
              </w:rPr>
            </w:pPr>
          </w:p>
        </w:tc>
      </w:tr>
      <w:tr>
        <w:trPr>
          <w:trHeight w:val="149"/>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226,000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548,313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217,203</w:t>
            </w:r>
          </w:p>
        </w:tc>
        <w:tc>
          <w:tcPr>
            <w:tcW w:w="0" w:type="dxa"/>
            <w:vAlign w:val="bottom"/>
          </w:tcPr>
          <w:p>
            <w:pPr>
              <w:spacing w:after="0"/>
              <w:rPr>
                <w:sz w:val="1"/>
                <w:szCs w:val="1"/>
                <w:color w:val="auto"/>
              </w:rPr>
            </w:pPr>
          </w:p>
        </w:tc>
      </w:tr>
      <w:tr>
        <w:trPr>
          <w:trHeight w:val="155"/>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provision for taxes and amendment costs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2,762,800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1,898,274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110,000</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Credit Facility amendment costs (See Notes 5 and 10)</w:t>
            </w: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907,722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expenses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3,670,522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2,008,274</w:t>
            </w:r>
          </w:p>
        </w:tc>
        <w:tc>
          <w:tcPr>
            <w:tcW w:w="0" w:type="dxa"/>
            <w:vAlign w:val="bottom"/>
          </w:tcPr>
          <w:p>
            <w:pPr>
              <w:spacing w:after="0"/>
              <w:rPr>
                <w:sz w:val="1"/>
                <w:szCs w:val="1"/>
                <w:color w:val="auto"/>
              </w:rPr>
            </w:pPr>
          </w:p>
        </w:tc>
      </w:tr>
      <w:tr>
        <w:trPr>
          <w:trHeight w:val="163"/>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5,085,958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5,468,446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on investments and Credit Facility:</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Net realized loss on investments</w:t>
            </w:r>
          </w:p>
        </w:tc>
        <w:tc>
          <w:tcPr>
            <w:tcW w:w="8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(3,232,008)</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(173,989)</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on:</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80" w:type="dxa"/>
            <w:vAlign w:val="bottom"/>
          </w:tcPr>
          <w:p>
            <w:pPr>
              <w:spacing w:after="0"/>
              <w:rPr>
                <w:sz w:val="12"/>
                <w:szCs w:val="12"/>
                <w:color w:val="auto"/>
              </w:rPr>
            </w:pP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(708,946)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(4,897,130)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Credit Facility depreciation (See Notes 5 and 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601,875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40,875</w:t>
            </w:r>
          </w:p>
        </w:tc>
        <w:tc>
          <w:tcPr>
            <w:tcW w:w="0" w:type="dxa"/>
            <w:vAlign w:val="bottom"/>
          </w:tcPr>
          <w:p>
            <w:pPr>
              <w:spacing w:after="0"/>
              <w:rPr>
                <w:sz w:val="1"/>
                <w:szCs w:val="1"/>
                <w:color w:val="auto"/>
              </w:rPr>
            </w:pPr>
          </w:p>
        </w:tc>
      </w:tr>
      <w:tr>
        <w:trPr>
          <w:trHeight w:val="163"/>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depreciation on investments and Credit Facility</w:t>
            </w: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(107,071)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(4,856,255)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loss from investments and Credit Facility</w:t>
            </w:r>
          </w:p>
        </w:tc>
        <w:tc>
          <w:tcPr>
            <w:tcW w:w="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(3,339,079)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(5,030,244)</w:t>
            </w:r>
          </w:p>
        </w:tc>
        <w:tc>
          <w:tcPr>
            <w:tcW w:w="0" w:type="dxa"/>
            <w:vAlign w:val="bottom"/>
          </w:tcPr>
          <w:p>
            <w:pPr>
              <w:spacing w:after="0"/>
              <w:rPr>
                <w:sz w:val="1"/>
                <w:szCs w:val="1"/>
                <w:color w:val="auto"/>
              </w:rPr>
            </w:pPr>
          </w:p>
        </w:tc>
      </w:tr>
      <w:tr>
        <w:trPr>
          <w:trHeight w:val="156"/>
        </w:trPr>
        <w:tc>
          <w:tcPr>
            <w:tcW w:w="88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1,746,879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438,202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0.07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68"/>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0.19</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3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in net assets from operations:</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5,085,958</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5,468,446</w:t>
            </w: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on investments</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(3,232,008)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(173,989)</w:t>
            </w: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60" w:type="dxa"/>
            <w:vAlign w:val="bottom"/>
          </w:tcPr>
          <w:p>
            <w:pPr>
              <w:spacing w:after="0"/>
              <w:rPr>
                <w:sz w:val="12"/>
                <w:szCs w:val="12"/>
                <w:color w:val="auto"/>
              </w:rPr>
            </w:pPr>
          </w:p>
        </w:tc>
        <w:tc>
          <w:tcPr>
            <w:tcW w:w="10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(708,946)</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(4,897,130)</w:t>
            </w: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601,875</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40,875</w:t>
            </w:r>
          </w:p>
        </w:tc>
        <w:tc>
          <w:tcPr>
            <w:tcW w:w="0" w:type="dxa"/>
            <w:vAlign w:val="bottom"/>
          </w:tcPr>
          <w:p>
            <w:pPr>
              <w:spacing w:after="0"/>
              <w:rPr>
                <w:sz w:val="1"/>
                <w:szCs w:val="1"/>
                <w:color w:val="auto"/>
              </w:rPr>
            </w:pPr>
          </w:p>
        </w:tc>
      </w:tr>
      <w:tr>
        <w:trPr>
          <w:trHeight w:val="163"/>
        </w:trPr>
        <w:tc>
          <w:tcPr>
            <w:tcW w:w="89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1,746,879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438,202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(7,618,071)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(4,022,475)</w:t>
            </w:r>
          </w:p>
        </w:tc>
        <w:tc>
          <w:tcPr>
            <w:tcW w:w="0" w:type="dxa"/>
            <w:vAlign w:val="bottom"/>
          </w:tcPr>
          <w:p>
            <w:pPr>
              <w:spacing w:after="0"/>
              <w:rPr>
                <w:sz w:val="1"/>
                <w:szCs w:val="1"/>
                <w:color w:val="auto"/>
              </w:rPr>
            </w:pPr>
          </w:p>
        </w:tc>
      </w:tr>
      <w:tr>
        <w:trPr>
          <w:trHeight w:val="163"/>
        </w:trPr>
        <w:tc>
          <w:tcPr>
            <w:tcW w:w="89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(5,871,192)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(3,584,273)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372,890,449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214,527,710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367,019,257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210,943,437</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00"/>
              <w:spacing w:after="0"/>
              <w:rPr>
                <w:sz w:val="20"/>
                <w:szCs w:val="20"/>
                <w:color w:val="auto"/>
              </w:rPr>
            </w:pPr>
            <w:r>
              <w:rPr>
                <w:rFonts w:ascii="Arial" w:cs="Arial" w:eastAsia="Arial" w:hAnsi="Arial"/>
                <w:sz w:val="14"/>
                <w:szCs w:val="14"/>
                <w:color w:val="auto"/>
              </w:rPr>
              <w:t>Undistributed net investment income, end of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4,459,360</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6,324,062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440"/>
              <w:spacing w:after="0" w:line="149" w:lineRule="exact"/>
              <w:rPr>
                <w:sz w:val="20"/>
                <w:szCs w:val="20"/>
                <w:color w:val="auto"/>
              </w:rPr>
            </w:pPr>
            <w:r>
              <w:rPr>
                <w:rFonts w:ascii="Arial" w:cs="Arial" w:eastAsia="Arial" w:hAnsi="Arial"/>
                <w:sz w:val="14"/>
                <w:szCs w:val="14"/>
                <w:color w:val="auto"/>
              </w:rPr>
              <w:t>Net increase in net assets resulting from operations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1,746,879</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438,202</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Adjustments to reconcile net increase in net assets resulting from operations to net cash (used) provided by operating activities:</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708,946</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4,897,130</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change in unrealized depreciation on Credit Facility</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(601,875)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(40,875)</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Net realized loss on investments</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3,232,008</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173,989</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(337,666)</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(292,312)</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(99,199,653)</w:t>
            </w:r>
          </w:p>
        </w:tc>
        <w:tc>
          <w:tcPr>
            <w:tcW w:w="2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(46,998,949)</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Payment-in-kind interest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(18,135)</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(168,128)</w:t>
            </w:r>
          </w:p>
        </w:tc>
        <w:tc>
          <w:tcPr>
            <w:tcW w:w="0" w:type="dxa"/>
            <w:vAlign w:val="bottom"/>
          </w:tcPr>
          <w:p>
            <w:pPr>
              <w:spacing w:after="0"/>
              <w:rPr>
                <w:sz w:val="1"/>
                <w:szCs w:val="1"/>
                <w:color w:val="auto"/>
              </w:rPr>
            </w:pPr>
          </w:p>
        </w:tc>
      </w:tr>
      <w:tr>
        <w:trPr>
          <w:trHeight w:val="149"/>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26,860,815</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44,916,238</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in interest receivable</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(314,572)</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(388,891)</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Decrease in receivable for investments sold</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9,001,938</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prepaid expenses and other assets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(59,486)</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53,631</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1,435,162</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1,738,000</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Increase (decrease) in interest payable on Credit Facility</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115,221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Increase (decrease) in management fee payable</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121,626</w:t>
            </w:r>
          </w:p>
        </w:tc>
        <w:tc>
          <w:tcPr>
            <w:tcW w:w="20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(31,608)</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Decrease in performance-based incentive fee payable</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(2,936)</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(1,350,865)</w:t>
            </w:r>
          </w:p>
        </w:tc>
        <w:tc>
          <w:tcPr>
            <w:tcW w:w="0" w:type="dxa"/>
            <w:vAlign w:val="bottom"/>
          </w:tcPr>
          <w:p>
            <w:pPr>
              <w:spacing w:after="0"/>
              <w:rPr>
                <w:sz w:val="1"/>
                <w:szCs w:val="1"/>
                <w:color w:val="auto"/>
              </w:rPr>
            </w:pPr>
          </w:p>
        </w:tc>
      </w:tr>
      <w:tr>
        <w:trPr>
          <w:trHeight w:val="148"/>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(Decrease) increase in accrued other expenses</w:t>
            </w:r>
          </w:p>
        </w:tc>
        <w:tc>
          <w:tcPr>
            <w:tcW w:w="80" w:type="dxa"/>
            <w:vAlign w:val="bottom"/>
          </w:tcPr>
          <w:p>
            <w:pPr>
              <w:spacing w:after="0"/>
              <w:rPr>
                <w:sz w:val="12"/>
                <w:szCs w:val="12"/>
                <w:color w:val="auto"/>
              </w:rPr>
            </w:pPr>
          </w:p>
        </w:tc>
        <w:tc>
          <w:tcPr>
            <w:tcW w:w="12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(160,831)</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247,912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8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Net cash (used) provided by operating activities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(66,474,497)</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12,194,148</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(7,618,071)</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(4,022,475)</w:t>
            </w:r>
          </w:p>
        </w:tc>
        <w:tc>
          <w:tcPr>
            <w:tcW w:w="0" w:type="dxa"/>
            <w:vAlign w:val="bottom"/>
          </w:tcPr>
          <w:p>
            <w:pPr>
              <w:spacing w:after="0"/>
              <w:rPr>
                <w:sz w:val="1"/>
                <w:szCs w:val="1"/>
                <w:color w:val="auto"/>
              </w:rPr>
            </w:pPr>
          </w:p>
        </w:tc>
      </w:tr>
      <w:tr>
        <w:trPr>
          <w:trHeight w:val="149"/>
        </w:trPr>
        <w:tc>
          <w:tcPr>
            <w:tcW w:w="8800" w:type="dxa"/>
            <w:vAlign w:val="bottom"/>
          </w:tcPr>
          <w:p>
            <w:pPr>
              <w:ind w:left="880"/>
              <w:spacing w:after="0" w:line="149" w:lineRule="exact"/>
              <w:rPr>
                <w:sz w:val="20"/>
                <w:szCs w:val="20"/>
                <w:color w:val="auto"/>
              </w:rPr>
            </w:pPr>
            <w:r>
              <w:rPr>
                <w:rFonts w:ascii="Arial" w:cs="Arial" w:eastAsia="Arial" w:hAnsi="Arial"/>
                <w:sz w:val="14"/>
                <w:szCs w:val="14"/>
                <w:color w:val="auto"/>
              </w:rPr>
              <w:t>Borrowings under Credit Facility (See Notes 5 and 10)</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69,300,000</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34,300,000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Repayments under Credit Facility (See Notes 5 and 10)</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(2,600,000)</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(45,200,000)</w:t>
            </w:r>
          </w:p>
        </w:tc>
        <w:tc>
          <w:tcPr>
            <w:tcW w:w="0" w:type="dxa"/>
            <w:vAlign w:val="bottom"/>
          </w:tcPr>
          <w:p>
            <w:pPr>
              <w:spacing w:after="0"/>
              <w:rPr>
                <w:sz w:val="1"/>
                <w:szCs w:val="1"/>
                <w:color w:val="auto"/>
              </w:rPr>
            </w:pPr>
          </w:p>
        </w:tc>
      </w:tr>
      <w:tr>
        <w:trPr>
          <w:trHeight w:val="163"/>
        </w:trPr>
        <w:tc>
          <w:tcPr>
            <w:tcW w:w="8800" w:type="dxa"/>
            <w:vAlign w:val="bottom"/>
          </w:tcPr>
          <w:p>
            <w:pPr>
              <w:ind w:left="1300"/>
              <w:spacing w:after="0" w:line="155" w:lineRule="exact"/>
              <w:rPr>
                <w:sz w:val="20"/>
                <w:szCs w:val="20"/>
                <w:color w:val="auto"/>
              </w:rPr>
            </w:pPr>
            <w:r>
              <w:rPr>
                <w:rFonts w:ascii="Arial" w:cs="Arial" w:eastAsia="Arial" w:hAnsi="Arial"/>
                <w:sz w:val="14"/>
                <w:szCs w:val="14"/>
                <w:color w:val="auto"/>
              </w:rPr>
              <w:t>Net cash provided (used) by financing activities</w:t>
            </w: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59,081,929</w:t>
            </w:r>
          </w:p>
        </w:tc>
        <w:tc>
          <w:tcPr>
            <w:tcW w:w="3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(14,922,475)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cash equivalents</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(7,392,568)</w:t>
            </w:r>
          </w:p>
        </w:tc>
        <w:tc>
          <w:tcPr>
            <w:tcW w:w="2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(2,728,327)</w:t>
            </w: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b w:val="1"/>
                <w:bCs w:val="1"/>
                <w:color w:val="auto"/>
              </w:rPr>
              <w:t>Cash equivalents, beginning of period</w:t>
            </w:r>
          </w:p>
        </w:tc>
        <w:tc>
          <w:tcPr>
            <w:tcW w:w="8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21,428,514</w:t>
            </w:r>
          </w:p>
        </w:tc>
        <w:tc>
          <w:tcPr>
            <w:tcW w:w="20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13,113,817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 end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14,035,946</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10,385,490</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824,461</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852,022</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220"/>
              <w:spacing w:after="0"/>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1,190</w:t>
            </w:r>
          </w:p>
        </w:tc>
        <w:tc>
          <w:tcPr>
            <w:tcW w:w="340" w:type="dxa"/>
            <w:vAlign w:val="bottom"/>
          </w:tcPr>
          <w:p>
            <w:pPr>
              <w:spacing w:after="0"/>
              <w:rPr>
                <w:sz w:val="12"/>
                <w:szCs w:val="12"/>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Non-cash exchanges and conversions</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4,547,934</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240" w:type="dxa"/>
            <w:vAlign w:val="bottom"/>
          </w:tcPr>
          <w:p>
            <w:pPr>
              <w:jc w:val="center"/>
              <w:ind w:left="437"/>
              <w:spacing w:after="0"/>
              <w:rPr>
                <w:sz w:val="20"/>
                <w:szCs w:val="20"/>
                <w:color w:val="auto"/>
              </w:rPr>
            </w:pPr>
            <w:r>
              <w:rPr>
                <w:rFonts w:ascii="Arial" w:cs="Arial" w:eastAsia="Arial" w:hAnsi="Arial"/>
                <w:sz w:val="13"/>
                <w:szCs w:val="13"/>
                <w:b w:val="1"/>
                <w:bCs w:val="1"/>
                <w:color w:val="auto"/>
                <w:w w:val="98"/>
              </w:rPr>
              <w:t>Maturity</w:t>
            </w:r>
          </w:p>
        </w:tc>
        <w:tc>
          <w:tcPr>
            <w:tcW w:w="184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760" w:type="dxa"/>
            <w:vAlign w:val="bottom"/>
          </w:tcPr>
          <w:p>
            <w:pPr>
              <w:jc w:val="right"/>
              <w:ind w:right="177"/>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20" w:type="dxa"/>
            <w:vAlign w:val="bottom"/>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000" w:type="dxa"/>
            <w:vAlign w:val="bottom"/>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20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129"/>
        </w:trPr>
        <w:tc>
          <w:tcPr>
            <w:tcW w:w="46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 xml:space="preserve">Investments in Non-Controlled, Non-Affiliated Portfolio Companies—124.6% </w:t>
            </w:r>
            <w:r>
              <w:rPr>
                <w:rFonts w:ascii="Arial" w:cs="Arial" w:eastAsia="Arial" w:hAnsi="Arial"/>
                <w:sz w:val="10"/>
                <w:szCs w:val="10"/>
                <w:b w:val="1"/>
                <w:bCs w:val="1"/>
                <w:color w:val="auto"/>
                <w:w w:val="92"/>
              </w:rPr>
              <w:t>(3), (4)</w:t>
            </w:r>
          </w:p>
        </w:tc>
        <w:tc>
          <w:tcPr>
            <w:tcW w:w="18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Debt—109.1%</w:t>
            </w:r>
          </w:p>
        </w:tc>
        <w:tc>
          <w:tcPr>
            <w:tcW w:w="12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04/02/2018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14.25%</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P+1,075</w:t>
            </w:r>
            <w:r>
              <w:rPr>
                <w:rFonts w:ascii="Arial" w:cs="Arial" w:eastAsia="Arial" w:hAnsi="Arial"/>
                <w:sz w:val="10"/>
                <w:szCs w:val="10"/>
                <w:color w:val="auto"/>
              </w:rPr>
              <w:t>(9)</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10,597,197</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  10,516,936</w:t>
            </w:r>
          </w:p>
        </w:tc>
        <w:tc>
          <w:tcPr>
            <w:tcW w:w="2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10,775,203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04/02/2018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1,165,725</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19,581</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ALG USA Holdings, LLC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02/28/2019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7,136,577</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7,104,384</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04/04/2022</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3,843,577</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3,825,433</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3,742,683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Ancile Solutions,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07/16/2018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2,948,755</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2,932,168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2,904,524</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12/21/2020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6,585,275</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6,499,641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6,330,096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ARC Automotive Group,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10/12/2020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P+400</w:t>
            </w:r>
            <w:r>
              <w:rPr>
                <w:rFonts w:ascii="Arial" w:cs="Arial" w:eastAsia="Arial" w:hAnsi="Arial"/>
                <w:sz w:val="10"/>
                <w:szCs w:val="10"/>
                <w:color w:val="auto"/>
              </w:rPr>
              <w:t>(9)</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3,960,000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3,926,852</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3,920,400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Azure Midstream Energy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11/15/2018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5,193,754</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5,079,294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4,155,003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Blue Bird Body Company</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06/29/2020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4,218,085</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4,167,693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4,170,632</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Bowlmor AMF Corp.</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09/17/2021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12,869,811</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12,790,612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12,687,446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A</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06/03/2021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2,485,000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2,435,901</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2,122,190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Broder Bros., Co., Tranche B</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06/03/2021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L+1,225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2,490,000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2,440,522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2,753,940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Camin Cargo Control,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06/30/2021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2,487,500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2,463,983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2,431,531</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CareCentrix,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07/08/2021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4,870,465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4,825,406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07/02/2020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4,964,472</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4,675,000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Charming Charlie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12/24/2019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4,421,250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4,373,291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3,713,850</w:t>
            </w: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24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01/08/2019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4,925,000</w:t>
            </w:r>
          </w:p>
        </w:tc>
        <w:tc>
          <w:tcPr>
            <w:tcW w:w="10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4,889,338</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11/25/2020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L+975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6,320,000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6,195,334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6,193,600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(10)</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11/25/2020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518,033</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CRGT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12/21/2020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11,786,392</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11,684,681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11,668,528</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02/07/2022</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1,985,000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1,967,026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1,960,188</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DCS Business Services,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03/19/2018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2,968,976</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2,947,751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2,968,976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DISA Global Solutions,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12/09/2020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4,962,500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4,920,683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4,838,437</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06/30/2020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4,875,000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4,840,289</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4,875,000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09/10/2020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8,887,500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8,845,343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8,798,625</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 (10)</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09/10/2020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07/01/2021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4,904,048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4,664,062</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FHC Health Systems,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12/23/2021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4,962,500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4,916,335</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4,714,375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GlobalLogic Holdings,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05/31/2019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3,920,000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3,893,076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3,841,600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11/04/2020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6,860,000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6,809,832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6,414,100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10/21/2020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1,191,000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1,175,786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1,191,000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Hostway Corporation</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12/13/2019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2,735,307</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2,715,937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2,694,277</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08/05/2019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6,562,500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6,514,306</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6,464,062</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ICC-Nexergy,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04/30/2020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4,931,317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11/04/2020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6,947,500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6,829,010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6,947,500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Idera,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04/09/2021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6,321,011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6,335,000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05/01/2019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9,739,761</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9,616,987</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8,765,785</w:t>
            </w:r>
          </w:p>
        </w:tc>
        <w:tc>
          <w:tcPr>
            <w:tcW w:w="0" w:type="dxa"/>
            <w:vAlign w:val="bottom"/>
          </w:tcPr>
          <w:p>
            <w:pPr>
              <w:spacing w:after="0"/>
              <w:rPr>
                <w:sz w:val="1"/>
                <w:szCs w:val="1"/>
                <w:color w:val="auto"/>
              </w:rPr>
            </w:pPr>
          </w:p>
        </w:tc>
      </w:tr>
      <w:tr>
        <w:trPr>
          <w:trHeight w:val="121"/>
        </w:trPr>
        <w:tc>
          <w:tcPr>
            <w:tcW w:w="344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240" w:type="dxa"/>
            <w:vAlign w:val="bottom"/>
          </w:tcPr>
          <w:p>
            <w:pPr>
              <w:jc w:val="center"/>
              <w:ind w:left="437"/>
              <w:spacing w:after="0" w:line="121" w:lineRule="exact"/>
              <w:rPr>
                <w:sz w:val="20"/>
                <w:szCs w:val="20"/>
                <w:color w:val="auto"/>
              </w:rPr>
            </w:pPr>
            <w:r>
              <w:rPr>
                <w:rFonts w:ascii="Arial" w:cs="Arial" w:eastAsia="Arial" w:hAnsi="Arial"/>
                <w:sz w:val="13"/>
                <w:szCs w:val="13"/>
                <w:color w:val="auto"/>
                <w:w w:val="89"/>
              </w:rPr>
              <w:t>03/28/2019</w:t>
            </w:r>
          </w:p>
        </w:tc>
        <w:tc>
          <w:tcPr>
            <w:tcW w:w="184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5,343,581</w:t>
            </w:r>
          </w:p>
        </w:tc>
        <w:tc>
          <w:tcPr>
            <w:tcW w:w="10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5,288,139</w:t>
            </w:r>
          </w:p>
        </w:tc>
        <w:tc>
          <w:tcPr>
            <w:tcW w:w="20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5,343,581</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240" w:type="dxa"/>
            <w:vAlign w:val="bottom"/>
            <w:shd w:val="clear" w:color="auto" w:fill="CCEEFF"/>
          </w:tcPr>
          <w:p>
            <w:pPr>
              <w:jc w:val="center"/>
              <w:ind w:left="437"/>
              <w:spacing w:after="0" w:line="121" w:lineRule="exact"/>
              <w:rPr>
                <w:sz w:val="20"/>
                <w:szCs w:val="20"/>
                <w:color w:val="auto"/>
              </w:rPr>
            </w:pPr>
            <w:r>
              <w:rPr>
                <w:rFonts w:ascii="Arial" w:cs="Arial" w:eastAsia="Arial" w:hAnsi="Arial"/>
                <w:sz w:val="13"/>
                <w:szCs w:val="13"/>
                <w:color w:val="auto"/>
                <w:w w:val="89"/>
              </w:rPr>
              <w:t>03/28/2019</w:t>
            </w:r>
          </w:p>
        </w:tc>
        <w:tc>
          <w:tcPr>
            <w:tcW w:w="184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7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L+1,100</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4,500,000</w:t>
            </w:r>
          </w:p>
        </w:tc>
        <w:tc>
          <w:tcPr>
            <w:tcW w:w="10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4,450,077</w:t>
            </w:r>
          </w:p>
        </w:tc>
        <w:tc>
          <w:tcPr>
            <w:tcW w:w="20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7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06/30/2020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6,765,680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6,702,907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6,630,366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07/30/2020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L+700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4,906,292</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4,781,250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08/19/2019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L+1,000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5,926,736</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5,842,352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5,652,521</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07/17/2020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2,962,500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2,934,869</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2,918,062</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KHC Holdings,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10/31/2022</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12,284,327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12,281,250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KHC Holdings, Inc. (Revolver) </w:t>
            </w:r>
            <w:r>
              <w:rPr>
                <w:rFonts w:ascii="Arial" w:cs="Arial" w:eastAsia="Arial" w:hAnsi="Arial"/>
                <w:sz w:val="10"/>
                <w:szCs w:val="10"/>
                <w:color w:val="auto"/>
              </w:rPr>
              <w:t>(8) , (10)</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10/30/2020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Wholesale</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1,209,677</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11/13/2020</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1,960,014</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1,953,138</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1,889,786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11/30/2018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5,774,263</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5,720,252</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5,774,263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(6), (11)</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05/10/2021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2,203,214</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2,192,478</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2,181,182</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05/10/2021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284,286</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282,900</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281,443</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LSF9 Cypress Holdings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10/10/2022</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11,887,766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11,833,375</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LTI Holdings,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04/18/2022</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5.25%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1,980,638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1,892,152</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MB Aerospace ACP Holdings II Corp.</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12/15/2022</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6,930,137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6,930,000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07/31/2019</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8,892,647</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8,834,283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8,483,585</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06/04/2021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3,491,250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3,474,976</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3,473,794</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PlayPower,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06/23/2021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3,980,000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3,942,773</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3,960,100</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06/28/2019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10,489,901</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10,446,081</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10,371,890</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11/01/2018</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7,528,230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7,451,555</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6,511,919</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05/20/2021</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7,423,156</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7,353,188</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7,423,156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05/20/2020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7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2,459,016</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12/17/2018</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7.75%</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4,900,000</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4,865,884</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4,895,933</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03/18/2021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6,947,500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6,915,515</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6,843,288</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06/18/2019</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3,579,361</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3,555,127</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3,565,082</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08/07/2020</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4,387,500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4,325,099</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4,250,391</w:t>
            </w:r>
          </w:p>
        </w:tc>
        <w:tc>
          <w:tcPr>
            <w:tcW w:w="0" w:type="dxa"/>
            <w:vAlign w:val="bottom"/>
          </w:tcPr>
          <w:p>
            <w:pPr>
              <w:spacing w:after="0"/>
              <w:rPr>
                <w:sz w:val="1"/>
                <w:szCs w:val="1"/>
                <w:color w:val="auto"/>
              </w:rPr>
            </w:pPr>
          </w:p>
        </w:tc>
      </w:tr>
      <w:tr>
        <w:trPr>
          <w:trHeight w:val="135"/>
        </w:trPr>
        <w:tc>
          <w:tcPr>
            <w:tcW w:w="34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240" w:type="dxa"/>
            <w:vAlign w:val="bottom"/>
          </w:tcPr>
          <w:p>
            <w:pPr>
              <w:jc w:val="center"/>
              <w:ind w:left="437"/>
              <w:spacing w:after="0" w:line="135" w:lineRule="exact"/>
              <w:rPr>
                <w:sz w:val="20"/>
                <w:szCs w:val="20"/>
                <w:color w:val="auto"/>
              </w:rPr>
            </w:pPr>
            <w:r>
              <w:rPr>
                <w:rFonts w:ascii="Arial" w:cs="Arial" w:eastAsia="Arial" w:hAnsi="Arial"/>
                <w:sz w:val="13"/>
                <w:szCs w:val="13"/>
                <w:color w:val="auto"/>
                <w:w w:val="89"/>
              </w:rPr>
              <w:t>04/21/2017</w:t>
            </w:r>
          </w:p>
        </w:tc>
        <w:tc>
          <w:tcPr>
            <w:tcW w:w="184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6,079,313</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5,947,582</w:t>
            </w:r>
          </w:p>
        </w:tc>
        <w:tc>
          <w:tcPr>
            <w:tcW w:w="20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6,048,916</w:t>
            </w:r>
          </w:p>
        </w:tc>
        <w:tc>
          <w:tcPr>
            <w:tcW w:w="0" w:type="dxa"/>
            <w:vAlign w:val="bottom"/>
          </w:tcPr>
          <w:p>
            <w:pPr>
              <w:spacing w:after="0"/>
              <w:rPr>
                <w:sz w:val="1"/>
                <w:szCs w:val="1"/>
                <w:color w:val="auto"/>
              </w:rPr>
            </w:pPr>
          </w:p>
        </w:tc>
      </w:tr>
      <w:tr>
        <w:trPr>
          <w:trHeight w:val="135"/>
        </w:trPr>
        <w:tc>
          <w:tcPr>
            <w:tcW w:w="34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240" w:type="dxa"/>
            <w:vAlign w:val="bottom"/>
            <w:shd w:val="clear" w:color="auto" w:fill="CCEEFF"/>
          </w:tcPr>
          <w:p>
            <w:pPr>
              <w:jc w:val="center"/>
              <w:ind w:left="437"/>
              <w:spacing w:after="0" w:line="135" w:lineRule="exact"/>
              <w:rPr>
                <w:sz w:val="20"/>
                <w:szCs w:val="20"/>
                <w:color w:val="auto"/>
              </w:rPr>
            </w:pPr>
            <w:r>
              <w:rPr>
                <w:rFonts w:ascii="Arial" w:cs="Arial" w:eastAsia="Arial" w:hAnsi="Arial"/>
                <w:sz w:val="13"/>
                <w:szCs w:val="13"/>
                <w:color w:val="auto"/>
                <w:w w:val="89"/>
              </w:rPr>
              <w:t>08/09/2021</w:t>
            </w:r>
          </w:p>
        </w:tc>
        <w:tc>
          <w:tcPr>
            <w:tcW w:w="18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7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474,200</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472,188</w:t>
            </w:r>
          </w:p>
        </w:tc>
        <w:tc>
          <w:tcPr>
            <w:tcW w:w="20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473,015</w:t>
            </w:r>
          </w:p>
        </w:tc>
        <w:tc>
          <w:tcPr>
            <w:tcW w:w="0" w:type="dxa"/>
            <w:vAlign w:val="bottom"/>
          </w:tcPr>
          <w:p>
            <w:pPr>
              <w:spacing w:after="0"/>
              <w:rPr>
                <w:sz w:val="1"/>
                <w:szCs w:val="1"/>
                <w:color w:val="auto"/>
              </w:rPr>
            </w:pPr>
          </w:p>
        </w:tc>
      </w:tr>
      <w:tr>
        <w:trPr>
          <w:trHeight w:val="160"/>
        </w:trPr>
        <w:tc>
          <w:tcPr>
            <w:tcW w:w="3440" w:type="dxa"/>
            <w:vAlign w:val="bottom"/>
          </w:tcPr>
          <w:p>
            <w:pPr>
              <w:spacing w:after="0"/>
              <w:rPr>
                <w:sz w:val="20"/>
                <w:szCs w:val="20"/>
                <w:color w:val="auto"/>
              </w:rPr>
            </w:pPr>
            <w:r>
              <w:rPr>
                <w:rFonts w:ascii="Arial" w:cs="Arial" w:eastAsia="Arial" w:hAnsi="Arial"/>
                <w:sz w:val="13"/>
                <w:szCs w:val="13"/>
                <w:color w:val="auto"/>
              </w:rPr>
              <w:t>Sundial Group Holdings LLC</w:t>
            </w:r>
          </w:p>
        </w:tc>
        <w:tc>
          <w:tcPr>
            <w:tcW w:w="1240" w:type="dxa"/>
            <w:vAlign w:val="bottom"/>
          </w:tcPr>
          <w:p>
            <w:pPr>
              <w:jc w:val="center"/>
              <w:ind w:left="437"/>
              <w:spacing w:after="0"/>
              <w:rPr>
                <w:sz w:val="20"/>
                <w:szCs w:val="20"/>
                <w:color w:val="auto"/>
              </w:rPr>
            </w:pPr>
            <w:r>
              <w:rPr>
                <w:rFonts w:ascii="Arial" w:cs="Arial" w:eastAsia="Arial" w:hAnsi="Arial"/>
                <w:sz w:val="13"/>
                <w:szCs w:val="13"/>
                <w:color w:val="auto"/>
                <w:w w:val="89"/>
              </w:rPr>
              <w:t>10/19/2021</w:t>
            </w: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Consumer Goods: Non-Durable</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7.25%</w:t>
            </w: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L+625</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7,500,000</w:t>
            </w:r>
          </w:p>
        </w:tc>
        <w:tc>
          <w:tcPr>
            <w:tcW w:w="1000" w:type="dxa"/>
            <w:vAlign w:val="bottom"/>
          </w:tcPr>
          <w:p>
            <w:pPr>
              <w:jc w:val="right"/>
              <w:ind w:right="57"/>
              <w:spacing w:after="0"/>
              <w:rPr>
                <w:sz w:val="20"/>
                <w:szCs w:val="20"/>
                <w:color w:val="auto"/>
              </w:rPr>
            </w:pPr>
            <w:r>
              <w:rPr>
                <w:rFonts w:ascii="Arial" w:cs="Arial" w:eastAsia="Arial" w:hAnsi="Arial"/>
                <w:sz w:val="13"/>
                <w:szCs w:val="13"/>
                <w:color w:val="auto"/>
              </w:rPr>
              <w:t>7,375,975</w:t>
            </w:r>
          </w:p>
        </w:tc>
        <w:tc>
          <w:tcPr>
            <w:tcW w:w="20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7,387,500</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1"/>
              </w:rPr>
              <w:t>Basis Point</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362"/>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Above</w:t>
            </w:r>
          </w:p>
        </w:tc>
        <w:tc>
          <w:tcPr>
            <w:tcW w:w="720" w:type="dxa"/>
            <w:vAlign w:val="bottom"/>
            <w:gridSpan w:val="2"/>
          </w:tcPr>
          <w:p>
            <w:pPr>
              <w:jc w:val="right"/>
              <w:ind w:right="280"/>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20" w:type="dxa"/>
            <w:vAlign w:val="bottom"/>
            <w:gridSpan w:val="2"/>
            <w:vMerge w:val="continue"/>
          </w:tcPr>
          <w:p>
            <w:pPr>
              <w:spacing w:after="0"/>
              <w:rPr>
                <w:sz w:val="13"/>
                <w:szCs w:val="13"/>
                <w:color w:val="auto"/>
              </w:rPr>
            </w:pP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rPr>
              <w:t>Maturity</w:t>
            </w:r>
          </w:p>
        </w:tc>
        <w:tc>
          <w:tcPr>
            <w:tcW w:w="1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Industry</w:t>
            </w:r>
          </w:p>
        </w:tc>
        <w:tc>
          <w:tcPr>
            <w:tcW w:w="960" w:type="dxa"/>
            <w:vAlign w:val="bottom"/>
            <w:gridSpan w:val="2"/>
          </w:tcPr>
          <w:p>
            <w:pPr>
              <w:jc w:val="right"/>
              <w:ind w:right="382"/>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(2)</w:t>
            </w:r>
          </w:p>
        </w:tc>
        <w:tc>
          <w:tcPr>
            <w:tcW w:w="0" w:type="dxa"/>
            <w:vAlign w:val="bottom"/>
          </w:tcPr>
          <w:p>
            <w:pPr>
              <w:spacing w:after="0"/>
              <w:rPr>
                <w:sz w:val="1"/>
                <w:szCs w:val="1"/>
                <w:color w:val="auto"/>
              </w:rPr>
            </w:pPr>
          </w:p>
        </w:tc>
      </w:tr>
      <w:tr>
        <w:trPr>
          <w:trHeight w:val="128"/>
        </w:trPr>
        <w:tc>
          <w:tcPr>
            <w:tcW w:w="35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Survey Sampling International, LLC</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12/16/2020</w:t>
            </w:r>
          </w:p>
        </w:tc>
        <w:tc>
          <w:tcPr>
            <w:tcW w:w="32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6"/>
              </w:rPr>
              <w:t>Business Services</w:t>
            </w: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6.00</w:t>
            </w:r>
          </w:p>
        </w:tc>
        <w:tc>
          <w:tcPr>
            <w:tcW w:w="340" w:type="dxa"/>
            <w:vAlign w:val="bottom"/>
            <w:tcBorders>
              <w:top w:val="single" w:sz="8" w:color="CCEEFF"/>
            </w:tcBorders>
            <w:shd w:val="clear" w:color="auto" w:fill="CCEEFF"/>
          </w:tcPr>
          <w:p>
            <w:pPr>
              <w:jc w:val="right"/>
              <w:ind w:right="182"/>
              <w:spacing w:after="0" w:line="129" w:lineRule="exact"/>
              <w:rPr>
                <w:sz w:val="20"/>
                <w:szCs w:val="20"/>
                <w:color w:val="auto"/>
              </w:rPr>
            </w:pPr>
            <w:r>
              <w:rPr>
                <w:rFonts w:ascii="Arial" w:cs="Arial" w:eastAsia="Arial" w:hAnsi="Arial"/>
                <w:sz w:val="12"/>
                <w:szCs w:val="12"/>
                <w:color w:val="auto"/>
                <w:w w:val="74"/>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L+500</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6,203,125</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6,157,530</w:t>
            </w: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6,079,062</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10/18/2019</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High Tech Industries</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5.00%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L+400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5,880,000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5,858,754</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5,762,400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07/09/2021</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90"/>
              </w:rPr>
              <w:t>Construction and Building</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5.75%</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L+475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4,937,500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4,895,615</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4,190,703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TOMS Shoes, LLC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11/02/2020</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L+550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1,985,000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1,817,452</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1,746,800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12/28/2020</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Capital Equipment</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11.25%</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13,550,000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13,279,861</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13,279,000</w:t>
            </w:r>
          </w:p>
        </w:tc>
        <w:tc>
          <w:tcPr>
            <w:tcW w:w="0" w:type="dxa"/>
            <w:vAlign w:val="bottom"/>
          </w:tcPr>
          <w:p>
            <w:pPr>
              <w:spacing w:after="0"/>
              <w:rPr>
                <w:sz w:val="1"/>
                <w:szCs w:val="1"/>
                <w:color w:val="auto"/>
              </w:rPr>
            </w:pPr>
          </w:p>
        </w:tc>
      </w:tr>
      <w:tr>
        <w:trPr>
          <w:trHeight w:val="121"/>
        </w:trPr>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20" w:type="dxa"/>
            <w:vAlign w:val="bottom"/>
          </w:tcPr>
          <w:p>
            <w:pPr>
              <w:jc w:val="center"/>
              <w:spacing w:after="0" w:line="121" w:lineRule="exact"/>
              <w:rPr>
                <w:sz w:val="20"/>
                <w:szCs w:val="20"/>
                <w:color w:val="auto"/>
              </w:rPr>
            </w:pPr>
            <w:r>
              <w:rPr>
                <w:rFonts w:ascii="Arial" w:cs="Arial" w:eastAsia="Arial" w:hAnsi="Arial"/>
                <w:sz w:val="13"/>
                <w:szCs w:val="13"/>
                <w:color w:val="auto"/>
                <w:w w:val="89"/>
              </w:rPr>
              <w:t>01/14/2019</w:t>
            </w:r>
          </w:p>
        </w:tc>
        <w:tc>
          <w:tcPr>
            <w:tcW w:w="320" w:type="dxa"/>
            <w:vAlign w:val="bottom"/>
          </w:tcPr>
          <w:p>
            <w:pPr>
              <w:spacing w:after="0"/>
              <w:rPr>
                <w:sz w:val="10"/>
                <w:szCs w:val="10"/>
                <w:color w:val="auto"/>
              </w:rPr>
            </w:pPr>
          </w:p>
        </w:tc>
        <w:tc>
          <w:tcPr>
            <w:tcW w:w="18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tcPr>
          <w:p>
            <w:pPr>
              <w:jc w:val="right"/>
              <w:ind w:right="182"/>
              <w:spacing w:after="0" w:line="121" w:lineRule="exact"/>
              <w:rPr>
                <w:sz w:val="20"/>
                <w:szCs w:val="20"/>
                <w:color w:val="auto"/>
              </w:rPr>
            </w:pPr>
            <w:r>
              <w:rPr>
                <w:rFonts w:ascii="Arial" w:cs="Arial" w:eastAsia="Arial" w:hAnsi="Arial"/>
                <w:sz w:val="13"/>
                <w:szCs w:val="13"/>
                <w:color w:val="auto"/>
              </w:rPr>
              <w:t>9.50%</w:t>
            </w:r>
          </w:p>
        </w:tc>
        <w:tc>
          <w:tcPr>
            <w:tcW w:w="9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L+850</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394,411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394,411</w:t>
            </w: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394,411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3"/>
                <w:szCs w:val="13"/>
                <w:color w:val="auto"/>
              </w:rPr>
              <w:t>(PIK 1.00%)</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2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62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01/14/2019</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6"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182"/>
              <w:spacing w:after="0" w:line="136" w:lineRule="exact"/>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3"/>
                <w:szCs w:val="13"/>
                <w:color w:val="auto"/>
              </w:rPr>
              <w:t>L+750</w:t>
            </w:r>
          </w:p>
        </w:tc>
        <w:tc>
          <w:tcPr>
            <w:tcW w:w="72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3"/>
                <w:szCs w:val="13"/>
                <w:color w:val="auto"/>
              </w:rPr>
              <w:t>599,702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552,030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569,717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01/14/2019</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151,090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Universal Fiber Systems, LLC</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10/04/2021</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L+550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4,951,254</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4,975,000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U.S. Anesthesia Partners, Inc.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12/31/2019</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7.50%</w:t>
            </w:r>
          </w:p>
        </w:tc>
        <w:tc>
          <w:tcPr>
            <w:tcW w:w="9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P+400</w:t>
            </w:r>
            <w:r>
              <w:rPr>
                <w:rFonts w:ascii="Arial" w:cs="Arial" w:eastAsia="Arial" w:hAnsi="Arial"/>
                <w:sz w:val="10"/>
                <w:szCs w:val="10"/>
                <w:color w:val="auto"/>
              </w:rPr>
              <w:t>(9)</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10,000,000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9,900,463</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9,900,000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Farathane, LLC</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02/07/2022</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2"/>
              </w:rPr>
              <w:t>Automotive</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6.75%</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L+575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9,673,360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9,561,353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9,552,443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08/13/2021</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5"/>
              </w:rPr>
              <w:t>Healthcare and Pharmaceuticals</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L+900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3,113,281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3,113,281</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3,113,281</w:t>
            </w: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Vistage Worldwide, Inc.</w:t>
            </w:r>
          </w:p>
        </w:tc>
        <w:tc>
          <w:tcPr>
            <w:tcW w:w="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08/19/2021</w:t>
            </w:r>
          </w:p>
        </w:tc>
        <w:tc>
          <w:tcPr>
            <w:tcW w:w="3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w:t>
            </w:r>
          </w:p>
        </w:tc>
        <w:tc>
          <w:tcPr>
            <w:tcW w:w="960" w:type="dxa"/>
            <w:vAlign w:val="bottom"/>
            <w:gridSpan w:val="2"/>
            <w:shd w:val="clear" w:color="auto" w:fill="CCEEFF"/>
          </w:tcPr>
          <w:p>
            <w:pPr>
              <w:jc w:val="right"/>
              <w:ind w:right="182"/>
              <w:spacing w:after="0" w:line="121" w:lineRule="exact"/>
              <w:rPr>
                <w:sz w:val="20"/>
                <w:szCs w:val="20"/>
                <w:color w:val="auto"/>
              </w:rPr>
            </w:pPr>
            <w:r>
              <w:rPr>
                <w:rFonts w:ascii="Arial" w:cs="Arial" w:eastAsia="Arial" w:hAnsi="Arial"/>
                <w:sz w:val="13"/>
                <w:szCs w:val="13"/>
                <w:color w:val="auto"/>
              </w:rPr>
              <w:t>6.50%</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L+550</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4,968,750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4,921,064</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4,968,750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Subscription</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Wilton Brands, LLC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08/30/2018</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Non-Durable</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L+725</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2,618,000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2,591,579</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2,489,273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Worley Claims Services, LLC</w:t>
            </w:r>
          </w:p>
        </w:tc>
        <w:tc>
          <w:tcPr>
            <w:tcW w:w="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10/30/2020</w:t>
            </w:r>
          </w:p>
        </w:tc>
        <w:tc>
          <w:tcPr>
            <w:tcW w:w="3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Banking, Finance, Insurance and</w:t>
            </w:r>
          </w:p>
        </w:tc>
        <w:tc>
          <w:tcPr>
            <w:tcW w:w="960" w:type="dxa"/>
            <w:vAlign w:val="bottom"/>
            <w:gridSpan w:val="2"/>
            <w:shd w:val="clear" w:color="auto" w:fill="CCEEFF"/>
          </w:tcPr>
          <w:p>
            <w:pPr>
              <w:jc w:val="right"/>
              <w:ind w:right="182"/>
              <w:spacing w:after="0" w:line="121"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L+800</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7,372,126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7,305,708</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7,372,126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3"/>
              </w:rPr>
              <w:t>Real Estate</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406,926,590</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400,452,602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Debt—12.8%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924,755</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851,110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90"/>
              </w:rPr>
              <w:t>Metals and Mining</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11.50%</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12/31/2020</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Chemicals, Plastics and Rubber</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1,966,607</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09/30/2020</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5"/>
              </w:rPr>
              <w:t>Wholesale</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L+1,000</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11,000,000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10,444,331</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10,450,000</w:t>
            </w: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L+1,000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3,941,391</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4,020,000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07/07/2022</w:t>
            </w:r>
          </w:p>
        </w:tc>
        <w:tc>
          <w:tcPr>
            <w:tcW w:w="32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160"/>
              <w:spacing w:after="0" w:line="135" w:lineRule="exact"/>
              <w:rPr>
                <w:sz w:val="20"/>
                <w:szCs w:val="20"/>
                <w:color w:val="auto"/>
              </w:rPr>
            </w:pPr>
            <w:r>
              <w:rPr>
                <w:rFonts w:ascii="Arial" w:cs="Arial" w:eastAsia="Arial" w:hAnsi="Arial"/>
                <w:sz w:val="13"/>
                <w:szCs w:val="13"/>
                <w:color w:val="auto"/>
                <w:w w:val="86"/>
              </w:rPr>
              <w:t>Consumer Services</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10.75%</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L+975</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89"/>
              </w:rPr>
              <w:t>10,750,000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10,591,643</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10,561,875</w:t>
            </w: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Novitex Acquisition, LLC</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320" w:type="dxa"/>
            <w:vAlign w:val="bottom"/>
          </w:tcPr>
          <w:p>
            <w:pPr>
              <w:spacing w:after="0"/>
              <w:rPr>
                <w:sz w:val="11"/>
                <w:szCs w:val="11"/>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Business Services</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11.75%</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9"/>
              </w:rPr>
              <w:t>11,000,000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10,904,594</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10,780,000</w:t>
            </w: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3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0"/>
              </w:rPr>
              <w:t>Media: Diversified and</w:t>
            </w:r>
          </w:p>
        </w:tc>
        <w:tc>
          <w:tcPr>
            <w:tcW w:w="960" w:type="dxa"/>
            <w:vAlign w:val="bottom"/>
            <w:gridSpan w:val="2"/>
            <w:shd w:val="clear" w:color="auto" w:fill="CCEEFF"/>
          </w:tcPr>
          <w:p>
            <w:pPr>
              <w:jc w:val="right"/>
              <w:ind w:right="182"/>
              <w:spacing w:after="0" w:line="121" w:lineRule="exact"/>
              <w:rPr>
                <w:sz w:val="20"/>
                <w:szCs w:val="20"/>
                <w:color w:val="auto"/>
              </w:rPr>
            </w:pPr>
            <w:r>
              <w:rPr>
                <w:rFonts w:ascii="Arial" w:cs="Arial" w:eastAsia="Arial" w:hAnsi="Arial"/>
                <w:sz w:val="13"/>
                <w:szCs w:val="13"/>
                <w:color w:val="auto"/>
              </w:rPr>
              <w:t>9.00%</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L+775</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5,252,824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5,195,698</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5,134,636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90"/>
              </w:rPr>
              <w:t>Production</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320" w:type="dxa"/>
            <w:vAlign w:val="bottom"/>
          </w:tcPr>
          <w:p>
            <w:pPr>
              <w:spacing w:after="0"/>
              <w:rPr>
                <w:sz w:val="12"/>
                <w:szCs w:val="12"/>
                <w:color w:val="auto"/>
              </w:rPr>
            </w:pP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8"/>
              </w:rPr>
              <w:t>Energy: Oil and Gas</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2,812,500</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2,711,149</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2,615,625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47,680,168</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47,113,246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Subordinated Debt/Corporate Notes—0.8% </w:t>
            </w:r>
            <w:r>
              <w:rPr>
                <w:rFonts w:ascii="Arial" w:cs="Arial" w:eastAsia="Arial" w:hAnsi="Arial"/>
                <w:sz w:val="10"/>
                <w:szCs w:val="10"/>
                <w:b w:val="1"/>
                <w:bCs w:val="1"/>
                <w:color w:val="auto"/>
              </w:rPr>
              <w:t>(8)</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(6), (11)</w:t>
            </w:r>
          </w:p>
        </w:tc>
        <w:tc>
          <w:tcPr>
            <w:tcW w:w="6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07/30/2018</w:t>
            </w:r>
          </w:p>
        </w:tc>
        <w:tc>
          <w:tcPr>
            <w:tcW w:w="3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182"/>
              <w:spacing w:after="0" w:line="121" w:lineRule="exact"/>
              <w:rPr>
                <w:sz w:val="20"/>
                <w:szCs w:val="20"/>
                <w:color w:val="auto"/>
              </w:rPr>
            </w:pPr>
            <w:r>
              <w:rPr>
                <w:rFonts w:ascii="Arial" w:cs="Arial" w:eastAsia="Arial" w:hAnsi="Arial"/>
                <w:sz w:val="13"/>
                <w:szCs w:val="13"/>
                <w:color w:val="auto"/>
              </w:rPr>
              <w:t>7.50%</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1,096,000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951,483</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931,600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rPr>
              <w:t>(PIK 7.50%)</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Credit Infonet, Inc.</w:t>
            </w:r>
          </w:p>
        </w:tc>
        <w:tc>
          <w:tcPr>
            <w:tcW w:w="620" w:type="dxa"/>
            <w:vAlign w:val="bottom"/>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320" w:type="dxa"/>
            <w:vAlign w:val="bottom"/>
          </w:tcPr>
          <w:p>
            <w:pPr>
              <w:spacing w:after="0"/>
              <w:rPr>
                <w:sz w:val="10"/>
                <w:szCs w:val="10"/>
                <w:color w:val="auto"/>
              </w:rPr>
            </w:pPr>
          </w:p>
        </w:tc>
        <w:tc>
          <w:tcPr>
            <w:tcW w:w="18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7"/>
              </w:rPr>
              <w:t>High Tech Industries</w:t>
            </w:r>
          </w:p>
        </w:tc>
        <w:tc>
          <w:tcPr>
            <w:tcW w:w="960" w:type="dxa"/>
            <w:vAlign w:val="bottom"/>
            <w:gridSpan w:val="2"/>
          </w:tcPr>
          <w:p>
            <w:pPr>
              <w:jc w:val="right"/>
              <w:ind w:right="182"/>
              <w:spacing w:after="0" w:line="121" w:lineRule="exact"/>
              <w:rPr>
                <w:sz w:val="20"/>
                <w:szCs w:val="20"/>
                <w:color w:val="auto"/>
              </w:rPr>
            </w:pPr>
            <w:r>
              <w:rPr>
                <w:rFonts w:ascii="Arial" w:cs="Arial" w:eastAsia="Arial" w:hAnsi="Arial"/>
                <w:sz w:val="13"/>
                <w:szCs w:val="13"/>
                <w:color w:val="auto"/>
              </w:rPr>
              <w:t>13.50%</w:t>
            </w:r>
          </w:p>
        </w:tc>
        <w:tc>
          <w:tcPr>
            <w:tcW w:w="94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2,036,550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2,013,178</w:t>
            </w: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1,894,361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3"/>
                <w:szCs w:val="13"/>
                <w:color w:val="auto"/>
              </w:rPr>
              <w:t>(PIK 2.25%)</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72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UniTek Global Services, Inc.</w:t>
            </w:r>
          </w:p>
        </w:tc>
        <w:tc>
          <w:tcPr>
            <w:tcW w:w="6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07/15/2019</w:t>
            </w:r>
          </w:p>
        </w:tc>
        <w:tc>
          <w:tcPr>
            <w:tcW w:w="32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center"/>
              <w:ind w:right="180"/>
              <w:spacing w:after="0" w:line="122"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182"/>
              <w:spacing w:after="0" w:line="122" w:lineRule="exact"/>
              <w:rPr>
                <w:sz w:val="20"/>
                <w:szCs w:val="20"/>
                <w:color w:val="auto"/>
              </w:rPr>
            </w:pPr>
            <w:r>
              <w:rPr>
                <w:rFonts w:ascii="Arial" w:cs="Arial" w:eastAsia="Arial" w:hAnsi="Arial"/>
                <w:sz w:val="13"/>
                <w:szCs w:val="13"/>
                <w:color w:val="auto"/>
              </w:rPr>
              <w:t>15.00%</w:t>
            </w:r>
          </w:p>
        </w:tc>
        <w:tc>
          <w:tcPr>
            <w:tcW w:w="94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rPr>
              <w:t>131,415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131,415</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131,415</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2"/>
              <w:spacing w:after="0"/>
              <w:rPr>
                <w:sz w:val="20"/>
                <w:szCs w:val="20"/>
                <w:color w:val="auto"/>
              </w:rPr>
            </w:pPr>
            <w:r>
              <w:rPr>
                <w:rFonts w:ascii="Arial" w:cs="Arial" w:eastAsia="Arial" w:hAnsi="Arial"/>
                <w:sz w:val="13"/>
                <w:szCs w:val="13"/>
                <w:color w:val="auto"/>
                <w:w w:val="95"/>
              </w:rPr>
              <w:t>(PIK 15.00%)</w:t>
            </w: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3,096,076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2,957,376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Equity—0.4% </w:t>
            </w:r>
            <w:r>
              <w:rPr>
                <w:rFonts w:ascii="Arial" w:cs="Arial" w:eastAsia="Arial" w:hAnsi="Arial"/>
                <w:sz w:val="10"/>
                <w:szCs w:val="10"/>
                <w:b w:val="1"/>
                <w:bCs w:val="1"/>
                <w:color w:val="auto"/>
              </w:rPr>
              <w:t>(7), (8)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182"/>
              <w:spacing w:after="0" w:line="135" w:lineRule="exact"/>
              <w:rPr>
                <w:sz w:val="20"/>
                <w:szCs w:val="20"/>
                <w:color w:val="auto"/>
              </w:rPr>
            </w:pPr>
            <w:r>
              <w:rPr>
                <w:rFonts w:ascii="Arial" w:cs="Arial" w:eastAsia="Arial" w:hAnsi="Arial"/>
                <w:sz w:val="13"/>
                <w:szCs w:val="13"/>
                <w:color w:val="auto"/>
              </w:rPr>
              <w:t>8.00%</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399,704</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464,151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94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shd w:val="clear" w:color="auto" w:fill="CCEEFF"/>
          </w:tcPr>
          <w:p>
            <w:pPr>
              <w:jc w:val="right"/>
              <w:ind w:right="182"/>
              <w:spacing w:after="0" w:line="135" w:lineRule="exact"/>
              <w:rPr>
                <w:sz w:val="20"/>
                <w:szCs w:val="20"/>
                <w:color w:val="auto"/>
              </w:rPr>
            </w:pPr>
            <w:r>
              <w:rPr>
                <w:rFonts w:ascii="Arial" w:cs="Arial" w:eastAsia="Arial" w:hAnsi="Arial"/>
                <w:sz w:val="13"/>
                <w:szCs w:val="13"/>
                <w:color w:val="auto"/>
              </w:rPr>
              <w:t>13.50%</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1,047,317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670,283</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796,245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Preferred Equity</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1,069,987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1,260,396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Equity/Warrants—1.5% </w:t>
            </w:r>
            <w:r>
              <w:rPr>
                <w:rFonts w:ascii="Arial" w:cs="Arial" w:eastAsia="Arial" w:hAnsi="Arial"/>
                <w:sz w:val="10"/>
                <w:szCs w:val="10"/>
                <w:b w:val="1"/>
                <w:bCs w:val="1"/>
                <w:color w:val="auto"/>
              </w:rPr>
              <w:t>(7), (8)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A2Z Wireless Holdings, Inc.</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60"/>
              <w:spacing w:after="0" w:line="135" w:lineRule="exact"/>
              <w:rPr>
                <w:sz w:val="20"/>
                <w:szCs w:val="20"/>
                <w:color w:val="auto"/>
              </w:rPr>
            </w:pPr>
            <w:r>
              <w:rPr>
                <w:rFonts w:ascii="Arial" w:cs="Arial" w:eastAsia="Arial" w:hAnsi="Arial"/>
                <w:sz w:val="13"/>
                <w:szCs w:val="13"/>
                <w:color w:val="auto"/>
                <w:w w:val="90"/>
              </w:rPr>
              <w:t>Retail</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463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118,817</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893,059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4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99,029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3,514,572</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3,539,111</w:t>
            </w: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4,298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1,186,649</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23,791</w:t>
            </w: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94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80"/>
              <w:spacing w:after="0" w:line="135" w:lineRule="exact"/>
              <w:rPr>
                <w:sz w:val="20"/>
                <w:szCs w:val="20"/>
                <w:color w:val="auto"/>
              </w:rPr>
            </w:pPr>
            <w:r>
              <w:rPr>
                <w:rFonts w:ascii="Arial" w:cs="Arial" w:eastAsia="Arial" w:hAnsi="Arial"/>
                <w:sz w:val="13"/>
                <w:szCs w:val="13"/>
                <w:color w:val="auto"/>
                <w:w w:val="86"/>
              </w:rPr>
              <w:t>Aerospace and Defense</w:t>
            </w:r>
          </w:p>
        </w:tc>
        <w:tc>
          <w:tcPr>
            <w:tcW w:w="960" w:type="dxa"/>
            <w:vAlign w:val="bottom"/>
            <w:gridSpan w:val="2"/>
            <w:shd w:val="clear" w:color="auto" w:fill="CCEEFF"/>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300,000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(10)</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6"/>
              </w:rPr>
              <w:t>Aerospace and Defense</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94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60"/>
              <w:spacing w:after="0" w:line="121" w:lineRule="exact"/>
              <w:rPr>
                <w:sz w:val="20"/>
                <w:szCs w:val="20"/>
                <w:color w:val="auto"/>
              </w:rPr>
            </w:pPr>
            <w:r>
              <w:rPr>
                <w:rFonts w:ascii="Arial" w:cs="Arial" w:eastAsia="Arial" w:hAnsi="Arial"/>
                <w:sz w:val="13"/>
                <w:szCs w:val="13"/>
                <w:color w:val="auto"/>
                <w:w w:val="90"/>
              </w:rPr>
              <w:t>Construction and Building</w:t>
            </w:r>
          </w:p>
        </w:tc>
        <w:tc>
          <w:tcPr>
            <w:tcW w:w="960" w:type="dxa"/>
            <w:vAlign w:val="bottom"/>
            <w:gridSpan w:val="2"/>
            <w:shd w:val="clear" w:color="auto" w:fill="CCEEFF"/>
          </w:tcPr>
          <w:p>
            <w:pPr>
              <w:jc w:val="right"/>
              <w:ind w:right="282"/>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939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45,761</w:t>
            </w:r>
          </w:p>
        </w:tc>
        <w:tc>
          <w:tcPr>
            <w:tcW w:w="8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51,153</w:t>
            </w: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Consumer Goods: Durable</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296</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343,453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w:t>
            </w:r>
          </w:p>
        </w:tc>
        <w:tc>
          <w:tcPr>
            <w:tcW w:w="94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86"/>
              </w:rPr>
              <w:t>Banking, Finance, Insurance and</w:t>
            </w:r>
          </w:p>
        </w:tc>
        <w:tc>
          <w:tcPr>
            <w:tcW w:w="960" w:type="dxa"/>
            <w:vAlign w:val="bottom"/>
            <w:gridSpan w:val="2"/>
            <w:shd w:val="clear" w:color="auto" w:fill="CCEEFF"/>
          </w:tcPr>
          <w:p>
            <w:pPr>
              <w:jc w:val="right"/>
              <w:ind w:right="282"/>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11,867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27,995</w:t>
            </w:r>
          </w:p>
        </w:tc>
        <w:tc>
          <w:tcPr>
            <w:tcW w:w="8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79,628</w:t>
            </w:r>
          </w:p>
        </w:tc>
        <w:tc>
          <w:tcPr>
            <w:tcW w:w="0" w:type="dxa"/>
            <w:vAlign w:val="bottom"/>
          </w:tcPr>
          <w:p>
            <w:pPr>
              <w:spacing w:after="0"/>
              <w:rPr>
                <w:sz w:val="1"/>
                <w:szCs w:val="1"/>
                <w:color w:val="auto"/>
              </w:rPr>
            </w:pPr>
          </w:p>
        </w:tc>
      </w:tr>
      <w:tr>
        <w:trPr>
          <w:trHeight w:val="149"/>
        </w:trPr>
        <w:tc>
          <w:tcPr>
            <w:tcW w:w="3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3"/>
              </w:rPr>
              <w:t>Real Estate</w:t>
            </w: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94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rPr>
              <w:t>—</w:t>
            </w:r>
          </w:p>
        </w:tc>
        <w:tc>
          <w:tcPr>
            <w:tcW w:w="182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87"/>
              </w:rPr>
              <w:t>Telecommunications</w:t>
            </w:r>
          </w:p>
        </w:tc>
        <w:tc>
          <w:tcPr>
            <w:tcW w:w="960" w:type="dxa"/>
            <w:vAlign w:val="bottom"/>
            <w:gridSpan w:val="2"/>
          </w:tcPr>
          <w:p>
            <w:pPr>
              <w:jc w:val="right"/>
              <w:ind w:right="282"/>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149,617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7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940" w:type="dxa"/>
            <w:vAlign w:val="bottom"/>
            <w:gridSpan w:val="2"/>
            <w:shd w:val="clear" w:color="auto" w:fill="CCEEFF"/>
          </w:tcPr>
          <w:p>
            <w:pPr>
              <w:jc w:val="center"/>
              <w:ind w:right="280"/>
              <w:spacing w:after="0" w:line="121" w:lineRule="exact"/>
              <w:rPr>
                <w:sz w:val="20"/>
                <w:szCs w:val="20"/>
                <w:color w:val="auto"/>
              </w:rPr>
            </w:pPr>
            <w:r>
              <w:rPr>
                <w:rFonts w:ascii="Arial" w:cs="Arial" w:eastAsia="Arial" w:hAnsi="Arial"/>
                <w:sz w:val="13"/>
                <w:szCs w:val="13"/>
                <w:color w:val="auto"/>
              </w:rPr>
              <w:t>—</w:t>
            </w:r>
          </w:p>
        </w:tc>
        <w:tc>
          <w:tcPr>
            <w:tcW w:w="182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0"/>
              </w:rPr>
              <w:t>Media: Advertising, Printing</w:t>
            </w:r>
          </w:p>
        </w:tc>
        <w:tc>
          <w:tcPr>
            <w:tcW w:w="960" w:type="dxa"/>
            <w:vAlign w:val="bottom"/>
            <w:gridSpan w:val="2"/>
            <w:shd w:val="clear" w:color="auto" w:fill="CCEEFF"/>
          </w:tcPr>
          <w:p>
            <w:pPr>
              <w:jc w:val="right"/>
              <w:ind w:right="282"/>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15,179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240"/>
              <w:spacing w:after="0" w:line="121" w:lineRule="exact"/>
              <w:rPr>
                <w:sz w:val="20"/>
                <w:szCs w:val="20"/>
                <w:color w:val="auto"/>
              </w:rPr>
            </w:pPr>
            <w:r>
              <w:rPr>
                <w:rFonts w:ascii="Arial" w:cs="Arial" w:eastAsia="Arial" w:hAnsi="Arial"/>
                <w:sz w:val="13"/>
                <w:szCs w:val="13"/>
                <w:color w:val="auto"/>
              </w:rPr>
              <w:t>56,895</w:t>
            </w: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275,253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w w:val="89"/>
              </w:rPr>
              <w:t>and Publishing</w:t>
            </w: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Equity/Warrants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5,250,985</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5,505,448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1"/>
              </w:rPr>
              <w:t>464,023,806</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457,289,068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3"/>
              </w:rPr>
              <w:t>Investments in Controlled, Affiliated Portfolio Companies—0.8%</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Debt—0.8%</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72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94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89"/>
              </w:rPr>
              <w:t>12/30/2016</w:t>
            </w:r>
          </w:p>
        </w:tc>
        <w:tc>
          <w:tcPr>
            <w:tcW w:w="1820" w:type="dxa"/>
            <w:vAlign w:val="bottom"/>
            <w:gridSpan w:val="2"/>
          </w:tcPr>
          <w:p>
            <w:pPr>
              <w:jc w:val="center"/>
              <w:ind w:right="180"/>
              <w:spacing w:after="0" w:line="121" w:lineRule="exact"/>
              <w:rPr>
                <w:sz w:val="20"/>
                <w:szCs w:val="20"/>
                <w:color w:val="auto"/>
              </w:rPr>
            </w:pPr>
            <w:r>
              <w:rPr>
                <w:rFonts w:ascii="Arial" w:cs="Arial" w:eastAsia="Arial" w:hAnsi="Arial"/>
                <w:sz w:val="13"/>
                <w:szCs w:val="13"/>
                <w:color w:val="auto"/>
                <w:w w:val="88"/>
              </w:rPr>
              <w:t>Media: Broadcasting and</w:t>
            </w:r>
          </w:p>
        </w:tc>
        <w:tc>
          <w:tcPr>
            <w:tcW w:w="960" w:type="dxa"/>
            <w:vAlign w:val="bottom"/>
            <w:gridSpan w:val="2"/>
          </w:tcPr>
          <w:p>
            <w:pPr>
              <w:jc w:val="right"/>
              <w:ind w:right="182"/>
              <w:spacing w:after="0" w:line="121" w:lineRule="exact"/>
              <w:rPr>
                <w:sz w:val="20"/>
                <w:szCs w:val="20"/>
                <w:color w:val="auto"/>
              </w:rPr>
            </w:pPr>
            <w:r>
              <w:rPr>
                <w:rFonts w:ascii="Arial" w:cs="Arial" w:eastAsia="Arial" w:hAnsi="Arial"/>
                <w:sz w:val="13"/>
                <w:szCs w:val="13"/>
                <w:color w:val="auto"/>
              </w:rPr>
              <w:t>4.33%</w:t>
            </w:r>
          </w:p>
        </w:tc>
        <w:tc>
          <w:tcPr>
            <w:tcW w:w="9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72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3,702,009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2,777,132</w:t>
            </w: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2,776,507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3"/>
                <w:szCs w:val="13"/>
                <w:color w:val="auto"/>
                <w:w w:val="89"/>
              </w:rPr>
              <w:t>Subscription</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Investments—125.4%</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w w:val="91"/>
              </w:rPr>
              <w:t>466,800,938</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460,065,575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Equivalents—3.8%</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6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14,035,946</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14,035,946</w:t>
            </w:r>
          </w:p>
        </w:tc>
        <w:tc>
          <w:tcPr>
            <w:tcW w:w="0" w:type="dxa"/>
            <w:vAlign w:val="bottom"/>
          </w:tcPr>
          <w:p>
            <w:pPr>
              <w:spacing w:after="0"/>
              <w:rPr>
                <w:sz w:val="1"/>
                <w:szCs w:val="1"/>
                <w:color w:val="auto"/>
              </w:rPr>
            </w:pPr>
          </w:p>
        </w:tc>
      </w:tr>
      <w:tr>
        <w:trPr>
          <w:trHeight w:val="142"/>
        </w:trPr>
        <w:tc>
          <w:tcPr>
            <w:tcW w:w="372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Equivalents—129.2%</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480,836,884</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474,101,521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Assets—(29.2)%</w:t>
            </w: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(107,082,264)</w:t>
            </w:r>
          </w:p>
        </w:tc>
        <w:tc>
          <w:tcPr>
            <w:tcW w:w="0" w:type="dxa"/>
            <w:vAlign w:val="bottom"/>
          </w:tcPr>
          <w:p>
            <w:pPr>
              <w:spacing w:after="0"/>
              <w:rPr>
                <w:sz w:val="1"/>
                <w:szCs w:val="1"/>
                <w:color w:val="auto"/>
              </w:rPr>
            </w:pPr>
          </w:p>
        </w:tc>
      </w:tr>
      <w:tr>
        <w:trPr>
          <w:trHeight w:val="135"/>
        </w:trPr>
        <w:tc>
          <w:tcPr>
            <w:tcW w:w="37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367,019,257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hanging="452"/>
        <w:spacing w:after="0" w:line="243"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2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right="20" w:hanging="452"/>
        <w:spacing w:after="0" w:line="234" w:lineRule="auto"/>
        <w:tabs>
          <w:tab w:leader="none" w:pos="46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right="2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40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40" w:hanging="452"/>
        <w:spacing w:after="0" w:line="216" w:lineRule="auto"/>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Became a controlled affiliate during the quarter ended September 30, 2015.</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00"/>
          </w:cols>
          <w:pgMar w:left="320" w:top="459" w:right="3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jc w:val="center"/>
              <w:ind w:right="57"/>
              <w:spacing w:after="0"/>
              <w:rPr>
                <w:sz w:val="20"/>
                <w:szCs w:val="20"/>
                <w:color w:val="auto"/>
              </w:rPr>
            </w:pPr>
            <w:r>
              <w:rPr>
                <w:rFonts w:ascii="Arial" w:cs="Arial" w:eastAsia="Arial" w:hAnsi="Arial"/>
                <w:sz w:val="13"/>
                <w:szCs w:val="13"/>
                <w:b w:val="1"/>
                <w:bCs w:val="1"/>
                <w:color w:val="auto"/>
                <w:w w:val="84"/>
              </w:rPr>
              <w:t>Basis Point</w:t>
            </w: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6"/>
              </w:rPr>
              <w:t>Spread</w:t>
            </w: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9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5"/>
              </w:rPr>
              <w:t>Above</w:t>
            </w:r>
          </w:p>
        </w:tc>
        <w:tc>
          <w:tcPr>
            <w:tcW w:w="82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240" w:type="dxa"/>
            <w:vAlign w:val="bottom"/>
          </w:tcPr>
          <w:p>
            <w:pPr>
              <w:jc w:val="center"/>
              <w:ind w:left="417"/>
              <w:spacing w:after="0"/>
              <w:rPr>
                <w:sz w:val="20"/>
                <w:szCs w:val="20"/>
                <w:color w:val="auto"/>
              </w:rPr>
            </w:pPr>
            <w:r>
              <w:rPr>
                <w:rFonts w:ascii="Arial" w:cs="Arial" w:eastAsia="Arial" w:hAnsi="Arial"/>
                <w:sz w:val="13"/>
                <w:szCs w:val="13"/>
                <w:b w:val="1"/>
                <w:bCs w:val="1"/>
                <w:color w:val="auto"/>
                <w:w w:val="94"/>
              </w:rPr>
              <w:t>Maturity</w:t>
            </w: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86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96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980" w:type="dxa"/>
            <w:vAlign w:val="bottom"/>
          </w:tcPr>
          <w:p>
            <w:pPr>
              <w:jc w:val="right"/>
              <w:ind w:right="317"/>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9"/>
              </w:rPr>
              <w:t xml:space="preserve">Fair Value </w:t>
            </w:r>
            <w:r>
              <w:rPr>
                <w:rFonts w:ascii="Arial" w:cs="Arial" w:eastAsia="Arial" w:hAnsi="Arial"/>
                <w:sz w:val="10"/>
                <w:szCs w:val="10"/>
                <w:b w:val="1"/>
                <w:bCs w:val="1"/>
                <w:color w:val="auto"/>
                <w:w w:val="89"/>
              </w:rPr>
              <w:t>(2)</w:t>
            </w:r>
          </w:p>
        </w:tc>
        <w:tc>
          <w:tcPr>
            <w:tcW w:w="0" w:type="dxa"/>
            <w:vAlign w:val="bottom"/>
          </w:tcPr>
          <w:p>
            <w:pPr>
              <w:spacing w:after="0"/>
              <w:rPr>
                <w:sz w:val="1"/>
                <w:szCs w:val="1"/>
                <w:color w:val="auto"/>
              </w:rPr>
            </w:pPr>
          </w:p>
        </w:tc>
      </w:tr>
      <w:tr>
        <w:trPr>
          <w:trHeight w:val="110"/>
        </w:trPr>
        <w:tc>
          <w:tcPr>
            <w:tcW w:w="466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Companies—104.2% </w:t>
            </w:r>
            <w:r>
              <w:rPr>
                <w:rFonts w:ascii="Arial" w:cs="Arial" w:eastAsia="Arial" w:hAnsi="Arial"/>
                <w:sz w:val="9"/>
                <w:szCs w:val="9"/>
                <w:b w:val="1"/>
                <w:bCs w:val="1"/>
                <w:color w:val="auto"/>
              </w:rPr>
              <w:t>(3), (4)</w:t>
            </w:r>
          </w:p>
        </w:tc>
        <w:tc>
          <w:tcPr>
            <w:tcW w:w="186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3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Debt—89.1%</w:t>
            </w:r>
          </w:p>
        </w:tc>
        <w:tc>
          <w:tcPr>
            <w:tcW w:w="124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04/02/2018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11.97%</w:t>
            </w:r>
          </w:p>
        </w:tc>
        <w:tc>
          <w:tcPr>
            <w:tcW w:w="9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(9)</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10,734,388</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  10,555,953</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10,895,404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(10)</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04/02/2018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1,165,725</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17,486</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ALG USA Holdings,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02/28/2019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7,136,577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7,101,328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7,118,736</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Alvogen Pharma US, Inc. </w:t>
            </w:r>
            <w:r>
              <w:rPr>
                <w:rFonts w:ascii="Arial" w:cs="Arial" w:eastAsia="Arial" w:hAnsi="Arial"/>
                <w:sz w:val="10"/>
                <w:szCs w:val="10"/>
                <w:color w:val="auto"/>
              </w:rPr>
              <w:t>(6), (11)</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04/04/2022</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3,900,038</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3,881,182</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3,880,538</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Ancile Solutions,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07/16/2018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2,990,287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2,971,513</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2,975,336</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12/21/2020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6,602,074</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6,517,717</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6,492,018</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ARC Automotive Group,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10/12/2020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3,970,000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3,935,708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3,930,300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Azure Midstream Energy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11/15/2018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Energy: Oil and Gas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5,310,750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5,189,661</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4,514,138</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Blue Bird Body Company</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06/29/2020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2"/>
              </w:rPr>
              <w:t>Automotive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4,280,585</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4,227,278</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4,264,533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Bowlmor AMF Corp.</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09/17/2021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12,902,393</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12,820,758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12,805,625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Camin Cargo Control,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06/30/2021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Transportation: Cargo</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2,493,750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2,469,351</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2,468,812</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CareCentrix,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07/08/2021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4,878,103</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4,870,850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CBAC Borrower, LLC </w:t>
            </w:r>
            <w:r>
              <w:rPr>
                <w:rFonts w:ascii="Arial" w:cs="Arial" w:eastAsia="Arial" w:hAnsi="Arial"/>
                <w:sz w:val="10"/>
                <w:szCs w:val="10"/>
                <w:color w:val="auto"/>
              </w:rPr>
              <w:t>(8)</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07/02/2020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4,961,991</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4,700,000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Charming Charlie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12/24/2019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4,432,500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4,381,480</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4,210,875</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Chicken Soup for the Soul Publishing, LLC</w:t>
            </w:r>
          </w:p>
        </w:tc>
        <w:tc>
          <w:tcPr>
            <w:tcW w:w="124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01/08/2019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L+600</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4,925,000</w:t>
            </w:r>
          </w:p>
        </w:tc>
        <w:tc>
          <w:tcPr>
            <w:tcW w:w="9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4,887,389</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4,925,000</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CRGT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12/21/2020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11,861,946</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11,755,521</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11,743,327</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Curo Health Services Holdings,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02/07/2022</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1,971,403</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1,988,348</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DCS Business Services,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03/19/2018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2,976,683</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2,952,648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3,017,613</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DISA Global Solutions,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12/09/2020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4,931,287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4,875,500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4,937,500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4,901,367</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Driven Performance Brands, Inc. </w:t>
            </w:r>
            <w:r>
              <w:rPr>
                <w:rFonts w:ascii="Arial" w:cs="Arial" w:eastAsia="Arial" w:hAnsi="Arial"/>
                <w:sz w:val="10"/>
                <w:szCs w:val="10"/>
                <w:color w:val="auto"/>
              </w:rPr>
              <w:t>(8)</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09/10/2020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8,955,000</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Driven Performance Brands Inc. (Revolver) </w:t>
            </w:r>
            <w:r>
              <w:rPr>
                <w:rFonts w:ascii="Arial" w:cs="Arial" w:eastAsia="Arial" w:hAnsi="Arial"/>
                <w:sz w:val="10"/>
                <w:szCs w:val="10"/>
                <w:color w:val="auto"/>
              </w:rPr>
              <w:t>(8) , (10)</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09/10/2020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Emerging Markets Communications,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07/01/2021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Telecommunications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4,914,374</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4,862,812</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FHC Health Systems,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12/23/2021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4,975,000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4,927,105</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4,897,290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GlobalLogic Holdings,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05/31/2019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3,930,000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3,900,641</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3,910,350</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Granite Broadcasting Corporation</w:t>
            </w:r>
          </w:p>
        </w:tc>
        <w:tc>
          <w:tcPr>
            <w:tcW w:w="124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05/23/2018</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Media: Broadcasting and</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1,091,582</w:t>
            </w:r>
          </w:p>
        </w:tc>
        <w:tc>
          <w:tcPr>
            <w:tcW w:w="9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1,090,547</w:t>
            </w: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1,088,177</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Subscription</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Greenway Health,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11/04/2020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6,877,500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6,827,661</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6,739,950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Help/Systems Holdings,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06/28/2019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4,866,257</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4,851,000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10/21/2020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1,194,000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1,178,322</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1,194,000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Hostway Corporation</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12/13/2019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2,753,737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2,734,900</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2,726,199</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Hunter Defense Technologies,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08/05/2019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6,650,000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6,598,073</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6,641,687</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ICC-Nexergy,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04/30/2020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4,987,500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4,941,329</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4,937,625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Icynene U.S. Acquisition Corp. </w:t>
            </w:r>
            <w:r>
              <w:rPr>
                <w:rFonts w:ascii="Arial" w:cs="Arial" w:eastAsia="Arial" w:hAnsi="Arial"/>
                <w:sz w:val="10"/>
                <w:szCs w:val="10"/>
                <w:color w:val="auto"/>
              </w:rPr>
              <w:t>(6), (11)</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11/04/2020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6,965,000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6,842,099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6,965,000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iEnergizer Limited and Aptara, Inc. </w:t>
            </w:r>
            <w:r>
              <w:rPr>
                <w:rFonts w:ascii="Arial" w:cs="Arial" w:eastAsia="Arial" w:hAnsi="Arial"/>
                <w:sz w:val="10"/>
                <w:szCs w:val="10"/>
                <w:color w:val="auto"/>
              </w:rPr>
              <w:t>(6), (11)</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05/01/2019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10,094,315</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10,001,190</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9,084,884</w:t>
            </w:r>
          </w:p>
        </w:tc>
        <w:tc>
          <w:tcPr>
            <w:tcW w:w="0" w:type="dxa"/>
            <w:vAlign w:val="bottom"/>
          </w:tcPr>
          <w:p>
            <w:pPr>
              <w:spacing w:after="0"/>
              <w:rPr>
                <w:sz w:val="1"/>
                <w:szCs w:val="1"/>
                <w:color w:val="auto"/>
              </w:rPr>
            </w:pPr>
          </w:p>
        </w:tc>
      </w:tr>
      <w:tr>
        <w:trPr>
          <w:trHeight w:val="121"/>
        </w:trPr>
        <w:tc>
          <w:tcPr>
            <w:tcW w:w="3420" w:type="dxa"/>
            <w:vAlign w:val="bottom"/>
          </w:tcPr>
          <w:p>
            <w:pPr>
              <w:spacing w:after="0" w:line="121" w:lineRule="exact"/>
              <w:rPr>
                <w:sz w:val="20"/>
                <w:szCs w:val="20"/>
                <w:color w:val="auto"/>
              </w:rPr>
            </w:pPr>
            <w:r>
              <w:rPr>
                <w:rFonts w:ascii="Arial" w:cs="Arial" w:eastAsia="Arial" w:hAnsi="Arial"/>
                <w:sz w:val="13"/>
                <w:szCs w:val="13"/>
                <w:color w:val="auto"/>
              </w:rPr>
              <w:t>Instant Web, LLC, Term Loan A</w:t>
            </w:r>
          </w:p>
        </w:tc>
        <w:tc>
          <w:tcPr>
            <w:tcW w:w="1240" w:type="dxa"/>
            <w:vAlign w:val="bottom"/>
          </w:tcPr>
          <w:p>
            <w:pPr>
              <w:jc w:val="center"/>
              <w:ind w:left="417"/>
              <w:spacing w:after="0" w:line="121" w:lineRule="exact"/>
              <w:rPr>
                <w:sz w:val="20"/>
                <w:szCs w:val="20"/>
                <w:color w:val="auto"/>
              </w:rPr>
            </w:pPr>
            <w:r>
              <w:rPr>
                <w:rFonts w:ascii="Arial" w:cs="Arial" w:eastAsia="Arial" w:hAnsi="Arial"/>
                <w:sz w:val="13"/>
                <w:szCs w:val="13"/>
                <w:color w:val="auto"/>
                <w:w w:val="86"/>
              </w:rPr>
              <w:t>03/28/2019</w:t>
            </w:r>
          </w:p>
        </w:tc>
        <w:tc>
          <w:tcPr>
            <w:tcW w:w="186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5,366,227</w:t>
            </w:r>
          </w:p>
        </w:tc>
        <w:tc>
          <w:tcPr>
            <w:tcW w:w="980" w:type="dxa"/>
            <w:vAlign w:val="bottom"/>
          </w:tcPr>
          <w:p>
            <w:pPr>
              <w:jc w:val="right"/>
              <w:ind w:right="57"/>
              <w:spacing w:after="0" w:line="121" w:lineRule="exact"/>
              <w:rPr>
                <w:sz w:val="20"/>
                <w:szCs w:val="20"/>
                <w:color w:val="auto"/>
              </w:rPr>
            </w:pPr>
            <w:r>
              <w:rPr>
                <w:rFonts w:ascii="Arial" w:cs="Arial" w:eastAsia="Arial" w:hAnsi="Arial"/>
                <w:sz w:val="13"/>
                <w:szCs w:val="13"/>
                <w:color w:val="auto"/>
              </w:rPr>
              <w:t>5,306,494</w:t>
            </w:r>
          </w:p>
        </w:tc>
        <w:tc>
          <w:tcPr>
            <w:tcW w:w="180" w:type="dxa"/>
            <w:vAlign w:val="bottom"/>
          </w:tcPr>
          <w:p>
            <w:pPr>
              <w:spacing w:after="0"/>
              <w:rPr>
                <w:sz w:val="10"/>
                <w:szCs w:val="10"/>
                <w:color w:val="auto"/>
              </w:rPr>
            </w:pPr>
          </w:p>
        </w:tc>
        <w:tc>
          <w:tcPr>
            <w:tcW w:w="92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5,366,227</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Instant Web, LLC, Term Loan B</w:t>
            </w:r>
          </w:p>
        </w:tc>
        <w:tc>
          <w:tcPr>
            <w:tcW w:w="124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03/28/2019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Media: Advertising, Printing and</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12.00%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L+1,100</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4,500,000</w:t>
            </w:r>
          </w:p>
        </w:tc>
        <w:tc>
          <w:tcPr>
            <w:tcW w:w="9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4,447,058</w:t>
            </w: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4,500,000</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Publishing</w:t>
            </w:r>
          </w:p>
        </w:tc>
        <w:tc>
          <w:tcPr>
            <w:tcW w:w="8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06/30/2020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L+800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6,800,000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6,734,452</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6,800,000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Jackson Hewitt Tax Service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07/30/2020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8.00%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L+700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4,901,996</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4,900,000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K2 Pure Solutions NoCal, L.P. </w:t>
            </w:r>
            <w:r>
              <w:rPr>
                <w:rFonts w:ascii="Arial" w:cs="Arial" w:eastAsia="Arial" w:hAnsi="Arial"/>
                <w:sz w:val="10"/>
                <w:szCs w:val="10"/>
                <w:color w:val="auto"/>
              </w:rPr>
              <w:t>(8)</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08/19/2019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11.00%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L+1,000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5,965,222</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5,874,403</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5,537,227</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Kendra Scott,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07/17/2020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7.00%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L+600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3,000,000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2,970,849</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2,977,500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Lanyon Solutions,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11/13/2020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1,965,012</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1,958,874</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1,943,731</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LifeCare Holdings LLC </w:t>
            </w:r>
            <w:r>
              <w:rPr>
                <w:rFonts w:ascii="Arial" w:cs="Arial" w:eastAsia="Arial" w:hAnsi="Arial"/>
                <w:sz w:val="10"/>
                <w:szCs w:val="10"/>
                <w:color w:val="auto"/>
              </w:rPr>
              <w:t>(8)</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11/30/2018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5,789,068</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5,735,375</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5,736,619</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Lindblad Expeditions, Inc. </w:t>
            </w:r>
            <w:r>
              <w:rPr>
                <w:rFonts w:ascii="Arial" w:cs="Arial" w:eastAsia="Arial" w:hAnsi="Arial"/>
                <w:sz w:val="10"/>
                <w:szCs w:val="10"/>
                <w:color w:val="auto"/>
              </w:rPr>
              <w:t>(11)</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05/10/2021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2,208,750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2,197,809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2,197,706</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Lindblad Maritime Enterprises, Ltd. </w:t>
            </w:r>
            <w:r>
              <w:rPr>
                <w:rFonts w:ascii="Arial" w:cs="Arial" w:eastAsia="Arial" w:hAnsi="Arial"/>
                <w:sz w:val="10"/>
                <w:szCs w:val="10"/>
                <w:color w:val="auto"/>
              </w:rPr>
              <w:t>(6), (11)</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05/10/2021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Hotel, Gaming and Leisure</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283,588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283,575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LTI Holdings,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04/18/2022</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L+425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1,995,000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1,985,364</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1,973,175</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Trident HoldCorp,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07/31/2019</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L+525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8,917,647</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8,854,192</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8,566,559</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 xml:space="preserve">Physiotherapy Corporation </w:t>
            </w:r>
            <w:r>
              <w:rPr>
                <w:rFonts w:ascii="Arial" w:cs="Arial" w:eastAsia="Arial" w:hAnsi="Arial"/>
                <w:sz w:val="10"/>
                <w:szCs w:val="10"/>
                <w:color w:val="auto"/>
              </w:rPr>
              <w:t>(8)</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06/04/2021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3,500,000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3,482,889</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3,491,250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PlayPower,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06/23/2021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3,990,000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3,951,094</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3,970,050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Polyconcept Finance B.V.</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06/28/2019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11,482,697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11,430,576</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11,425,283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Premier Dental Services,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11/01/2018</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8,219,601</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8,131,135</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7,109,955</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Profile Products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05/20/2021</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7,470,287</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7,398,025</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7,470,287</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Profile Products LLC (Revolver) </w:t>
            </w:r>
            <w:r>
              <w:rPr>
                <w:rFonts w:ascii="Arial" w:cs="Arial" w:eastAsia="Arial" w:hAnsi="Arial"/>
                <w:sz w:val="10"/>
                <w:szCs w:val="10"/>
                <w:color w:val="auto"/>
              </w:rPr>
              <w:t>(8) , (10)</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05/20/2020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Industries</w:t>
            </w:r>
          </w:p>
        </w:tc>
        <w:tc>
          <w:tcPr>
            <w:tcW w:w="86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2,459,016</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Quality Home Brands Holdings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12/17/2018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7.75%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L+650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4,912,500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4,880,217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4,914,563</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Research Now Group, Inc.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03/18/2021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5.50%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L+450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6,965,000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6,931,604</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6,912,763</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06/18/2019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3,582,758</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3,557,217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3,575,247</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Ryan,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08/07/2020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4,443,750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4,378,244</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4,382,648</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04/21/2017</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L+750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6,101,682</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5,946,657</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5,491,514</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St. George’s University Scholastic Services LLC </w:t>
            </w:r>
            <w:r>
              <w:rPr>
                <w:rFonts w:ascii="Arial" w:cs="Arial" w:eastAsia="Arial" w:hAnsi="Arial"/>
                <w:sz w:val="10"/>
                <w:szCs w:val="10"/>
                <w:color w:val="auto"/>
              </w:rPr>
              <w:t>(6), (11)</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08/09/2021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Consumer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714,200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711,056</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714,200</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Surgical Specialties Corporation (US),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08/22/2018</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and Pharmaceuticals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7.25%</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L+575</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10,037,432</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10,017,760</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9,937,058</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Survey Sampling International, LLC</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12/16/2020</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6.00%</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L+500</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6,218,750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6,171,308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6,164,336</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Systems Maintenance Services Holding, Inc.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10/18/2019</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8"/>
              </w:rPr>
              <w:t>High Tech Industries</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5.00%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L+400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5,895,000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5,875,736</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5,895,000</w:t>
            </w:r>
          </w:p>
        </w:tc>
        <w:tc>
          <w:tcPr>
            <w:tcW w:w="0" w:type="dxa"/>
            <w:vAlign w:val="bottom"/>
          </w:tcPr>
          <w:p>
            <w:pPr>
              <w:spacing w:after="0"/>
              <w:rPr>
                <w:sz w:val="1"/>
                <w:szCs w:val="1"/>
                <w:color w:val="auto"/>
              </w:rPr>
            </w:pPr>
          </w:p>
        </w:tc>
      </w:tr>
      <w:tr>
        <w:trPr>
          <w:trHeight w:val="135"/>
        </w:trPr>
        <w:tc>
          <w:tcPr>
            <w:tcW w:w="3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Tensar Corporation</w:t>
            </w:r>
          </w:p>
        </w:tc>
        <w:tc>
          <w:tcPr>
            <w:tcW w:w="1240" w:type="dxa"/>
            <w:vAlign w:val="bottom"/>
            <w:shd w:val="clear" w:color="auto" w:fill="CCEEFF"/>
          </w:tcPr>
          <w:p>
            <w:pPr>
              <w:jc w:val="center"/>
              <w:ind w:left="417"/>
              <w:spacing w:after="0" w:line="135" w:lineRule="exact"/>
              <w:rPr>
                <w:sz w:val="20"/>
                <w:szCs w:val="20"/>
                <w:color w:val="auto"/>
              </w:rPr>
            </w:pPr>
            <w:r>
              <w:rPr>
                <w:rFonts w:ascii="Arial" w:cs="Arial" w:eastAsia="Arial" w:hAnsi="Arial"/>
                <w:sz w:val="13"/>
                <w:szCs w:val="13"/>
                <w:color w:val="auto"/>
                <w:w w:val="86"/>
              </w:rPr>
              <w:t>07/09/2021</w:t>
            </w:r>
          </w:p>
        </w:tc>
        <w:tc>
          <w:tcPr>
            <w:tcW w:w="18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Construction and Building</w:t>
            </w:r>
          </w:p>
        </w:tc>
        <w:tc>
          <w:tcPr>
            <w:tcW w:w="86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5.75%</w:t>
            </w:r>
          </w:p>
        </w:tc>
        <w:tc>
          <w:tcPr>
            <w:tcW w:w="9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L+475</w:t>
            </w:r>
          </w:p>
        </w:tc>
        <w:tc>
          <w:tcPr>
            <w:tcW w:w="8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4,950,000</w:t>
            </w:r>
          </w:p>
        </w:tc>
        <w:tc>
          <w:tcPr>
            <w:tcW w:w="9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4,906,969</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4,588,056</w:t>
            </w:r>
          </w:p>
        </w:tc>
        <w:tc>
          <w:tcPr>
            <w:tcW w:w="0" w:type="dxa"/>
            <w:vAlign w:val="bottom"/>
          </w:tcPr>
          <w:p>
            <w:pPr>
              <w:spacing w:after="0"/>
              <w:rPr>
                <w:sz w:val="1"/>
                <w:szCs w:val="1"/>
                <w:color w:val="auto"/>
              </w:rPr>
            </w:pPr>
          </w:p>
        </w:tc>
      </w:tr>
      <w:tr>
        <w:trPr>
          <w:trHeight w:val="135"/>
        </w:trPr>
        <w:tc>
          <w:tcPr>
            <w:tcW w:w="3420" w:type="dxa"/>
            <w:vAlign w:val="bottom"/>
          </w:tcPr>
          <w:p>
            <w:pPr>
              <w:spacing w:after="0" w:line="135" w:lineRule="exact"/>
              <w:rPr>
                <w:sz w:val="20"/>
                <w:szCs w:val="20"/>
                <w:color w:val="auto"/>
              </w:rPr>
            </w:pPr>
            <w:r>
              <w:rPr>
                <w:rFonts w:ascii="Arial" w:cs="Arial" w:eastAsia="Arial" w:hAnsi="Arial"/>
                <w:sz w:val="13"/>
                <w:szCs w:val="13"/>
                <w:color w:val="auto"/>
              </w:rPr>
              <w:t>TOMS Shoes, LLC</w:t>
            </w:r>
          </w:p>
        </w:tc>
        <w:tc>
          <w:tcPr>
            <w:tcW w:w="1240" w:type="dxa"/>
            <w:vAlign w:val="bottom"/>
          </w:tcPr>
          <w:p>
            <w:pPr>
              <w:jc w:val="center"/>
              <w:ind w:left="417"/>
              <w:spacing w:after="0" w:line="135" w:lineRule="exact"/>
              <w:rPr>
                <w:sz w:val="20"/>
                <w:szCs w:val="20"/>
                <w:color w:val="auto"/>
              </w:rPr>
            </w:pPr>
            <w:r>
              <w:rPr>
                <w:rFonts w:ascii="Arial" w:cs="Arial" w:eastAsia="Arial" w:hAnsi="Arial"/>
                <w:sz w:val="13"/>
                <w:szCs w:val="13"/>
                <w:color w:val="auto"/>
                <w:w w:val="86"/>
              </w:rPr>
              <w:t>11/02/2020</w:t>
            </w:r>
          </w:p>
        </w:tc>
        <w:tc>
          <w:tcPr>
            <w:tcW w:w="186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Goods: Non-Durable</w:t>
            </w:r>
          </w:p>
        </w:tc>
        <w:tc>
          <w:tcPr>
            <w:tcW w:w="8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L+550</w:t>
            </w:r>
          </w:p>
        </w:tc>
        <w:tc>
          <w:tcPr>
            <w:tcW w:w="8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1,990,000</w:t>
            </w:r>
          </w:p>
        </w:tc>
        <w:tc>
          <w:tcPr>
            <w:tcW w:w="9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1,814,920</w:t>
            </w:r>
          </w:p>
        </w:tc>
        <w:tc>
          <w:tcPr>
            <w:tcW w:w="18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1,845,725</w:t>
            </w:r>
          </w:p>
        </w:tc>
        <w:tc>
          <w:tcPr>
            <w:tcW w:w="0" w:type="dxa"/>
            <w:vAlign w:val="bottom"/>
          </w:tcPr>
          <w:p>
            <w:pPr>
              <w:spacing w:after="0"/>
              <w:rPr>
                <w:sz w:val="1"/>
                <w:szCs w:val="1"/>
                <w:color w:val="auto"/>
              </w:rPr>
            </w:pPr>
          </w:p>
        </w:tc>
      </w:tr>
      <w:tr>
        <w:trPr>
          <w:trHeight w:val="121"/>
        </w:trPr>
        <w:tc>
          <w:tcPr>
            <w:tcW w:w="34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240" w:type="dxa"/>
            <w:vAlign w:val="bottom"/>
            <w:shd w:val="clear" w:color="auto" w:fill="CCEEFF"/>
          </w:tcPr>
          <w:p>
            <w:pPr>
              <w:jc w:val="center"/>
              <w:ind w:left="417"/>
              <w:spacing w:after="0" w:line="121" w:lineRule="exact"/>
              <w:rPr>
                <w:sz w:val="20"/>
                <w:szCs w:val="20"/>
                <w:color w:val="auto"/>
              </w:rPr>
            </w:pPr>
            <w:r>
              <w:rPr>
                <w:rFonts w:ascii="Arial" w:cs="Arial" w:eastAsia="Arial" w:hAnsi="Arial"/>
                <w:sz w:val="13"/>
                <w:szCs w:val="13"/>
                <w:color w:val="auto"/>
                <w:w w:val="86"/>
              </w:rPr>
              <w:t>01/14/2019</w:t>
            </w:r>
          </w:p>
        </w:tc>
        <w:tc>
          <w:tcPr>
            <w:tcW w:w="18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Telecommunications</w:t>
            </w:r>
          </w:p>
        </w:tc>
        <w:tc>
          <w:tcPr>
            <w:tcW w:w="86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9.50%</w:t>
            </w:r>
          </w:p>
        </w:tc>
        <w:tc>
          <w:tcPr>
            <w:tcW w:w="9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L+850</w:t>
            </w:r>
          </w:p>
        </w:tc>
        <w:tc>
          <w:tcPr>
            <w:tcW w:w="82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430,126</w:t>
            </w:r>
          </w:p>
        </w:tc>
        <w:tc>
          <w:tcPr>
            <w:tcW w:w="9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430,126</w:t>
            </w:r>
          </w:p>
        </w:tc>
        <w:tc>
          <w:tcPr>
            <w:tcW w:w="1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430,126</w:t>
            </w:r>
          </w:p>
        </w:tc>
        <w:tc>
          <w:tcPr>
            <w:tcW w:w="0" w:type="dxa"/>
            <w:vAlign w:val="bottom"/>
          </w:tcPr>
          <w:p>
            <w:pPr>
              <w:spacing w:after="0"/>
              <w:rPr>
                <w:sz w:val="1"/>
                <w:szCs w:val="1"/>
                <w:color w:val="auto"/>
              </w:rPr>
            </w:pPr>
          </w:p>
        </w:tc>
      </w:tr>
      <w:tr>
        <w:trPr>
          <w:trHeight w:val="163"/>
        </w:trPr>
        <w:tc>
          <w:tcPr>
            <w:tcW w:w="34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8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(PIK 1.00%)</w:t>
            </w:r>
          </w:p>
        </w:tc>
        <w:tc>
          <w:tcPr>
            <w:tcW w:w="9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420" w:type="dxa"/>
            <w:vAlign w:val="bottom"/>
          </w:tcPr>
          <w:p>
            <w:pPr>
              <w:spacing w:after="0"/>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w:t>
            </w:r>
          </w:p>
        </w:tc>
        <w:tc>
          <w:tcPr>
            <w:tcW w:w="1240" w:type="dxa"/>
            <w:vAlign w:val="bottom"/>
          </w:tcPr>
          <w:p>
            <w:pPr>
              <w:jc w:val="center"/>
              <w:ind w:left="417"/>
              <w:spacing w:after="0"/>
              <w:rPr>
                <w:sz w:val="20"/>
                <w:szCs w:val="20"/>
                <w:color w:val="auto"/>
              </w:rPr>
            </w:pPr>
            <w:r>
              <w:rPr>
                <w:rFonts w:ascii="Arial" w:cs="Arial" w:eastAsia="Arial" w:hAnsi="Arial"/>
                <w:sz w:val="13"/>
                <w:szCs w:val="13"/>
                <w:color w:val="auto"/>
                <w:w w:val="86"/>
              </w:rPr>
              <w:t>01/14/2019</w:t>
            </w:r>
          </w:p>
        </w:tc>
        <w:tc>
          <w:tcPr>
            <w:tcW w:w="1860" w:type="dxa"/>
            <w:vAlign w:val="bottom"/>
          </w:tcPr>
          <w:p>
            <w:pPr>
              <w:jc w:val="center"/>
              <w:spacing w:after="0"/>
              <w:rPr>
                <w:sz w:val="20"/>
                <w:szCs w:val="20"/>
                <w:color w:val="auto"/>
              </w:rPr>
            </w:pPr>
            <w:r>
              <w:rPr>
                <w:rFonts w:ascii="Arial" w:cs="Arial" w:eastAsia="Arial" w:hAnsi="Arial"/>
                <w:sz w:val="13"/>
                <w:szCs w:val="13"/>
                <w:color w:val="auto"/>
                <w:w w:val="87"/>
              </w:rPr>
              <w:t>Telecommunications</w:t>
            </w:r>
          </w:p>
        </w:tc>
        <w:tc>
          <w:tcPr>
            <w:tcW w:w="860" w:type="dxa"/>
            <w:vAlign w:val="bottom"/>
          </w:tcPr>
          <w:p>
            <w:pPr>
              <w:jc w:val="right"/>
              <w:ind w:right="97"/>
              <w:spacing w:after="0"/>
              <w:rPr>
                <w:sz w:val="20"/>
                <w:szCs w:val="20"/>
                <w:color w:val="auto"/>
              </w:rPr>
            </w:pPr>
            <w:r>
              <w:rPr>
                <w:rFonts w:ascii="Arial" w:cs="Arial" w:eastAsia="Arial" w:hAnsi="Arial"/>
                <w:sz w:val="13"/>
                <w:szCs w:val="13"/>
                <w:color w:val="auto"/>
              </w:rPr>
              <w:t>8.50%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L+750</w:t>
            </w: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599,702</w:t>
            </w: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548,736</w:t>
            </w:r>
          </w:p>
        </w:tc>
        <w:tc>
          <w:tcPr>
            <w:tcW w:w="18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569,717</w:t>
            </w:r>
          </w:p>
        </w:tc>
        <w:tc>
          <w:tcPr>
            <w:tcW w:w="0" w:type="dxa"/>
            <w:vAlign w:val="bottom"/>
          </w:tcPr>
          <w:p>
            <w:pPr>
              <w:spacing w:after="0"/>
              <w:rPr>
                <w:sz w:val="1"/>
                <w:szCs w:val="1"/>
                <w:color w:val="auto"/>
              </w:rPr>
            </w:pPr>
          </w:p>
        </w:tc>
      </w:tr>
    </w:tbl>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Spread</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9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Above</w:t>
            </w:r>
          </w:p>
        </w:tc>
        <w:tc>
          <w:tcPr>
            <w:tcW w:w="86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60" w:type="dxa"/>
            <w:vAlign w:val="bottom"/>
            <w:gridSpan w:val="2"/>
            <w:vMerge w:val="continue"/>
          </w:tcPr>
          <w:p>
            <w:pPr>
              <w:spacing w:after="0"/>
              <w:rPr>
                <w:sz w:val="13"/>
                <w:szCs w:val="13"/>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Maturity</w:t>
            </w: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Industry</w:t>
            </w: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Coupon</w:t>
            </w:r>
          </w:p>
        </w:tc>
        <w:tc>
          <w:tcPr>
            <w:tcW w:w="9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(1)</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3"/>
                <w:szCs w:val="13"/>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Cost</w:t>
            </w: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128"/>
        </w:trPr>
        <w:tc>
          <w:tcPr>
            <w:tcW w:w="36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 xml:space="preserve">UniTek Global Services, Inc. </w:t>
            </w:r>
            <w:r>
              <w:rPr>
                <w:rFonts w:ascii="Arial" w:cs="Arial" w:eastAsia="Arial" w:hAnsi="Arial"/>
                <w:sz w:val="10"/>
                <w:szCs w:val="10"/>
                <w:color w:val="auto"/>
              </w:rPr>
              <w:t>(8), (10)</w:t>
            </w:r>
          </w:p>
        </w:tc>
        <w:tc>
          <w:tcPr>
            <w:tcW w:w="1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9"/>
              </w:rPr>
              <w:t>01/14/2019</w:t>
            </w:r>
          </w:p>
        </w:tc>
        <w:tc>
          <w:tcPr>
            <w:tcW w:w="18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Telecommunications</w:t>
            </w:r>
          </w:p>
        </w:tc>
        <w:tc>
          <w:tcPr>
            <w:tcW w:w="1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ind w:left="480"/>
              <w:spacing w:after="0" w:line="129" w:lineRule="exact"/>
              <w:rPr>
                <w:sz w:val="20"/>
                <w:szCs w:val="20"/>
                <w:color w:val="auto"/>
              </w:rPr>
            </w:pPr>
            <w:r>
              <w:rPr>
                <w:rFonts w:ascii="Arial" w:cs="Arial" w:eastAsia="Arial" w:hAnsi="Arial"/>
                <w:sz w:val="13"/>
                <w:szCs w:val="13"/>
                <w:color w:val="auto"/>
                <w:w w:val="76"/>
              </w:rPr>
              <w:t>—</w:t>
            </w:r>
          </w:p>
        </w:tc>
        <w:tc>
          <w:tcPr>
            <w:tcW w:w="3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151,090</w:t>
            </w:r>
          </w:p>
        </w:tc>
        <w:tc>
          <w:tcPr>
            <w:tcW w:w="2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U.S. Farathane,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02/07/2022</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2"/>
              </w:rPr>
              <w:t>Automotive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6.75%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L+575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3,800,641</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3,729,952</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3,807,672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US Med Acquisition,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08/13/2021</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5"/>
              </w:rPr>
              <w:t>Healthcare and Pharmaceuticals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L+900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3,121,094</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3,121,094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3,121,094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Vistage Worldwide, Inc. </w:t>
            </w:r>
            <w:r>
              <w:rPr>
                <w:rFonts w:ascii="Arial" w:cs="Arial" w:eastAsia="Arial" w:hAnsi="Arial"/>
                <w:sz w:val="10"/>
                <w:szCs w:val="10"/>
                <w:color w:val="auto"/>
              </w:rPr>
              <w:t>(8)</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08/19/2021</w:t>
            </w:r>
          </w:p>
        </w:tc>
        <w:tc>
          <w:tcPr>
            <w:tcW w:w="180" w:type="dxa"/>
            <w:vAlign w:val="bottom"/>
          </w:tcPr>
          <w:p>
            <w:pPr>
              <w:spacing w:after="0"/>
              <w:rPr>
                <w:sz w:val="10"/>
                <w:szCs w:val="10"/>
                <w:color w:val="auto"/>
              </w:rPr>
            </w:pPr>
          </w:p>
        </w:tc>
        <w:tc>
          <w:tcPr>
            <w:tcW w:w="18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Media: Broadcasting and</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6.50%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5,000,000</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4,950,477</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4,975,000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Subscription</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Wilton Brands,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08/30/2018</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Non-Durable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L+725</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2,703,000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2,674,736</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2,630,370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tcPr>
          <w:p>
            <w:pPr>
              <w:spacing w:after="0" w:line="121" w:lineRule="exact"/>
              <w:rPr>
                <w:sz w:val="20"/>
                <w:szCs w:val="20"/>
                <w:color w:val="auto"/>
              </w:rPr>
            </w:pPr>
            <w:r>
              <w:rPr>
                <w:rFonts w:ascii="Arial" w:cs="Arial" w:eastAsia="Arial" w:hAnsi="Arial"/>
                <w:sz w:val="13"/>
                <w:szCs w:val="13"/>
                <w:color w:val="auto"/>
              </w:rPr>
              <w:t>Worley Claims Services, LLC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10/30/2020</w:t>
            </w:r>
          </w:p>
        </w:tc>
        <w:tc>
          <w:tcPr>
            <w:tcW w:w="180" w:type="dxa"/>
            <w:vAlign w:val="bottom"/>
          </w:tcPr>
          <w:p>
            <w:pPr>
              <w:spacing w:after="0"/>
              <w:rPr>
                <w:sz w:val="10"/>
                <w:szCs w:val="10"/>
                <w:color w:val="auto"/>
              </w:rPr>
            </w:pPr>
          </w:p>
        </w:tc>
        <w:tc>
          <w:tcPr>
            <w:tcW w:w="18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6"/>
              </w:rPr>
              <w:t>Banking, Finance, Insurance and</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L+800</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6,490,688</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6,429,955</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6,490,688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color w:val="auto"/>
                <w:w w:val="83"/>
              </w:rPr>
              <w:t>Real Estate</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335,790,073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332,180,834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Second Lien Secured Debt—12.8%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Affinion Group,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L+700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919,155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893,130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 (8)</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09/01/2017</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0"/>
              </w:rPr>
              <w:t>Metals and Mining</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11.50%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Douglas Products and Packaging Company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12/31/2020</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Chemicals, Plastics and Rubber</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L+1,050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2,000,000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1,965,770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2,000,000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Howard Berger Co.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09/30/2020</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5"/>
              </w:rPr>
              <w:t>Wholesale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L+1,000</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10,423,463</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10,670,000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J.A. Cosmetics Holdings, Inc. </w:t>
            </w:r>
            <w:r>
              <w:rPr>
                <w:rFonts w:ascii="Arial" w:cs="Arial" w:eastAsia="Arial" w:hAnsi="Arial"/>
                <w:sz w:val="10"/>
                <w:szCs w:val="10"/>
                <w:color w:val="auto"/>
              </w:rPr>
              <w:t>(8)</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07/31/2019</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L+1,000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4,000,000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3,938,373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4,040,000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Language Line, LLC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07/07/2022</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4"/>
              </w:rPr>
              <w:t>Consumer Services</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L+975</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89"/>
              </w:rPr>
              <w:t>10,750,000</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10,589,814</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10,723,125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07/07/2021</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6"/>
              </w:rPr>
              <w:t>Business Services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11.75%</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L+1,050</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9"/>
              </w:rPr>
              <w:t>11,000,000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10,902,202</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10,780,000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Penton Media, Inc. </w:t>
            </w:r>
            <w:r>
              <w:rPr>
                <w:rFonts w:ascii="Arial" w:cs="Arial" w:eastAsia="Arial" w:hAnsi="Arial"/>
                <w:sz w:val="10"/>
                <w:szCs w:val="10"/>
                <w:color w:val="auto"/>
              </w:rPr>
              <w:t>(8)</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10/02/2020</w:t>
            </w:r>
          </w:p>
        </w:tc>
        <w:tc>
          <w:tcPr>
            <w:tcW w:w="180" w:type="dxa"/>
            <w:vAlign w:val="bottom"/>
          </w:tcPr>
          <w:p>
            <w:pPr>
              <w:spacing w:after="0"/>
              <w:rPr>
                <w:sz w:val="10"/>
                <w:szCs w:val="10"/>
                <w:color w:val="auto"/>
              </w:rPr>
            </w:pPr>
          </w:p>
        </w:tc>
        <w:tc>
          <w:tcPr>
            <w:tcW w:w="18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90"/>
              </w:rPr>
              <w:t>Media: Diversified and</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9.00%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L+775</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5,252,824</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5,194,116</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5,230,920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Production</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Sunshine Oilsands Ltd. </w:t>
            </w:r>
            <w:r>
              <w:rPr>
                <w:rFonts w:ascii="Arial" w:cs="Arial" w:eastAsia="Arial" w:hAnsi="Arial"/>
                <w:sz w:val="10"/>
                <w:szCs w:val="10"/>
                <w:color w:val="auto"/>
              </w:rPr>
              <w:t>(5), (6), (8), (11)</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08/01/2017</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8"/>
              </w:rPr>
              <w:t>Energy: Oil and Gas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2,812,500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2,697,607</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2,615,625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47,630,500</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47,902,800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Subordinated Debt/Corporate Notes—1.5% </w:t>
            </w:r>
            <w:r>
              <w:rPr>
                <w:rFonts w:ascii="Arial" w:cs="Arial" w:eastAsia="Arial" w:hAnsi="Arial"/>
                <w:sz w:val="10"/>
                <w:szCs w:val="10"/>
                <w:b w:val="1"/>
                <w:bCs w:val="1"/>
                <w:color w:val="auto"/>
              </w:rPr>
              <w:t>(8)</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09/14/2018</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tcPr>
          <w:p>
            <w:pPr>
              <w:ind w:left="48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4,786,483</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4,361,551</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1,818,864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Investments LLC</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08/15/2018</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ind w:left="48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(7)</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2,484,000</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2,146,500</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1,664,280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tcPr>
          <w:p>
            <w:pPr>
              <w:spacing w:after="0" w:line="121" w:lineRule="exact"/>
              <w:rPr>
                <w:sz w:val="20"/>
                <w:szCs w:val="20"/>
                <w:color w:val="auto"/>
              </w:rPr>
            </w:pPr>
            <w:r>
              <w:rPr>
                <w:rFonts w:ascii="Arial" w:cs="Arial" w:eastAsia="Arial" w:hAnsi="Arial"/>
                <w:sz w:val="13"/>
                <w:szCs w:val="13"/>
                <w:color w:val="auto"/>
              </w:rPr>
              <w:t>Credit Infonet, Inc.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10/26/2018</w:t>
            </w:r>
          </w:p>
        </w:tc>
        <w:tc>
          <w:tcPr>
            <w:tcW w:w="180" w:type="dxa"/>
            <w:vAlign w:val="bottom"/>
          </w:tcPr>
          <w:p>
            <w:pPr>
              <w:spacing w:after="0"/>
              <w:rPr>
                <w:sz w:val="10"/>
                <w:szCs w:val="10"/>
                <w:color w:val="auto"/>
              </w:rPr>
            </w:pPr>
          </w:p>
        </w:tc>
        <w:tc>
          <w:tcPr>
            <w:tcW w:w="18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7"/>
              </w:rPr>
              <w:t>High Tech Industries</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13.00%</w:t>
            </w:r>
          </w:p>
        </w:tc>
        <w:tc>
          <w:tcPr>
            <w:tcW w:w="940" w:type="dxa"/>
            <w:vAlign w:val="bottom"/>
            <w:gridSpan w:val="2"/>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2,025,065</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1,999,885</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1,992,841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rPr>
              <w:t>(PIK 1.75%)</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6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UniTek Global Services, Inc.</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07/15/2019</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200"/>
              <w:spacing w:after="0" w:line="122"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15.00%</w:t>
            </w:r>
          </w:p>
        </w:tc>
        <w:tc>
          <w:tcPr>
            <w:tcW w:w="940" w:type="dxa"/>
            <w:vAlign w:val="bottom"/>
            <w:gridSpan w:val="2"/>
            <w:shd w:val="clear" w:color="auto" w:fill="CCEEFF"/>
          </w:tcPr>
          <w:p>
            <w:pPr>
              <w:jc w:val="right"/>
              <w:ind w:right="340"/>
              <w:spacing w:after="0" w:line="122"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126,259</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126,259</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3"/>
                <w:szCs w:val="13"/>
                <w:color w:val="auto"/>
              </w:rPr>
              <w:t>126,259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(PIK 15.00%)</w:t>
            </w: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8,634,195</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5,602,244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Equity—0.3%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8.00%</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400</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399,704</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455,490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UniTek Global Services, Inc.</w:t>
            </w:r>
          </w:p>
        </w:tc>
        <w:tc>
          <w:tcPr>
            <w:tcW w:w="76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13.50%</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1,047,317</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670,283</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691,115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1,069,987</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1,146,605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Equity/Warrants—0.5% </w:t>
            </w:r>
            <w:r>
              <w:rPr>
                <w:rFonts w:ascii="Arial" w:cs="Arial" w:eastAsia="Arial" w:hAnsi="Arial"/>
                <w:sz w:val="10"/>
                <w:szCs w:val="10"/>
                <w:b w:val="1"/>
                <w:bCs w:val="1"/>
                <w:color w:val="auto"/>
              </w:rPr>
              <w:t>(7), (8)</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A2Z Wireless Holdings, Inc.</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180"/>
              <w:spacing w:after="0" w:line="135" w:lineRule="exact"/>
              <w:rPr>
                <w:sz w:val="20"/>
                <w:szCs w:val="20"/>
                <w:color w:val="auto"/>
              </w:rPr>
            </w:pPr>
            <w:r>
              <w:rPr>
                <w:rFonts w:ascii="Arial" w:cs="Arial" w:eastAsia="Arial" w:hAnsi="Arial"/>
                <w:sz w:val="13"/>
                <w:szCs w:val="13"/>
                <w:color w:val="auto"/>
                <w:w w:val="90"/>
              </w:rPr>
              <w:t>Retail</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463</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118,817</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674,296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80" w:type="dxa"/>
            <w:vAlign w:val="bottom"/>
            <w:shd w:val="clear" w:color="auto" w:fill="CCEEFF"/>
          </w:tcPr>
          <w:p>
            <w:pPr>
              <w:spacing w:after="0"/>
              <w:rPr>
                <w:sz w:val="11"/>
                <w:szCs w:val="11"/>
                <w:color w:val="auto"/>
              </w:rPr>
            </w:pPr>
          </w:p>
        </w:tc>
        <w:tc>
          <w:tcPr>
            <w:tcW w:w="184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554,715</w:t>
            </w: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1,186,649</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291,226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12/12/2023</w:t>
            </w:r>
          </w:p>
        </w:tc>
        <w:tc>
          <w:tcPr>
            <w:tcW w:w="180" w:type="dxa"/>
            <w:vAlign w:val="bottom"/>
          </w:tcPr>
          <w:p>
            <w:pPr>
              <w:spacing w:after="0"/>
              <w:rPr>
                <w:sz w:val="11"/>
                <w:szCs w:val="11"/>
                <w:color w:val="auto"/>
              </w:rPr>
            </w:pP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1,135,743</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22,715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7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180"/>
              <w:spacing w:after="0" w:line="121" w:lineRule="exact"/>
              <w:rPr>
                <w:sz w:val="20"/>
                <w:szCs w:val="20"/>
                <w:color w:val="auto"/>
              </w:rPr>
            </w:pPr>
            <w:r>
              <w:rPr>
                <w:rFonts w:ascii="Arial" w:cs="Arial" w:eastAsia="Arial" w:hAnsi="Arial"/>
                <w:sz w:val="13"/>
                <w:szCs w:val="13"/>
                <w:color w:val="auto"/>
                <w:w w:val="90"/>
              </w:rPr>
              <w:t>Construction and Building</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939</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45,761</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52,466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Consumer Goods: Durable</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30</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296</w:t>
            </w:r>
          </w:p>
        </w:tc>
        <w:tc>
          <w:tcPr>
            <w:tcW w:w="60" w:type="dxa"/>
            <w:vAlign w:val="bottom"/>
          </w:tcPr>
          <w:p>
            <w:pPr>
              <w:spacing w:after="0"/>
              <w:rPr>
                <w:sz w:val="11"/>
                <w:szCs w:val="11"/>
                <w:color w:val="auto"/>
              </w:rPr>
            </w:pPr>
          </w:p>
        </w:tc>
        <w:tc>
          <w:tcPr>
            <w:tcW w:w="8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215,689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Patriot National, Inc. (Warrants)</w:t>
            </w:r>
          </w:p>
        </w:tc>
        <w:tc>
          <w:tcPr>
            <w:tcW w:w="5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11/27/2023</w:t>
            </w:r>
          </w:p>
        </w:tc>
        <w:tc>
          <w:tcPr>
            <w:tcW w:w="180" w:type="dxa"/>
            <w:vAlign w:val="bottom"/>
            <w:shd w:val="clear" w:color="auto" w:fill="CCEEFF"/>
          </w:tcPr>
          <w:p>
            <w:pPr>
              <w:spacing w:after="0"/>
              <w:rPr>
                <w:sz w:val="10"/>
                <w:szCs w:val="10"/>
                <w:color w:val="auto"/>
              </w:rPr>
            </w:pPr>
          </w:p>
        </w:tc>
        <w:tc>
          <w:tcPr>
            <w:tcW w:w="184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86"/>
              </w:rPr>
              <w:t>Banking, Finance, Insurance and</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14,484</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28,002</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190,609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3"/>
              </w:rPr>
              <w:t>Real Estate</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color w:val="auto"/>
              </w:rPr>
              <w:t>UniTek Global Services, Inc.</w:t>
            </w: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91"/>
              </w:rPr>
              <w:t>—</w:t>
            </w:r>
          </w:p>
        </w:tc>
        <w:tc>
          <w:tcPr>
            <w:tcW w:w="184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w w:val="87"/>
              </w:rPr>
              <w:t>Telecommunications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149,617</w:t>
            </w:r>
          </w:p>
        </w:tc>
        <w:tc>
          <w:tcPr>
            <w:tcW w:w="140" w:type="dxa"/>
            <w:vAlign w:val="bottom"/>
          </w:tcPr>
          <w:p>
            <w:pPr>
              <w:spacing w:after="0"/>
              <w:rPr>
                <w:sz w:val="11"/>
                <w:szCs w:val="11"/>
                <w:color w:val="auto"/>
              </w:rPr>
            </w:pP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6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Vestcom Parent Holdings, Inc.</w:t>
            </w:r>
          </w:p>
        </w:tc>
        <w:tc>
          <w:tcPr>
            <w:tcW w:w="76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1"/>
              </w:rPr>
              <w:t>—</w:t>
            </w:r>
          </w:p>
        </w:tc>
        <w:tc>
          <w:tcPr>
            <w:tcW w:w="184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w w:val="90"/>
              </w:rPr>
              <w:t>Media: Advertising, Printing</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0"/>
              <w:spacing w:after="0" w:line="121"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15,179</w:t>
            </w:r>
          </w:p>
        </w:tc>
        <w:tc>
          <w:tcPr>
            <w:tcW w:w="1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56,895</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255,899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3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89"/>
              </w:rPr>
              <w:t>and Publishing</w:t>
            </w: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Equity/Warrants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1,436,420</w:t>
            </w:r>
          </w:p>
        </w:tc>
        <w:tc>
          <w:tcPr>
            <w:tcW w:w="2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1,702,900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394,561,175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388,535,383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6"/>
              </w:rPr>
              <w:t>Investments in Controlled, Affiliated Portfolio Companies—0.7%</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Debt—0.7%</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6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GMC Television Broadcasting Holdings, LLC </w:t>
            </w:r>
            <w:r>
              <w:rPr>
                <w:rFonts w:ascii="Arial" w:cs="Arial" w:eastAsia="Arial" w:hAnsi="Arial"/>
                <w:sz w:val="10"/>
                <w:szCs w:val="10"/>
                <w:color w:val="auto"/>
              </w:rPr>
              <w:t>(8), (12)</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12/30/2016</w:t>
            </w:r>
          </w:p>
        </w:tc>
        <w:tc>
          <w:tcPr>
            <w:tcW w:w="180" w:type="dxa"/>
            <w:vAlign w:val="bottom"/>
          </w:tcPr>
          <w:p>
            <w:pPr>
              <w:spacing w:after="0"/>
              <w:rPr>
                <w:sz w:val="10"/>
                <w:szCs w:val="10"/>
                <w:color w:val="auto"/>
              </w:rPr>
            </w:pPr>
          </w:p>
        </w:tc>
        <w:tc>
          <w:tcPr>
            <w:tcW w:w="184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w w:val="88"/>
              </w:rPr>
              <w:t>Media: Broadcasting and</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4.33%</w:t>
            </w:r>
          </w:p>
        </w:tc>
        <w:tc>
          <w:tcPr>
            <w:tcW w:w="94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L+400</w:t>
            </w:r>
            <w:r>
              <w:rPr>
                <w:rFonts w:ascii="Arial" w:cs="Arial" w:eastAsia="Arial" w:hAnsi="Arial"/>
                <w:sz w:val="10"/>
                <w:szCs w:val="10"/>
                <w:color w:val="auto"/>
              </w:rPr>
              <w:t>(9)</w:t>
            </w:r>
          </w:p>
        </w:tc>
        <w:tc>
          <w:tcPr>
            <w:tcW w:w="86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3,702,009</w:t>
            </w:r>
          </w:p>
        </w:tc>
        <w:tc>
          <w:tcPr>
            <w:tcW w:w="140" w:type="dxa"/>
            <w:vAlign w:val="bottom"/>
          </w:tcPr>
          <w:p>
            <w:pPr>
              <w:spacing w:after="0"/>
              <w:rPr>
                <w:sz w:val="10"/>
                <w:szCs w:val="10"/>
                <w:color w:val="auto"/>
              </w:rPr>
            </w:pP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2,777,132</w:t>
            </w:r>
          </w:p>
        </w:tc>
        <w:tc>
          <w:tcPr>
            <w:tcW w:w="60" w:type="dxa"/>
            <w:vAlign w:val="bottom"/>
          </w:tcPr>
          <w:p>
            <w:pPr>
              <w:spacing w:after="0"/>
              <w:rPr>
                <w:sz w:val="10"/>
                <w:szCs w:val="10"/>
                <w:color w:val="auto"/>
              </w:rPr>
            </w:pPr>
          </w:p>
        </w:tc>
        <w:tc>
          <w:tcPr>
            <w:tcW w:w="8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2,776,507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2"/>
          </w:tcPr>
          <w:p>
            <w:pPr>
              <w:jc w:val="center"/>
              <w:ind w:right="200"/>
              <w:spacing w:after="0"/>
              <w:rPr>
                <w:sz w:val="20"/>
                <w:szCs w:val="20"/>
                <w:color w:val="auto"/>
              </w:rPr>
            </w:pPr>
            <w:r>
              <w:rPr>
                <w:rFonts w:ascii="Arial" w:cs="Arial" w:eastAsia="Arial" w:hAnsi="Arial"/>
                <w:sz w:val="13"/>
                <w:szCs w:val="13"/>
                <w:color w:val="auto"/>
                <w:w w:val="89"/>
              </w:rPr>
              <w:t>Subscription</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Investments—104.9%</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1"/>
              </w:rPr>
              <w:t>397,338,307</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391,311,890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Equivalents—5.8%</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gridSpan w:val="4"/>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and Temp Fund, Institutional Shares</w:t>
            </w: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21,428,514</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21,428,514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Equivalents—110.7%</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418,766,821</w:t>
            </w:r>
          </w:p>
        </w:tc>
        <w:tc>
          <w:tcPr>
            <w:tcW w:w="26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412,740,404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8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Assets—(10.7)%</w:t>
            </w: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(39,849,955)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372,890,449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7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460" w:right="100" w:hanging="452"/>
        <w:spacing w:after="0" w:line="224"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payment-in-kind, or PIK, interest and other fee rates, if any.</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460" w:right="30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460" w:hanging="452"/>
        <w:spacing w:after="0" w:line="234" w:lineRule="auto"/>
        <w:tabs>
          <w:tab w:leader="none" w:pos="46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ind w:left="460" w:hanging="452"/>
        <w:spacing w:after="0"/>
        <w:tabs>
          <w:tab w:leader="none" w:pos="460" w:val="left"/>
        </w:tabs>
        <w:numPr>
          <w:ilvl w:val="0"/>
          <w:numId w:val="4"/>
        </w:numPr>
        <w:rPr>
          <w:rFonts w:ascii="Arial" w:cs="Arial" w:eastAsia="Arial" w:hAnsi="Arial"/>
          <w:sz w:val="10"/>
          <w:szCs w:val="10"/>
          <w:color w:val="auto"/>
        </w:rPr>
      </w:pPr>
      <w:r>
        <w:rPr>
          <w:rFonts w:ascii="Arial" w:cs="Arial" w:eastAsia="Arial" w:hAnsi="Arial"/>
          <w:sz w:val="10"/>
          <w:szCs w:val="10"/>
          <w:color w:val="auto"/>
        </w:rPr>
        <w:t>Security is exempt from registration under Rule 144A promulgated under the Securities Act. The security may be resold in transactions that are exempt from registration, normally to qualified institutional buyers.</w:t>
      </w:r>
    </w:p>
    <w:p>
      <w:pPr>
        <w:spacing w:after="0" w:line="20" w:lineRule="exact"/>
        <w:rPr>
          <w:rFonts w:ascii="Arial" w:cs="Arial" w:eastAsia="Arial" w:hAnsi="Arial"/>
          <w:sz w:val="10"/>
          <w:szCs w:val="10"/>
          <w:color w:val="auto"/>
        </w:rPr>
      </w:pP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 and held through Funding I.</w:t>
      </w:r>
    </w:p>
    <w:p>
      <w:pPr>
        <w:ind w:left="46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460" w:right="38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or a revolving line of credit that is currently an unfunded investment. This security does not earn a basis point spread above an index while it is unfunded.</w:t>
      </w:r>
    </w:p>
    <w:p>
      <w:pPr>
        <w:ind w:left="460" w:right="220" w:hanging="452"/>
        <w:spacing w:after="0" w:line="216" w:lineRule="auto"/>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ind w:left="460" w:hanging="452"/>
        <w:spacing w:after="0"/>
        <w:tabs>
          <w:tab w:leader="none" w:pos="46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Became a controlled affiliate during the quarter ended September 30,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180"/>
          </w:cols>
          <w:pgMar w:left="32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160" w:firstLine="562"/>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66"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Our investment objectives are to generate current income and capital appreciation.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debt,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77" w:lineRule="exact"/>
        <w:rPr>
          <w:sz w:val="20"/>
          <w:szCs w:val="20"/>
          <w:color w:val="auto"/>
        </w:rPr>
      </w:pPr>
    </w:p>
    <w:p>
      <w:pPr>
        <w:ind w:right="220" w:firstLine="562"/>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44"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 Funding I to borrow up to $350 million at LIBOR plus 200 basis points during the revolving period. The Credit Facility is secured by all of the assets held by Funding I. See Note 10.</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On August 18, 2015, we completed the acquisition of MCG Capital Corporation, or MCG, pursuant to the Agreement and Plan of Merger, or the Merger Agreement, dated as of</w:t>
      </w:r>
    </w:p>
    <w:p>
      <w:pPr>
        <w:ind w:right="20"/>
        <w:spacing w:after="0" w:line="237" w:lineRule="auto"/>
        <w:rPr>
          <w:sz w:val="20"/>
          <w:szCs w:val="20"/>
          <w:color w:val="auto"/>
        </w:rPr>
      </w:pPr>
      <w:r>
        <w:rPr>
          <w:rFonts w:ascii="Arial" w:cs="Arial" w:eastAsia="Arial" w:hAnsi="Arial"/>
          <w:sz w:val="14"/>
          <w:szCs w:val="14"/>
          <w:color w:val="auto"/>
        </w:rPr>
        <w:t>April 28, 2015, by and among MCG, our Investment Adviser and the Company. As a result of the transactions contemplated by the Merger Agreement, MCG was ultimately merged with and into PFLT Funding II, LLC with PFLT Funding II, LLC as the surviving company.</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780" w:right="100" w:hanging="327"/>
        <w:spacing w:after="0" w:line="238"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260" w:firstLine="562"/>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We have complied with the requirements of Subchapter M of the Code and expect to be subject to taxation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do not typically pay any material level of federal income taxes. Although we are not subject to federal income taxes as a RIC, we elected to retain a portion of our calendar year income and accrue an excise tax of zero and $0.1 million, for the three months ended December 31, 2015 and 2014, respectively.</w:t>
      </w:r>
    </w:p>
    <w:p>
      <w:pPr>
        <w:spacing w:after="0" w:line="76"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Consolidation</w:t>
      </w:r>
    </w:p>
    <w:p>
      <w:pPr>
        <w:spacing w:after="0" w:line="9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subsidiaries in our Consolidated Financial Statements.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Asset Transfers and Servicing</w:t>
      </w:r>
    </w:p>
    <w:p>
      <w:pPr>
        <w:spacing w:after="0" w:line="96"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its assets and such assets are not intended to be available to the creditors of PennantPark Floating Rate Capital Ltd. or any of its affiliates.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40" w:firstLine="337"/>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69" w:lineRule="exact"/>
        <w:rPr>
          <w:sz w:val="20"/>
          <w:szCs w:val="20"/>
          <w:color w:val="auto"/>
        </w:rPr>
      </w:pPr>
    </w:p>
    <w:p>
      <w:pPr>
        <w:ind w:right="140" w:firstLine="337"/>
        <w:spacing w:after="0" w:line="247" w:lineRule="auto"/>
        <w:rPr>
          <w:sz w:val="20"/>
          <w:szCs w:val="20"/>
          <w:color w:val="auto"/>
        </w:rPr>
      </w:pPr>
      <w:r>
        <w:rPr>
          <w:rFonts w:ascii="Arial" w:cs="Arial" w:eastAsia="Arial" w:hAnsi="Arial"/>
          <w:sz w:val="13"/>
          <w:szCs w:val="13"/>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2015 and 2014, the Investment Adviser earned a base management fee of $1.1 million and $0.9 million, respectively, from us.</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337"/>
        <w:spacing w:after="0" w:line="239"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w:t>
      </w:r>
    </w:p>
    <w:p>
      <w:pPr>
        <w:spacing w:after="0" w:line="7"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2.9167% in any calendar quarter. These calculations are pro-rated for any share issuances or repurchases during the relevant quarter, if applicable. For the three months ended December 31, 2015 and 2014, the Investment Adviser earned zero and $0.7 million, respectively, in incentive fees on net investment income from us.</w:t>
      </w:r>
    </w:p>
    <w:p>
      <w:pPr>
        <w:spacing w:after="0" w:line="75" w:lineRule="exact"/>
        <w:rPr>
          <w:sz w:val="20"/>
          <w:szCs w:val="20"/>
          <w:color w:val="auto"/>
        </w:rPr>
      </w:pPr>
    </w:p>
    <w:p>
      <w:pPr>
        <w:ind w:right="140" w:firstLine="337"/>
        <w:spacing w:after="0" w:line="231"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months ended December 31, 2015 and 2014, the Investment Adviser earned an incentive fee on capital gains of approximately zero and $(0.4) million, respectively, as calculated under the Investment Management Agreement (as described above).</w:t>
      </w:r>
    </w:p>
    <w:p>
      <w:pPr>
        <w:spacing w:after="0" w:line="76" w:lineRule="exact"/>
        <w:rPr>
          <w:sz w:val="20"/>
          <w:szCs w:val="20"/>
          <w:color w:val="auto"/>
        </w:rPr>
      </w:pPr>
    </w:p>
    <w:p>
      <w:pPr>
        <w:ind w:right="40" w:firstLine="337"/>
        <w:spacing w:after="0" w:line="271"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three month ended December 31, 2015 and 2014 was zero and $(0.6) million, respectively.</w:t>
      </w:r>
    </w:p>
    <w:p>
      <w:pPr>
        <w:spacing w:after="0" w:line="57" w:lineRule="exact"/>
        <w:rPr>
          <w:sz w:val="20"/>
          <w:szCs w:val="20"/>
          <w:color w:val="auto"/>
        </w:rPr>
      </w:pPr>
    </w:p>
    <w:p>
      <w:pPr>
        <w:ind w:right="60" w:firstLine="337"/>
        <w:spacing w:after="0" w:line="247"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the directors who are not interested persons of us, in February 2016.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Statements of Operations. For the three months ended December 31, 2015 and 2014, the Investment Adviser was reimbursed approximately $0.1 million and $0.1 million, respectively, from us, including expenses the Investment Adviser incurred on behalf of the Administrator, for services described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2015 and 2014 totaled $99.2 million and $47.2 million, respectively. Sales and repayments of investments for the same periods totaled $26.9 million and $44.9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3520" w:type="dxa"/>
            <w:vAlign w:val="bottom"/>
            <w:gridSpan w:val="3"/>
            <w:vMerge w:val="continue"/>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19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409,703,722</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403,229,109</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338,567,205</w:t>
            </w:r>
          </w:p>
        </w:tc>
        <w:tc>
          <w:tcPr>
            <w:tcW w:w="4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Second lien</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47,680,168</w:t>
            </w:r>
          </w:p>
        </w:tc>
        <w:tc>
          <w:tcPr>
            <w:tcW w:w="12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47,113,246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47,630,500</w:t>
            </w: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47,902,800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3,096,076</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2,957,376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8,634,195</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5,602,244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Preferred equity / common equity / warrants</w:t>
            </w:r>
          </w:p>
        </w:tc>
        <w:tc>
          <w:tcPr>
            <w:tcW w:w="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6,320,972</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6,765,844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2,506,407</w:t>
            </w: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2,849,505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5"/>
              </w:rPr>
              <w:t>466,800,938</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460,065,575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5"/>
              </w:rPr>
              <w:t>397,338,307</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391,311,890</w:t>
            </w:r>
          </w:p>
        </w:tc>
        <w:tc>
          <w:tcPr>
            <w:tcW w:w="0" w:type="dxa"/>
            <w:vAlign w:val="bottom"/>
          </w:tcPr>
          <w:p>
            <w:pPr>
              <w:spacing w:after="0"/>
              <w:rPr>
                <w:sz w:val="1"/>
                <w:szCs w:val="1"/>
                <w:color w:val="auto"/>
              </w:rPr>
            </w:pPr>
          </w:p>
        </w:tc>
      </w:tr>
      <w:tr>
        <w:trPr>
          <w:trHeight w:val="163"/>
        </w:trPr>
        <w:tc>
          <w:tcPr>
            <w:tcW w:w="3520" w:type="dxa"/>
            <w:vAlign w:val="bottom"/>
            <w:gridSpan w:val="3"/>
          </w:tcPr>
          <w:p>
            <w:pPr>
              <w:spacing w:after="0" w:line="155" w:lineRule="exact"/>
              <w:rPr>
                <w:sz w:val="20"/>
                <w:szCs w:val="20"/>
                <w:color w:val="auto"/>
              </w:rPr>
            </w:pPr>
            <w:r>
              <w:rPr>
                <w:rFonts w:ascii="Arial" w:cs="Arial" w:eastAsia="Arial" w:hAnsi="Arial"/>
                <w:sz w:val="14"/>
                <w:szCs w:val="14"/>
                <w:color w:val="auto"/>
              </w:rPr>
              <w:t>Cash equivalents</w:t>
            </w:r>
          </w:p>
        </w:tc>
        <w:tc>
          <w:tcPr>
            <w:tcW w:w="9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14,035,946</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14,035,946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 and cash equivalents</w:t>
            </w:r>
          </w:p>
        </w:tc>
        <w:tc>
          <w:tcPr>
            <w:tcW w:w="1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5"/>
              </w:rPr>
              <w:t>480,836,884</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474,101,521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5"/>
              </w:rPr>
              <w:t>418,766,821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412,740,404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36"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6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December 31, 2015</w:t>
            </w:r>
          </w:p>
        </w:tc>
        <w:tc>
          <w:tcPr>
            <w:tcW w:w="7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September 30, 2015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High Tech Industries</w:t>
            </w:r>
          </w:p>
        </w:tc>
        <w:tc>
          <w:tcPr>
            <w:tcW w:w="64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right"/>
              <w:ind w:right="660"/>
              <w:spacing w:after="0" w:line="142" w:lineRule="exact"/>
              <w:rPr>
                <w:sz w:val="20"/>
                <w:szCs w:val="20"/>
                <w:color w:val="auto"/>
              </w:rPr>
            </w:pPr>
            <w:r>
              <w:rPr>
                <w:rFonts w:ascii="Arial" w:cs="Arial" w:eastAsia="Arial" w:hAnsi="Arial"/>
                <w:sz w:val="14"/>
                <w:szCs w:val="14"/>
                <w:color w:val="auto"/>
              </w:rPr>
              <w:t>11%</w:t>
            </w:r>
          </w:p>
        </w:tc>
        <w:tc>
          <w:tcPr>
            <w:tcW w:w="1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Healthcare and Pharmaceuticals</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Construction and Building</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Goods: Durable</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Retail</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 and Defense</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Consumer Goods: Non-Durable</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Services</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Wholesale</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Hotel, Gaming and Leisure</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Capital Equipment</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780" w:type="dxa"/>
            <w:vAlign w:val="bottom"/>
          </w:tcPr>
          <w:p>
            <w:pPr>
              <w:spacing w:after="0"/>
              <w:rPr>
                <w:sz w:val="12"/>
                <w:szCs w:val="12"/>
                <w:color w:val="auto"/>
              </w:rPr>
            </w:pPr>
          </w:p>
        </w:tc>
        <w:tc>
          <w:tcPr>
            <w:tcW w:w="1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 Advertising, Printing and Publishing</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Arial" w:cs="Arial" w:eastAsia="Arial" w:hAnsi="Arial"/>
                <w:sz w:val="14"/>
                <w:szCs w:val="14"/>
                <w:color w:val="auto"/>
              </w:rPr>
              <w:t>Banking, Finance, Insurance &amp; Real Estate</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Arial" w:cs="Arial" w:eastAsia="Arial" w:hAnsi="Arial"/>
                <w:sz w:val="14"/>
                <w:szCs w:val="14"/>
                <w:color w:val="auto"/>
              </w:rPr>
              <w:t>Media: Broadcasting and Subscription</w:t>
            </w: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Other</w:t>
            </w:r>
          </w:p>
        </w:tc>
        <w:tc>
          <w:tcPr>
            <w:tcW w:w="640" w:type="dxa"/>
            <w:vAlign w:val="bottom"/>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8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640" w:type="dxa"/>
            <w:vAlign w:val="bottom"/>
          </w:tcPr>
          <w:p>
            <w:pPr>
              <w:spacing w:after="0"/>
              <w:rPr>
                <w:sz w:val="13"/>
                <w:szCs w:val="13"/>
                <w:color w:val="auto"/>
              </w:rPr>
            </w:pPr>
          </w:p>
        </w:tc>
        <w:tc>
          <w:tcPr>
            <w:tcW w:w="2240" w:type="dxa"/>
            <w:vAlign w:val="bottom"/>
            <w:gridSpan w:val="2"/>
          </w:tcPr>
          <w:p>
            <w:pPr>
              <w:jc w:val="right"/>
              <w:ind w:right="660"/>
              <w:spacing w:after="0" w:line="155" w:lineRule="exact"/>
              <w:rPr>
                <w:sz w:val="20"/>
                <w:szCs w:val="20"/>
                <w:color w:val="auto"/>
              </w:rPr>
            </w:pPr>
            <w:r>
              <w:rPr>
                <w:rFonts w:ascii="Arial" w:cs="Arial" w:eastAsia="Arial" w:hAnsi="Arial"/>
                <w:sz w:val="14"/>
                <w:szCs w:val="14"/>
                <w:color w:val="auto"/>
              </w:rPr>
              <w:t>100%</w:t>
            </w:r>
          </w:p>
        </w:tc>
        <w:tc>
          <w:tcPr>
            <w:tcW w:w="1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240" w:type="dxa"/>
            <w:vAlign w:val="bottom"/>
          </w:tcPr>
          <w:p>
            <w:pPr>
              <w:spacing w:after="0"/>
              <w:rPr>
                <w:sz w:val="24"/>
                <w:szCs w:val="24"/>
                <w:color w:val="auto"/>
              </w:rPr>
            </w:pPr>
          </w:p>
        </w:tc>
        <w:tc>
          <w:tcPr>
            <w:tcW w:w="64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8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70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2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260" w:firstLine="337"/>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100" w:firstLine="337"/>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right="20" w:firstLine="337"/>
        <w:spacing w:after="0" w:line="231" w:lineRule="auto"/>
        <w:rPr>
          <w:sz w:val="20"/>
          <w:szCs w:val="20"/>
          <w:color w:val="auto"/>
        </w:rPr>
      </w:pPr>
      <w:r>
        <w:rPr>
          <w:rFonts w:ascii="Arial" w:cs="Arial" w:eastAsia="Arial" w:hAnsi="Arial"/>
          <w:sz w:val="14"/>
          <w:szCs w:val="14"/>
          <w:color w:val="auto"/>
        </w:rPr>
        <w:t>Our investments are generally structured as Floating Rate Loans, mainly senior secured debt,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firstLine="337"/>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2015 and 2014, our ability to observe valuation inputs resulted in one reclassification of an asset from Level 2 to 1 and one reclassification of an asset from Level 2 to 3, respectively.</w:t>
      </w:r>
    </w:p>
    <w:p>
      <w:pPr>
        <w:spacing w:after="0" w:line="77" w:lineRule="exact"/>
        <w:rPr>
          <w:sz w:val="20"/>
          <w:szCs w:val="20"/>
          <w:color w:val="auto"/>
        </w:rPr>
      </w:pPr>
    </w:p>
    <w:p>
      <w:pPr>
        <w:ind w:right="20" w:firstLine="337"/>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44" w:lineRule="exact"/>
        <w:rPr>
          <w:sz w:val="20"/>
          <w:szCs w:val="20"/>
          <w:color w:val="auto"/>
        </w:rPr>
      </w:pPr>
    </w:p>
    <w:p>
      <w:pPr>
        <w:ind w:right="60" w:firstLine="337"/>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right="20" w:firstLine="337"/>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Fair Value at</w:t>
            </w: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Valuation Technique</w:t>
            </w:r>
          </w:p>
        </w:tc>
        <w:tc>
          <w:tcPr>
            <w:tcW w:w="2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5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December 31, 2015</w:t>
            </w:r>
          </w:p>
        </w:tc>
        <w:tc>
          <w:tcPr>
            <w:tcW w:w="1680" w:type="dxa"/>
            <w:vAlign w:val="bottom"/>
            <w:gridSpan w:val="2"/>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260,254,735</w:t>
            </w:r>
          </w:p>
        </w:tc>
        <w:tc>
          <w:tcPr>
            <w:tcW w:w="30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2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2"/>
                <w:szCs w:val="12"/>
                <w:color w:val="auto"/>
              </w:rPr>
            </w:pPr>
          </w:p>
        </w:tc>
        <w:tc>
          <w:tcPr>
            <w:tcW w:w="14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193,044,996</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rPr>
              <w:t>5.8% – 26.3% (10.5%)</w:t>
            </w:r>
          </w:p>
        </w:tc>
        <w:tc>
          <w:tcPr>
            <w:tcW w:w="0" w:type="dxa"/>
            <w:vAlign w:val="bottom"/>
          </w:tcPr>
          <w:p>
            <w:pPr>
              <w:spacing w:after="0"/>
              <w:rPr>
                <w:sz w:val="1"/>
                <w:szCs w:val="1"/>
                <w:color w:val="auto"/>
              </w:rPr>
            </w:pPr>
          </w:p>
        </w:tc>
      </w:tr>
      <w:tr>
        <w:trPr>
          <w:trHeight w:val="148"/>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6,686,216</w:t>
            </w: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6.0x – 10.5x (7.6x)</w:t>
            </w:r>
          </w:p>
        </w:tc>
        <w:tc>
          <w:tcPr>
            <w:tcW w:w="0" w:type="dxa"/>
            <w:vAlign w:val="bottom"/>
          </w:tcPr>
          <w:p>
            <w:pPr>
              <w:spacing w:after="0"/>
              <w:rPr>
                <w:sz w:val="1"/>
                <w:szCs w:val="1"/>
                <w:color w:val="auto"/>
              </w:rPr>
            </w:pPr>
          </w:p>
        </w:tc>
      </w:tr>
      <w:tr>
        <w:trPr>
          <w:trHeight w:val="196"/>
        </w:trPr>
        <w:tc>
          <w:tcPr>
            <w:tcW w:w="4480" w:type="dxa"/>
            <w:vAlign w:val="bottom"/>
            <w:tcBorders>
              <w:bottom w:val="single" w:sz="8" w:color="CCEEFF"/>
            </w:tcBorders>
            <w:gridSpan w:val="2"/>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459,985,947</w:t>
            </w:r>
          </w:p>
        </w:tc>
        <w:tc>
          <w:tcPr>
            <w:tcW w:w="300" w:type="dxa"/>
            <w:vAlign w:val="bottom"/>
            <w:tcBorders>
              <w:bottom w:val="single" w:sz="8" w:color="CCEEFF"/>
            </w:tcBorders>
          </w:tcPr>
          <w:p>
            <w:pPr>
              <w:spacing w:after="0"/>
              <w:rPr>
                <w:sz w:val="17"/>
                <w:szCs w:val="17"/>
                <w:color w:val="auto"/>
              </w:rPr>
            </w:pPr>
          </w:p>
        </w:tc>
        <w:tc>
          <w:tcPr>
            <w:tcW w:w="148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5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48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95,698,125</w:t>
            </w:r>
          </w:p>
        </w:tc>
        <w:tc>
          <w:tcPr>
            <w:tcW w:w="30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gridSpan w:val="2"/>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4"/>
              </w:rPr>
              <w:t>Market Comparable</w:t>
            </w:r>
          </w:p>
        </w:tc>
        <w:tc>
          <w:tcPr>
            <w:tcW w:w="2000" w:type="dxa"/>
            <w:vAlign w:val="bottom"/>
            <w:tcBorders>
              <w:bottom w:val="single" w:sz="8" w:color="CCEEFF"/>
            </w:tcBorders>
            <w:gridSpan w:val="2"/>
            <w:shd w:val="clear" w:color="auto" w:fill="CCEEFF"/>
          </w:tcPr>
          <w:p>
            <w:pPr>
              <w:jc w:val="center"/>
              <w:ind w:right="200"/>
              <w:spacing w:after="0" w:line="129" w:lineRule="exact"/>
              <w:rPr>
                <w:sz w:val="20"/>
                <w:szCs w:val="20"/>
                <w:color w:val="auto"/>
              </w:rPr>
            </w:pPr>
            <w:r>
              <w:rPr>
                <w:rFonts w:ascii="Arial" w:cs="Arial" w:eastAsia="Arial" w:hAnsi="Arial"/>
                <w:sz w:val="14"/>
                <w:szCs w:val="14"/>
                <w:color w:val="auto"/>
                <w:w w:val="97"/>
              </w:rPr>
              <w:t>Market Yield</w:t>
            </w:r>
          </w:p>
        </w:tc>
        <w:tc>
          <w:tcPr>
            <w:tcW w:w="1520" w:type="dxa"/>
            <w:vAlign w:val="bottom"/>
            <w:tcBorders>
              <w:bottom w:val="single" w:sz="8" w:color="CCEEFF"/>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w w:val="93"/>
              </w:rPr>
              <w:t>3.5%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Fair Value at</w:t>
            </w:r>
          </w:p>
        </w:tc>
        <w:tc>
          <w:tcPr>
            <w:tcW w:w="280" w:type="dxa"/>
            <w:vAlign w:val="bottom"/>
          </w:tcPr>
          <w:p>
            <w:pPr>
              <w:spacing w:after="0"/>
              <w:rPr>
                <w:sz w:val="14"/>
                <w:szCs w:val="14"/>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Valuation Technique</w:t>
            </w:r>
          </w:p>
        </w:tc>
        <w:tc>
          <w:tcPr>
            <w:tcW w:w="2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Unobservable Input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5"/>
        </w:trPr>
        <w:tc>
          <w:tcPr>
            <w:tcW w:w="4480" w:type="dxa"/>
            <w:vAlign w:val="bottom"/>
            <w:gridSpan w:val="2"/>
            <w:vMerge w:val="continue"/>
          </w:tcPr>
          <w:p>
            <w:pPr>
              <w:spacing w:after="0"/>
              <w:rPr>
                <w:sz w:val="15"/>
                <w:szCs w:val="15"/>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3"/>
              </w:rPr>
              <w:t>September 30, 2015</w:t>
            </w:r>
          </w:p>
        </w:tc>
        <w:tc>
          <w:tcPr>
            <w:tcW w:w="2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4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259,566,475</w:t>
            </w: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2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22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160" w:type="dxa"/>
            <w:vAlign w:val="bottom"/>
          </w:tcPr>
          <w:p>
            <w:pPr>
              <w:spacing w:after="0"/>
              <w:rPr>
                <w:sz w:val="12"/>
                <w:szCs w:val="12"/>
                <w:color w:val="auto"/>
              </w:rPr>
            </w:pPr>
          </w:p>
        </w:tc>
        <w:tc>
          <w:tcPr>
            <w:tcW w:w="11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128,895,910</w:t>
            </w:r>
          </w:p>
        </w:tc>
        <w:tc>
          <w:tcPr>
            <w:tcW w:w="280" w:type="dxa"/>
            <w:vAlign w:val="bottom"/>
          </w:tcPr>
          <w:p>
            <w:pPr>
              <w:spacing w:after="0"/>
              <w:rPr>
                <w:sz w:val="12"/>
                <w:szCs w:val="12"/>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5.5% – 34.7% (10.6%)</w:t>
            </w:r>
          </w:p>
        </w:tc>
        <w:tc>
          <w:tcPr>
            <w:tcW w:w="0" w:type="dxa"/>
            <w:vAlign w:val="bottom"/>
          </w:tcPr>
          <w:p>
            <w:pPr>
              <w:spacing w:after="0"/>
              <w:rPr>
                <w:sz w:val="1"/>
                <w:szCs w:val="1"/>
                <w:color w:val="auto"/>
              </w:rPr>
            </w:pPr>
          </w:p>
        </w:tc>
      </w:tr>
      <w:tr>
        <w:trPr>
          <w:trHeight w:val="148"/>
        </w:trPr>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313,941</w:t>
            </w:r>
          </w:p>
        </w:tc>
        <w:tc>
          <w:tcPr>
            <w:tcW w:w="28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Market Comparable</w:t>
            </w:r>
          </w:p>
        </w:tc>
        <w:tc>
          <w:tcPr>
            <w:tcW w:w="200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3"/>
              </w:rPr>
              <w:t>Broker/Dealer bids or quotes</w:t>
            </w:r>
          </w:p>
        </w:tc>
        <w:tc>
          <w:tcPr>
            <w:tcW w:w="15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2,344,955</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Enterprise Market Value</w:t>
            </w:r>
          </w:p>
        </w:tc>
        <w:tc>
          <w:tcPr>
            <w:tcW w:w="2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tcPr>
          <w:p>
            <w:pPr>
              <w:jc w:val="center"/>
              <w:spacing w:after="0" w:line="149" w:lineRule="exact"/>
              <w:rPr>
                <w:sz w:val="20"/>
                <w:szCs w:val="20"/>
                <w:color w:val="auto"/>
              </w:rPr>
            </w:pPr>
            <w:r>
              <w:rPr>
                <w:rFonts w:ascii="Arial" w:cs="Arial" w:eastAsia="Arial" w:hAnsi="Arial"/>
                <w:sz w:val="14"/>
                <w:szCs w:val="14"/>
                <w:color w:val="auto"/>
                <w:w w:val="94"/>
              </w:rPr>
              <w:t>6.0x – 10.5x (7.6x)</w:t>
            </w:r>
          </w:p>
        </w:tc>
        <w:tc>
          <w:tcPr>
            <w:tcW w:w="0" w:type="dxa"/>
            <w:vAlign w:val="bottom"/>
          </w:tcPr>
          <w:p>
            <w:pPr>
              <w:spacing w:after="0"/>
              <w:rPr>
                <w:sz w:val="1"/>
                <w:szCs w:val="1"/>
                <w:color w:val="auto"/>
              </w:rPr>
            </w:pPr>
          </w:p>
        </w:tc>
      </w:tr>
      <w:tr>
        <w:trPr>
          <w:trHeight w:val="149"/>
        </w:trPr>
        <w:tc>
          <w:tcPr>
            <w:tcW w:w="44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4"/>
              </w:rPr>
              <w:t>Market Comparable</w:t>
            </w:r>
          </w:p>
        </w:tc>
        <w:tc>
          <w:tcPr>
            <w:tcW w:w="200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7"/>
              </w:rPr>
              <w:t>Market Yield</w:t>
            </w:r>
          </w:p>
        </w:tc>
        <w:tc>
          <w:tcPr>
            <w:tcW w:w="1520" w:type="dxa"/>
            <w:vAlign w:val="bottom"/>
            <w:vMerge w:val="restart"/>
          </w:tcPr>
          <w:p>
            <w:pPr>
              <w:jc w:val="center"/>
              <w:spacing w:after="0"/>
              <w:rPr>
                <w:sz w:val="20"/>
                <w:szCs w:val="20"/>
                <w:color w:val="auto"/>
              </w:rPr>
            </w:pPr>
            <w:r>
              <w:rPr>
                <w:rFonts w:ascii="Arial" w:cs="Arial" w:eastAsia="Arial" w:hAnsi="Arial"/>
                <w:sz w:val="14"/>
                <w:szCs w:val="14"/>
                <w:color w:val="auto"/>
                <w:w w:val="93"/>
              </w:rPr>
              <w:t>2.9%</w:t>
            </w: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equivalents and Credit Facility were categorized as follows in the fair value hierarchy for ASC 820 purposes: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9"/>
              </w:rPr>
              <w:t>Fair Value Measurements at December 31, 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5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403,229,109</w:t>
            </w:r>
          </w:p>
        </w:tc>
        <w:tc>
          <w:tcPr>
            <w:tcW w:w="6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660"/>
              <w:spacing w:after="0" w:line="142" w:lineRule="exact"/>
              <w:rPr>
                <w:sz w:val="20"/>
                <w:szCs w:val="20"/>
                <w:color w:val="auto"/>
              </w:rPr>
            </w:pPr>
            <w:r>
              <w:rPr>
                <w:rFonts w:ascii="Arial" w:cs="Arial" w:eastAsia="Arial" w:hAnsi="Arial"/>
                <w:sz w:val="14"/>
                <w:szCs w:val="14"/>
                <w:color w:val="auto"/>
                <w:w w:val="99"/>
              </w:rPr>
              <w:t>—</w:t>
            </w:r>
          </w:p>
        </w:tc>
        <w:tc>
          <w:tcPr>
            <w:tcW w:w="3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403,229,109</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47,113,246</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47,113,246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2,957,376</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2,957,376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0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6,765,844</w:t>
            </w:r>
          </w:p>
        </w:tc>
        <w:tc>
          <w:tcPr>
            <w:tcW w:w="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79,628</w:t>
            </w: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ind w:left="660"/>
              <w:spacing w:after="0" w:line="149"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6,686,216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460,065,575</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79,628</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459,985,947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5200" w:type="dxa"/>
            <w:vAlign w:val="bottom"/>
            <w:gridSpan w:val="2"/>
          </w:tcPr>
          <w:p>
            <w:pPr>
              <w:spacing w:after="0" w:line="155" w:lineRule="exact"/>
              <w:rPr>
                <w:sz w:val="20"/>
                <w:szCs w:val="20"/>
                <w:color w:val="auto"/>
              </w:rPr>
            </w:pPr>
            <w:r>
              <w:rPr>
                <w:rFonts w:ascii="Arial" w:cs="Arial" w:eastAsia="Arial" w:hAnsi="Arial"/>
                <w:sz w:val="14"/>
                <w:szCs w:val="14"/>
                <w:color w:val="auto"/>
              </w:rPr>
              <w:t>Cash equivalents</w:t>
            </w: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14,035,946</w:t>
            </w:r>
          </w:p>
        </w:tc>
        <w:tc>
          <w:tcPr>
            <w:tcW w:w="6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14,035,946</w:t>
            </w:r>
          </w:p>
        </w:tc>
        <w:tc>
          <w:tcPr>
            <w:tcW w:w="6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60"/>
              <w:spacing w:after="0" w:line="155"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20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474,101,521</w:t>
            </w:r>
          </w:p>
        </w:tc>
        <w:tc>
          <w:tcPr>
            <w:tcW w:w="7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14,115,574</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459,985,947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0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95,698,125</w:t>
            </w:r>
          </w:p>
        </w:tc>
        <w:tc>
          <w:tcPr>
            <w:tcW w:w="6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ind w:left="660"/>
              <w:spacing w:after="0" w:line="143" w:lineRule="exact"/>
              <w:rPr>
                <w:sz w:val="20"/>
                <w:szCs w:val="20"/>
                <w:color w:val="auto"/>
              </w:rPr>
            </w:pPr>
            <w:r>
              <w:rPr>
                <w:rFonts w:ascii="Arial" w:cs="Arial" w:eastAsia="Arial" w:hAnsi="Arial"/>
                <w:sz w:val="14"/>
                <w:szCs w:val="14"/>
                <w:color w:val="auto"/>
                <w:w w:val="99"/>
              </w:rPr>
              <w: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95,698,125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8"/>
              </w:rPr>
              <w:t>Fair Value Measurements at September 30, 2015</w:t>
            </w: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w w:val="98"/>
              </w:rPr>
              <w:t>Fair Value</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ind w:right="228"/>
              <w:spacing w:after="0" w:line="142" w:lineRule="exact"/>
              <w:rPr>
                <w:sz w:val="20"/>
                <w:szCs w:val="20"/>
                <w:color w:val="auto"/>
              </w:rPr>
            </w:pPr>
            <w:r>
              <w:rPr>
                <w:rFonts w:ascii="Arial" w:cs="Arial" w:eastAsia="Arial" w:hAnsi="Arial"/>
                <w:sz w:val="14"/>
                <w:szCs w:val="14"/>
                <w:b w:val="1"/>
                <w:bCs w:val="1"/>
                <w:color w:val="auto"/>
              </w:rPr>
              <w:t>Level 1</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 (First lien)</w:t>
            </w:r>
          </w:p>
        </w:tc>
        <w:tc>
          <w:tcPr>
            <w:tcW w:w="5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6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line="149" w:lineRule="exact"/>
              <w:rPr>
                <w:sz w:val="20"/>
                <w:szCs w:val="20"/>
                <w:color w:val="auto"/>
              </w:rPr>
            </w:pPr>
            <w:r>
              <w:rPr>
                <w:rFonts w:ascii="Arial" w:cs="Arial" w:eastAsia="Arial" w:hAnsi="Arial"/>
                <w:sz w:val="14"/>
                <w:szCs w:val="14"/>
                <w:color w:val="auto"/>
              </w:rPr>
              <w:t>Debt investments (Second lien)</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47,902,800</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47,902,800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 (Subordinated debt / corporate notes)</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5,602,244</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5,602,244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2,849,505</w:t>
            </w:r>
          </w:p>
        </w:tc>
        <w:tc>
          <w:tcPr>
            <w:tcW w:w="6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190,609</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2,658,896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5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391,311,890</w:t>
            </w:r>
          </w:p>
        </w:tc>
        <w:tc>
          <w:tcPr>
            <w:tcW w:w="6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190,609</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80" w:type="dxa"/>
            <w:vAlign w:val="bottom"/>
          </w:tcPr>
          <w:p>
            <w:pPr>
              <w:spacing w:after="0" w:line="155" w:lineRule="exact"/>
              <w:rPr>
                <w:sz w:val="20"/>
                <w:szCs w:val="20"/>
                <w:color w:val="auto"/>
              </w:rPr>
            </w:pPr>
            <w:r>
              <w:rPr>
                <w:rFonts w:ascii="Arial" w:cs="Arial" w:eastAsia="Arial" w:hAnsi="Arial"/>
                <w:sz w:val="14"/>
                <w:szCs w:val="14"/>
                <w:color w:val="auto"/>
              </w:rPr>
              <w:t>Cash equivalents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21,428,514</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equivalents</w:t>
            </w: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412,740,404</w:t>
            </w:r>
          </w:p>
        </w:tc>
        <w:tc>
          <w:tcPr>
            <w:tcW w:w="7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21,428,514</w:t>
            </w:r>
          </w:p>
        </w:tc>
        <w:tc>
          <w:tcPr>
            <w:tcW w:w="7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190,609</w:t>
            </w:r>
          </w:p>
        </w:tc>
        <w:tc>
          <w:tcPr>
            <w:tcW w:w="3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391,121,281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60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20" w:type="dxa"/>
            <w:vAlign w:val="bottom"/>
          </w:tcPr>
          <w:p>
            <w:pPr>
              <w:spacing w:after="0"/>
              <w:rPr>
                <w:sz w:val="12"/>
                <w:szCs w:val="12"/>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29,600,000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color w:val="auto"/>
              </w:rPr>
              <w:t>19</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900" w:type="dxa"/>
            <w:vAlign w:val="bottom"/>
            <w:tcBorders>
              <w:bottom w:val="single" w:sz="8" w:color="auto"/>
            </w:tcBorders>
            <w:gridSpan w:val="7"/>
          </w:tcPr>
          <w:p>
            <w:pPr>
              <w:jc w:val="center"/>
              <w:ind w:left="868"/>
              <w:spacing w:after="0"/>
              <w:rPr>
                <w:sz w:val="20"/>
                <w:szCs w:val="20"/>
                <w:color w:val="auto"/>
              </w:rPr>
            </w:pPr>
            <w:r>
              <w:rPr>
                <w:rFonts w:ascii="Arial" w:cs="Arial" w:eastAsia="Arial" w:hAnsi="Arial"/>
                <w:sz w:val="14"/>
                <w:szCs w:val="14"/>
                <w:b w:val="1"/>
                <w:bCs w:val="1"/>
                <w:color w:val="auto"/>
                <w:w w:val="93"/>
              </w:rPr>
              <w:t>Three Months Ended December 31, 2015</w:t>
            </w: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First Lien</w:t>
            </w:r>
          </w:p>
        </w:tc>
        <w:tc>
          <w:tcPr>
            <w:tcW w:w="6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and equity investments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334,957,341</w:t>
            </w: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56,163,940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391,121,281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Net realized gains (losses)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53,300</w:t>
            </w:r>
          </w:p>
        </w:tc>
        <w:tc>
          <w:tcPr>
            <w:tcW w:w="60" w:type="dxa"/>
            <w:vAlign w:val="bottom"/>
          </w:tcPr>
          <w:p>
            <w:pPr>
              <w:spacing w:after="0"/>
              <w:rPr>
                <w:sz w:val="12"/>
                <w:szCs w:val="12"/>
                <w:color w:val="auto"/>
              </w:rPr>
            </w:pPr>
          </w:p>
        </w:tc>
        <w:tc>
          <w:tcPr>
            <w:tcW w:w="1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(3,285,308)</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(3,232,008)</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 appreciation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(2,864,750)</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2,266,779</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(597,971)</w:t>
            </w:r>
          </w:p>
        </w:tc>
        <w:tc>
          <w:tcPr>
            <w:tcW w:w="0" w:type="dxa"/>
            <w:vAlign w:val="bottom"/>
          </w:tcPr>
          <w:p>
            <w:pPr>
              <w:spacing w:after="0"/>
              <w:rPr>
                <w:sz w:val="1"/>
                <w:szCs w:val="1"/>
                <w:color w:val="auto"/>
              </w:rPr>
            </w:pPr>
          </w:p>
        </w:tc>
      </w:tr>
      <w:tr>
        <w:trPr>
          <w:trHeight w:val="148"/>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97,970,469</w:t>
            </w:r>
          </w:p>
        </w:tc>
        <w:tc>
          <w:tcPr>
            <w:tcW w:w="60" w:type="dxa"/>
            <w:vAlign w:val="bottom"/>
          </w:tcPr>
          <w:p>
            <w:pPr>
              <w:spacing w:after="0"/>
              <w:rPr>
                <w:sz w:val="12"/>
                <w:szCs w:val="12"/>
                <w:color w:val="auto"/>
              </w:rPr>
            </w:pP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1,584,985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99,555,454</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(26,887,251)</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26,442</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(26,860,809)</w:t>
            </w:r>
          </w:p>
        </w:tc>
        <w:tc>
          <w:tcPr>
            <w:tcW w:w="0" w:type="dxa"/>
            <w:vAlign w:val="bottom"/>
          </w:tcPr>
          <w:p>
            <w:pPr>
              <w:spacing w:after="0"/>
              <w:rPr>
                <w:sz w:val="1"/>
                <w:szCs w:val="1"/>
                <w:color w:val="auto"/>
              </w:rPr>
            </w:pPr>
          </w:p>
        </w:tc>
      </w:tr>
      <w:tr>
        <w:trPr>
          <w:trHeight w:val="148"/>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5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403,229,109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56,756,838</w:t>
            </w:r>
          </w:p>
        </w:tc>
        <w:tc>
          <w:tcPr>
            <w:tcW w:w="50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459,985,947</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w w:val="93"/>
              </w:rPr>
              <w:t>Net change in unrealized depreciation reported within the net change in unrealized depreciation</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60"/>
              <w:spacing w:after="0" w:line="149" w:lineRule="exact"/>
              <w:rPr>
                <w:sz w:val="20"/>
                <w:szCs w:val="20"/>
                <w:color w:val="auto"/>
              </w:rPr>
            </w:pPr>
            <w:r>
              <w:rPr>
                <w:rFonts w:ascii="Arial" w:cs="Arial" w:eastAsia="Arial" w:hAnsi="Arial"/>
                <w:sz w:val="14"/>
                <w:szCs w:val="14"/>
                <w:color w:val="auto"/>
                <w:w w:val="98"/>
              </w:rPr>
              <w:t>on investments in our Consolidated Statements of Operations attributable to our 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20" w:type="dxa"/>
            <w:vAlign w:val="bottom"/>
          </w:tcPr>
          <w:p>
            <w:pPr>
              <w:ind w:left="160"/>
              <w:spacing w:after="0"/>
              <w:rPr>
                <w:sz w:val="20"/>
                <w:szCs w:val="20"/>
                <w:color w:val="auto"/>
              </w:rPr>
            </w:pPr>
            <w:r>
              <w:rPr>
                <w:rFonts w:ascii="Arial" w:cs="Arial" w:eastAsia="Arial" w:hAnsi="Arial"/>
                <w:sz w:val="14"/>
                <w:szCs w:val="14"/>
                <w:color w:val="auto"/>
              </w:rPr>
              <w:t>assets still held at the reporting date.</w:t>
            </w:r>
          </w:p>
        </w:tc>
        <w:tc>
          <w:tcPr>
            <w:tcW w:w="5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(2,963,079)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(758,129)</w:t>
            </w:r>
          </w:p>
        </w:tc>
        <w:tc>
          <w:tcPr>
            <w:tcW w:w="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(3,721,208)</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7"/>
          </w:tcPr>
          <w:p>
            <w:pPr>
              <w:jc w:val="center"/>
              <w:ind w:left="868"/>
              <w:spacing w:after="0"/>
              <w:rPr>
                <w:sz w:val="20"/>
                <w:szCs w:val="20"/>
                <w:color w:val="auto"/>
              </w:rPr>
            </w:pPr>
            <w:r>
              <w:rPr>
                <w:rFonts w:ascii="Arial" w:cs="Arial" w:eastAsia="Arial" w:hAnsi="Arial"/>
                <w:sz w:val="14"/>
                <w:szCs w:val="14"/>
                <w:b w:val="1"/>
                <w:bCs w:val="1"/>
                <w:color w:val="auto"/>
                <w:w w:val="93"/>
              </w:rPr>
              <w:t>Three Months Ended December 31, 2014</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3"/>
              </w:rPr>
              <w:t>Second lien,</w:t>
            </w: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First Lien</w:t>
            </w:r>
          </w:p>
        </w:tc>
        <w:tc>
          <w:tcPr>
            <w:tcW w:w="60" w:type="dxa"/>
            <w:vAlign w:val="bottom"/>
          </w:tcPr>
          <w:p>
            <w:pPr>
              <w:spacing w:after="0"/>
              <w:rPr>
                <w:sz w:val="12"/>
                <w:szCs w:val="12"/>
                <w:color w:val="auto"/>
              </w:rPr>
            </w:pP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subordinated debt and</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55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equity investments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302,565,355</w:t>
            </w:r>
          </w:p>
        </w:tc>
        <w:tc>
          <w:tcPr>
            <w:tcW w:w="3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40,707,230</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343,272,585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Net realized losses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(171,920)</w:t>
            </w:r>
          </w:p>
        </w:tc>
        <w:tc>
          <w:tcPr>
            <w:tcW w:w="60" w:type="dxa"/>
            <w:vAlign w:val="bottom"/>
          </w:tcPr>
          <w:p>
            <w:pPr>
              <w:spacing w:after="0"/>
              <w:rPr>
                <w:sz w:val="12"/>
                <w:szCs w:val="12"/>
                <w:color w:val="auto"/>
              </w:rPr>
            </w:pP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(171,920)</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(3,201,049)</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(1,186,681)</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(4,387,730)</w:t>
            </w:r>
          </w:p>
        </w:tc>
        <w:tc>
          <w:tcPr>
            <w:tcW w:w="0" w:type="dxa"/>
            <w:vAlign w:val="bottom"/>
          </w:tcPr>
          <w:p>
            <w:pPr>
              <w:spacing w:after="0"/>
              <w:rPr>
                <w:sz w:val="1"/>
                <w:szCs w:val="1"/>
                <w:color w:val="auto"/>
              </w:rPr>
            </w:pPr>
          </w:p>
        </w:tc>
      </w:tr>
      <w:tr>
        <w:trPr>
          <w:trHeight w:val="148"/>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34,337,890</w:t>
            </w:r>
          </w:p>
        </w:tc>
        <w:tc>
          <w:tcPr>
            <w:tcW w:w="60" w:type="dxa"/>
            <w:vAlign w:val="bottom"/>
          </w:tcPr>
          <w:p>
            <w:pPr>
              <w:spacing w:after="0"/>
              <w:rPr>
                <w:sz w:val="12"/>
                <w:szCs w:val="12"/>
                <w:color w:val="auto"/>
              </w:rPr>
            </w:pP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10,391,025</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44,728,915</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(44,918,307)</w:t>
            </w:r>
          </w:p>
        </w:tc>
        <w:tc>
          <w:tcPr>
            <w:tcW w:w="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(44,918,307)</w:t>
            </w:r>
          </w:p>
        </w:tc>
        <w:tc>
          <w:tcPr>
            <w:tcW w:w="0" w:type="dxa"/>
            <w:vAlign w:val="bottom"/>
          </w:tcPr>
          <w:p>
            <w:pPr>
              <w:spacing w:after="0"/>
              <w:rPr>
                <w:sz w:val="1"/>
                <w:szCs w:val="1"/>
                <w:color w:val="auto"/>
              </w:rPr>
            </w:pPr>
          </w:p>
        </w:tc>
      </w:tr>
      <w:tr>
        <w:trPr>
          <w:trHeight w:val="148"/>
        </w:trPr>
        <w:tc>
          <w:tcPr>
            <w:tcW w:w="5520" w:type="dxa"/>
            <w:vAlign w:val="bottom"/>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3,370,599</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3,370,599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52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288,611,969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53,282,173</w:t>
            </w:r>
          </w:p>
        </w:tc>
        <w:tc>
          <w:tcPr>
            <w:tcW w:w="500" w:type="dxa"/>
            <w:vAlign w:val="bottom"/>
            <w:gridSpan w:val="2"/>
            <w:shd w:val="clear" w:color="auto" w:fill="CCEEFF"/>
          </w:tcPr>
          <w:p>
            <w:pPr>
              <w:jc w:val="right"/>
              <w:ind w:right="20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341,894,142</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4"/>
                <w:szCs w:val="14"/>
                <w:color w:val="auto"/>
                <w:w w:val="93"/>
              </w:rPr>
              <w:t>Net change in unrealized depreciation reported within the net change in unrealized depreciation</w:t>
            </w: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5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160"/>
              <w:spacing w:after="0" w:line="149" w:lineRule="exact"/>
              <w:rPr>
                <w:sz w:val="20"/>
                <w:szCs w:val="20"/>
                <w:color w:val="auto"/>
              </w:rPr>
            </w:pPr>
            <w:r>
              <w:rPr>
                <w:rFonts w:ascii="Arial" w:cs="Arial" w:eastAsia="Arial" w:hAnsi="Arial"/>
                <w:sz w:val="14"/>
                <w:szCs w:val="14"/>
                <w:color w:val="auto"/>
                <w:w w:val="98"/>
              </w:rPr>
              <w:t>on investments in our Consolidated Statements of Operations attributable to our Level 3</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520" w:type="dxa"/>
            <w:vAlign w:val="bottom"/>
          </w:tcPr>
          <w:p>
            <w:pPr>
              <w:ind w:left="160"/>
              <w:spacing w:after="0"/>
              <w:rPr>
                <w:sz w:val="20"/>
                <w:szCs w:val="20"/>
                <w:color w:val="auto"/>
              </w:rPr>
            </w:pPr>
            <w:r>
              <w:rPr>
                <w:rFonts w:ascii="Arial" w:cs="Arial" w:eastAsia="Arial" w:hAnsi="Arial"/>
                <w:sz w:val="14"/>
                <w:szCs w:val="14"/>
                <w:color w:val="auto"/>
              </w:rPr>
              <w:t>assets still held at the reporting date.</w:t>
            </w:r>
          </w:p>
        </w:tc>
        <w:tc>
          <w:tcPr>
            <w:tcW w:w="52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(3,046,683)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140"/>
              <w:spacing w:after="0"/>
              <w:rPr>
                <w:sz w:val="20"/>
                <w:szCs w:val="20"/>
                <w:color w:val="auto"/>
              </w:rPr>
            </w:pPr>
            <w:r>
              <w:rPr>
                <w:rFonts w:ascii="Arial" w:cs="Arial" w:eastAsia="Arial" w:hAnsi="Arial"/>
                <w:sz w:val="14"/>
                <w:szCs w:val="14"/>
                <w:color w:val="auto"/>
              </w:rPr>
              <w:t>(1,377,721)</w:t>
            </w:r>
          </w:p>
        </w:tc>
        <w:tc>
          <w:tcPr>
            <w:tcW w:w="5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(4,424,404)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520" w:type="dxa"/>
            <w:vAlign w:val="bottom"/>
          </w:tcPr>
          <w:p>
            <w:pPr>
              <w:spacing w:after="0"/>
              <w:rPr>
                <w:sz w:val="24"/>
                <w:szCs w:val="24"/>
                <w:color w:val="auto"/>
              </w:rPr>
            </w:pPr>
          </w:p>
        </w:tc>
        <w:tc>
          <w:tcPr>
            <w:tcW w:w="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42"/>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5"/>
          </w:tcPr>
          <w:p>
            <w:pPr>
              <w:jc w:val="right"/>
              <w:ind w:right="8"/>
              <w:spacing w:after="0" w:line="142" w:lineRule="exact"/>
              <w:rPr>
                <w:sz w:val="20"/>
                <w:szCs w:val="20"/>
                <w:color w:val="auto"/>
              </w:rPr>
            </w:pPr>
            <w:r>
              <w:rPr>
                <w:rFonts w:ascii="Arial" w:cs="Arial" w:eastAsia="Arial" w:hAnsi="Arial"/>
                <w:sz w:val="14"/>
                <w:szCs w:val="14"/>
                <w:b w:val="1"/>
                <w:bCs w:val="1"/>
                <w:color w:val="auto"/>
                <w:w w:val="92"/>
              </w:rPr>
              <w:t>Three Months Ended 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4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$29,600,000 and $146,400,000, respectively)</w:t>
            </w:r>
          </w:p>
        </w:tc>
        <w:tc>
          <w:tcPr>
            <w:tcW w:w="4280" w:type="dxa"/>
            <w:vAlign w:val="bottom"/>
            <w:gridSpan w:val="2"/>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29,600,000</w:t>
            </w: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146,949,000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(601,875)</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(40,875)</w:t>
            </w:r>
          </w:p>
        </w:tc>
        <w:tc>
          <w:tcPr>
            <w:tcW w:w="0" w:type="dxa"/>
            <w:vAlign w:val="bottom"/>
          </w:tcPr>
          <w:p>
            <w:pPr>
              <w:spacing w:after="0"/>
              <w:rPr>
                <w:sz w:val="1"/>
                <w:szCs w:val="1"/>
                <w:color w:val="auto"/>
              </w:rPr>
            </w:pPr>
          </w:p>
        </w:tc>
      </w:tr>
      <w:tr>
        <w:trPr>
          <w:trHeight w:val="149"/>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Borrowings</w:t>
            </w:r>
          </w:p>
        </w:tc>
        <w:tc>
          <w:tcPr>
            <w:tcW w:w="4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69,300,000</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34,300,000</w:t>
            </w:r>
          </w:p>
        </w:tc>
        <w:tc>
          <w:tcPr>
            <w:tcW w:w="0" w:type="dxa"/>
            <w:vAlign w:val="bottom"/>
          </w:tcPr>
          <w:p>
            <w:pPr>
              <w:spacing w:after="0"/>
              <w:rPr>
                <w:sz w:val="1"/>
                <w:szCs w:val="1"/>
                <w:color w:val="auto"/>
              </w:rPr>
            </w:pPr>
          </w:p>
        </w:tc>
      </w:tr>
      <w:tr>
        <w:trPr>
          <w:trHeight w:val="148"/>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Repayments</w:t>
            </w: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(2,600,000)</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(45,200,000)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$96,300,000 and $135,500,000, respectively)</w:t>
            </w:r>
          </w:p>
        </w:tc>
        <w:tc>
          <w:tcPr>
            <w:tcW w:w="4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95,698,125</w:t>
            </w:r>
          </w:p>
        </w:tc>
        <w:tc>
          <w:tcPr>
            <w:tcW w:w="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136,008,125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562"/>
        <w:spacing w:after="0" w:line="244" w:lineRule="auto"/>
        <w:rPr>
          <w:sz w:val="20"/>
          <w:szCs w:val="20"/>
          <w:color w:val="auto"/>
        </w:rPr>
      </w:pPr>
      <w:r>
        <w:rPr>
          <w:rFonts w:ascii="Arial" w:cs="Arial" w:eastAsia="Arial" w:hAnsi="Arial"/>
          <w:sz w:val="13"/>
          <w:szCs w:val="13"/>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$0.9 million and zero, respectively, relating to amendment fees on the Credit Facility during the three months ended December 31, 2015 and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2015 and 2014, our Credit Facility had a net change in unrealized depreciation of $0.6 million and less than $0.1 million, respectively. As of December 31, 2015 and September 30, 2015, the net unrealized depreciation on our Credit Facility totaled $0.6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Purchases of /</w:t>
            </w:r>
          </w:p>
        </w:tc>
        <w:tc>
          <w:tcPr>
            <w:tcW w:w="140" w:type="dxa"/>
            <w:vAlign w:val="bottom"/>
          </w:tcPr>
          <w:p>
            <w:pPr>
              <w:spacing w:after="0"/>
              <w:rPr>
                <w:sz w:val="13"/>
                <w:szCs w:val="13"/>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Sale of /</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140" w:type="dxa"/>
            <w:vAlign w:val="bottom"/>
          </w:tcPr>
          <w:p>
            <w:pPr>
              <w:spacing w:after="0"/>
              <w:rPr>
                <w:sz w:val="11"/>
                <w:szCs w:val="11"/>
                <w:color w:val="auto"/>
              </w:rPr>
            </w:pPr>
          </w:p>
        </w:tc>
        <w:tc>
          <w:tcPr>
            <w:tcW w:w="1180" w:type="dxa"/>
            <w:vAlign w:val="bottom"/>
            <w:gridSpan w:val="2"/>
          </w:tcPr>
          <w:p>
            <w:pPr>
              <w:jc w:val="right"/>
              <w:ind w:right="440"/>
              <w:spacing w:after="0" w:line="135" w:lineRule="exact"/>
              <w:rPr>
                <w:sz w:val="20"/>
                <w:szCs w:val="20"/>
                <w:color w:val="auto"/>
              </w:rPr>
            </w:pPr>
            <w:r>
              <w:rPr>
                <w:rFonts w:ascii="Arial" w:cs="Arial" w:eastAsia="Arial" w:hAnsi="Arial"/>
                <w:sz w:val="13"/>
                <w:szCs w:val="13"/>
                <w:b w:val="1"/>
                <w:bCs w:val="1"/>
                <w:color w:val="auto"/>
                <w:w w:val="93"/>
              </w:rPr>
              <w:t>Fair Value at</w:t>
            </w:r>
          </w:p>
        </w:tc>
        <w:tc>
          <w:tcPr>
            <w:tcW w:w="18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220" w:type="dxa"/>
            <w:vAlign w:val="bottom"/>
          </w:tcPr>
          <w:p>
            <w:pPr>
              <w:spacing w:after="0"/>
              <w:rPr>
                <w:sz w:val="11"/>
                <w:szCs w:val="11"/>
                <w:color w:val="auto"/>
              </w:rPr>
            </w:pPr>
          </w:p>
        </w:tc>
        <w:tc>
          <w:tcPr>
            <w:tcW w:w="9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1"/>
                <w:szCs w:val="11"/>
                <w:color w:val="auto"/>
              </w:rPr>
            </w:pPr>
          </w:p>
        </w:tc>
        <w:tc>
          <w:tcPr>
            <w:tcW w:w="1180" w:type="dxa"/>
            <w:vAlign w:val="bottom"/>
            <w:gridSpan w:val="4"/>
          </w:tcPr>
          <w:p>
            <w:pPr>
              <w:jc w:val="right"/>
              <w:ind w:right="420"/>
              <w:spacing w:after="0" w:line="135" w:lineRule="exact"/>
              <w:rPr>
                <w:sz w:val="20"/>
                <w:szCs w:val="20"/>
                <w:color w:val="auto"/>
              </w:rPr>
            </w:pPr>
            <w:r>
              <w:rPr>
                <w:rFonts w:ascii="Arial" w:cs="Arial" w:eastAsia="Arial" w:hAnsi="Arial"/>
                <w:sz w:val="13"/>
                <w:szCs w:val="13"/>
                <w:b w:val="1"/>
                <w:bCs w:val="1"/>
                <w:color w:val="auto"/>
                <w:w w:val="95"/>
              </w:rPr>
              <w:t>Fair Value at</w:t>
            </w:r>
          </w:p>
        </w:tc>
        <w:tc>
          <w:tcPr>
            <w:tcW w:w="22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0"/>
              </w:rPr>
              <w:t>Net Realized Gains</w:t>
            </w:r>
          </w:p>
        </w:tc>
        <w:tc>
          <w:tcPr>
            <w:tcW w:w="0" w:type="dxa"/>
            <w:vAlign w:val="bottom"/>
          </w:tcPr>
          <w:p>
            <w:pPr>
              <w:spacing w:after="0"/>
              <w:rPr>
                <w:sz w:val="1"/>
                <w:szCs w:val="1"/>
                <w:color w:val="auto"/>
              </w:rPr>
            </w:pPr>
          </w:p>
        </w:tc>
      </w:tr>
      <w:tr>
        <w:trPr>
          <w:trHeight w:val="153"/>
        </w:trPr>
        <w:tc>
          <w:tcPr>
            <w:tcW w:w="3780" w:type="dxa"/>
            <w:vAlign w:val="bottom"/>
            <w:gridSpan w:val="2"/>
            <w:vMerge w:val="continue"/>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3"/>
                <w:szCs w:val="13"/>
                <w:b w:val="1"/>
                <w:bCs w:val="1"/>
                <w:color w:val="auto"/>
              </w:rPr>
              <w:t>September 30, 2015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7"/>
              </w:rPr>
              <w:t>Affiliates</w:t>
            </w: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from Affiliates</w:t>
            </w:r>
          </w:p>
        </w:tc>
        <w:tc>
          <w:tcPr>
            <w:tcW w:w="220" w:type="dxa"/>
            <w:vAlign w:val="bottom"/>
          </w:tcPr>
          <w:p>
            <w:pPr>
              <w:spacing w:after="0"/>
              <w:rPr>
                <w:sz w:val="13"/>
                <w:szCs w:val="13"/>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4"/>
              </w:rPr>
              <w:t>Accrued</w:t>
            </w:r>
          </w:p>
        </w:tc>
        <w:tc>
          <w:tcPr>
            <w:tcW w:w="130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85"/>
              </w:rPr>
              <w:t>December 31, 2015</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(Losses)</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3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80" w:type="dxa"/>
            <w:vAlign w:val="bottom"/>
            <w:gridSpan w:val="2"/>
          </w:tcPr>
          <w:p>
            <w:pPr>
              <w:spacing w:after="0" w:line="130" w:lineRule="exact"/>
              <w:rPr>
                <w:sz w:val="20"/>
                <w:szCs w:val="20"/>
                <w:color w:val="auto"/>
              </w:rPr>
            </w:pPr>
            <w:r>
              <w:rPr>
                <w:rFonts w:ascii="Arial" w:cs="Arial" w:eastAsia="Arial" w:hAnsi="Arial"/>
                <w:sz w:val="14"/>
                <w:szCs w:val="14"/>
                <w:color w:val="auto"/>
              </w:rPr>
              <w:t>GMC Television Broadcasting</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80" w:type="dxa"/>
            <w:vAlign w:val="bottom"/>
            <w:gridSpan w:val="2"/>
          </w:tcPr>
          <w:p>
            <w:pPr>
              <w:ind w:left="160"/>
              <w:spacing w:after="0"/>
              <w:rPr>
                <w:sz w:val="20"/>
                <w:szCs w:val="20"/>
                <w:color w:val="auto"/>
              </w:rPr>
            </w:pPr>
            <w:r>
              <w:rPr>
                <w:rFonts w:ascii="Arial" w:cs="Arial" w:eastAsia="Arial" w:hAnsi="Arial"/>
                <w:sz w:val="14"/>
                <w:szCs w:val="14"/>
                <w:color w:val="auto"/>
              </w:rPr>
              <w:t>Holdings, LLC</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2,776,507</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$ 40,933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2,776,507</w:t>
            </w:r>
          </w:p>
        </w:tc>
        <w:tc>
          <w:tcPr>
            <w:tcW w:w="200" w:type="dxa"/>
            <w:vAlign w:val="bottom"/>
          </w:tcPr>
          <w:p>
            <w:pPr>
              <w:spacing w:after="0"/>
              <w:rPr>
                <w:sz w:val="14"/>
                <w:szCs w:val="14"/>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Controlled Affiliates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2,776,507</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$ 40,933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2,776,507</w:t>
            </w:r>
          </w:p>
        </w:tc>
        <w:tc>
          <w:tcPr>
            <w:tcW w:w="2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5100" w:type="dxa"/>
            <w:vAlign w:val="bottom"/>
            <w:gridSpan w:val="5"/>
          </w:tcPr>
          <w:p>
            <w:pPr>
              <w:spacing w:after="0"/>
              <w:rPr>
                <w:sz w:val="20"/>
                <w:szCs w:val="20"/>
                <w:color w:val="auto"/>
              </w:rPr>
            </w:pPr>
            <w:r>
              <w:rPr>
                <w:rFonts w:ascii="Arial" w:cs="Arial" w:eastAsia="Arial" w:hAnsi="Arial"/>
                <w:sz w:val="14"/>
                <w:szCs w:val="14"/>
                <w:b w:val="1"/>
                <w:bCs w:val="1"/>
                <w:color w:val="auto"/>
              </w:rPr>
              <w:t>7. CHANGE IN NET ASSETS FROM OPERATIONS PER COMMON SHARE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640" w:type="dxa"/>
            <w:vAlign w:val="bottom"/>
            <w:gridSpan w:val="15"/>
          </w:tcPr>
          <w:p>
            <w:pPr>
              <w:ind w:left="560"/>
              <w:spacing w:after="0"/>
              <w:rPr>
                <w:sz w:val="20"/>
                <w:szCs w:val="20"/>
                <w:color w:val="auto"/>
              </w:rPr>
            </w:pPr>
            <w:r>
              <w:rPr>
                <w:rFonts w:ascii="Arial" w:cs="Arial" w:eastAsia="Arial" w:hAnsi="Arial"/>
                <w:sz w:val="14"/>
                <w:szCs w:val="14"/>
                <w:color w:val="auto"/>
                <w:w w:val="96"/>
              </w:rPr>
              <w:t>The following information sets forth the computation of basic and diluted per share net increase in net assets resulting from operations:</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ind w:left="2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34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8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w w:val="92"/>
              </w:rPr>
              <w:t>Numerator for net increase in net assets resulting from operations</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1,746,879</w:t>
            </w:r>
          </w:p>
        </w:tc>
        <w:tc>
          <w:tcPr>
            <w:tcW w:w="2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438,202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26,730,074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148"/>
        </w:trPr>
        <w:tc>
          <w:tcPr>
            <w:tcW w:w="510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in net assets per share resulting from operations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0.07</w:t>
            </w:r>
          </w:p>
        </w:tc>
        <w:tc>
          <w:tcPr>
            <w:tcW w:w="380" w:type="dxa"/>
            <w:vAlign w:val="bottom"/>
            <w:gridSpan w:val="2"/>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December 31, 2015 and September 30, 2015, cash equivalents consisted of money market funds in the amounts of $14.0 million and $21.4 million, respectively.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668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8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0" w:type="dxa"/>
            <w:vAlign w:val="bottom"/>
          </w:tcPr>
          <w:p>
            <w:pPr>
              <w:spacing w:after="0"/>
              <w:rPr>
                <w:sz w:val="11"/>
                <w:szCs w:val="11"/>
                <w:color w:val="auto"/>
              </w:rPr>
            </w:pPr>
          </w:p>
        </w:tc>
        <w:tc>
          <w:tcPr>
            <w:tcW w:w="58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13.95</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0.19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0.37</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12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(0.34)</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0.07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20" w:type="dxa"/>
            <w:vAlign w:val="bottom"/>
          </w:tcPr>
          <w:p>
            <w:pPr>
              <w:spacing w:after="0"/>
              <w:rPr>
                <w:sz w:val="12"/>
                <w:szCs w:val="12"/>
                <w:color w:val="auto"/>
              </w:rPr>
            </w:pPr>
          </w:p>
        </w:tc>
        <w:tc>
          <w:tcPr>
            <w:tcW w:w="12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(0.29)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 value, end of period</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13.73</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14.16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880" w:type="dxa"/>
            <w:vAlign w:val="bottom"/>
            <w:vMerge w:val="continue"/>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11.25</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8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(3.48)%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20" w:type="dxa"/>
            <w:vAlign w:val="bottom"/>
          </w:tcPr>
          <w:p>
            <w:pPr>
              <w:spacing w:after="0"/>
              <w:rPr>
                <w:sz w:val="12"/>
                <w:szCs w:val="12"/>
                <w:color w:val="auto"/>
              </w:rPr>
            </w:pP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26,730,074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14,898,056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0" w:type="dxa"/>
            <w:vAlign w:val="bottom"/>
          </w:tcPr>
          <w:p>
            <w:pPr>
              <w:spacing w:after="0"/>
              <w:rPr>
                <w:sz w:val="12"/>
                <w:szCs w:val="12"/>
                <w:color w:val="auto"/>
              </w:rPr>
            </w:pPr>
          </w:p>
        </w:tc>
        <w:tc>
          <w:tcPr>
            <w:tcW w:w="58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12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Credit Facility related expenses to average net assets </w:t>
            </w: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88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0" w:type="dxa"/>
            <w:vAlign w:val="bottom"/>
          </w:tcPr>
          <w:p>
            <w:pPr>
              <w:spacing w:after="0"/>
              <w:rPr>
                <w:sz w:val="13"/>
                <w:szCs w:val="13"/>
                <w:color w:val="auto"/>
              </w:rPr>
            </w:pPr>
          </w:p>
        </w:tc>
        <w:tc>
          <w:tcPr>
            <w:tcW w:w="5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3.24%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6.25%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367,019,257</w:t>
            </w:r>
          </w:p>
        </w:tc>
        <w:tc>
          <w:tcPr>
            <w:tcW w:w="3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210,943,437</w:t>
            </w:r>
          </w:p>
        </w:tc>
        <w:tc>
          <w:tcPr>
            <w:tcW w:w="0" w:type="dxa"/>
            <w:vAlign w:val="bottom"/>
          </w:tcPr>
          <w:p>
            <w:pPr>
              <w:spacing w:after="0"/>
              <w:rPr>
                <w:sz w:val="1"/>
                <w:szCs w:val="1"/>
                <w:color w:val="auto"/>
              </w:rPr>
            </w:pPr>
          </w:p>
        </w:tc>
      </w:tr>
      <w:tr>
        <w:trPr>
          <w:trHeight w:val="27"/>
        </w:trPr>
        <w:tc>
          <w:tcPr>
            <w:tcW w:w="80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 average debt outstanding</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63,132,609</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143,708,696</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588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2.36</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 w:type="dxa"/>
            <w:vAlign w:val="bottom"/>
          </w:tcPr>
          <w:p>
            <w:pPr>
              <w:spacing w:after="0"/>
              <w:rPr>
                <w:sz w:val="12"/>
                <w:szCs w:val="12"/>
                <w:color w:val="auto"/>
              </w:rPr>
            </w:pPr>
          </w:p>
        </w:tc>
        <w:tc>
          <w:tcPr>
            <w:tcW w:w="5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4,835</w:t>
            </w:r>
          </w:p>
        </w:tc>
        <w:tc>
          <w:tcPr>
            <w:tcW w:w="3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2,551</w:t>
            </w:r>
          </w:p>
        </w:tc>
        <w:tc>
          <w:tcPr>
            <w:tcW w:w="0" w:type="dxa"/>
            <w:vAlign w:val="bottom"/>
          </w:tcPr>
          <w:p>
            <w:pPr>
              <w:spacing w:after="0"/>
              <w:rPr>
                <w:sz w:val="1"/>
                <w:szCs w:val="1"/>
                <w:color w:val="auto"/>
              </w:rPr>
            </w:pPr>
          </w:p>
        </w:tc>
      </w:tr>
      <w:tr>
        <w:trPr>
          <w:trHeight w:val="182"/>
        </w:trPr>
        <w:tc>
          <w:tcPr>
            <w:tcW w:w="800" w:type="dxa"/>
            <w:vAlign w:val="bottom"/>
          </w:tcPr>
          <w:p>
            <w:pPr>
              <w:spacing w:after="0"/>
              <w:rPr>
                <w:sz w:val="15"/>
                <w:szCs w:val="15"/>
                <w:color w:val="auto"/>
              </w:rPr>
            </w:pPr>
          </w:p>
        </w:tc>
        <w:tc>
          <w:tcPr>
            <w:tcW w:w="588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12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25.35%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18516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1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260" w:hanging="452"/>
        <w:spacing w:after="0" w:line="251"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Credit Facility related costs.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Credit Facility amendment costs, if any, are not annualized.</w:t>
      </w:r>
    </w:p>
    <w:p>
      <w:pPr>
        <w:spacing w:after="0" w:line="28" w:lineRule="exact"/>
        <w:rPr>
          <w:rFonts w:ascii="Arial" w:cs="Arial" w:eastAsia="Arial" w:hAnsi="Arial"/>
          <w:sz w:val="12"/>
          <w:szCs w:val="12"/>
          <w:color w:val="auto"/>
        </w:rPr>
      </w:pPr>
    </w:p>
    <w:p>
      <w:pPr>
        <w:ind w:left="460" w:right="380" w:hanging="452"/>
        <w:spacing w:after="0" w:line="290"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CREDIT FACILITY</w:t>
      </w:r>
    </w:p>
    <w:p>
      <w:pPr>
        <w:spacing w:after="0" w:line="100"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Funding I’s multi-currency Credit Facility with affiliates of SunTrust Bank, or the Lenders, was $350 million as of December 31, 2015,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2015 and September 30, 2015, Funding I had $96.3 million and $29.6 million of outstanding borrowings under the Credit Facility, respectively. The Credit Facility had an interest rate of 2.43% and 2.20%, excluding the undrawn commitment fees as of December 31, 2015 and September 30, 2015, respectively. The annualized weighted average cost of debt for the three months ended December 31, 2015 and 2014, inclusive of the fee on the undrawn commitment on the Credit Facility but excluding amendment costs, was 5.95% and 2.47%, respectively.</w:t>
      </w:r>
    </w:p>
    <w:p>
      <w:pPr>
        <w:spacing w:after="0" w:line="77"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2015, we were in compliance with the covenants relating to our Credit Facility.</w:t>
      </w:r>
    </w:p>
    <w:p>
      <w:pPr>
        <w:spacing w:after="0" w:line="6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26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if any, are disclosed in the Consolidated Schedules of Investments. As of December 31, 2015 and September 30, 2015, we had $6.8 million and $4.8 million, respectively, in commitments to fund investments.</w:t>
      </w:r>
    </w:p>
    <w:p>
      <w:pPr>
        <w:spacing w:after="0" w:line="77"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Between May 6, 2015, and May 18, 2015, a number of putative class action lawsuits were filed by former stockholders of MCG challenging our acquisition of MCG in the Delaware Court of Chancery. The consolidated complaint alleged that MCG’s directors violated their fiduciary duties by, among other things, not protecting against their supposed conflicts of interest and failing to take steps to maximize the consideration to be received by MCG’s former stockholders in our acquisition of MCG. The consolidated complaint also alleged that the Company and the Investment Adviser aided and abetted the MCG directors’ purported breach of fiduciary duties. We believe that the consolidated complaint is without merit. On July 30, 2015, the parties entered into a memorandum of understanding setting forth an agreement in principle to settle the class action complaint. The parties plan to file a stipulation of settlement with the court, which provides for, among other things, settlement of the class action complaint. There can be no assurance that the settlement will be finalized or that the court will approve the settlement.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60"/>
          </w:cols>
          <w:pgMar w:left="32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Floating Rate Capital Ltd. and its Subsidiaries:</w:t>
      </w:r>
    </w:p>
    <w:p>
      <w:pPr>
        <w:spacing w:after="0" w:line="84" w:lineRule="exact"/>
        <w:rPr>
          <w:sz w:val="20"/>
          <w:szCs w:val="20"/>
          <w:color w:val="auto"/>
        </w:rPr>
      </w:pPr>
    </w:p>
    <w:p>
      <w:pPr>
        <w:jc w:val="both"/>
        <w:ind w:right="360" w:firstLine="562"/>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Floating Rate Capital Ltd. and its Subsidiaries (collectively referred to as the “Company”), including the consolidated schedule of investments, as of December 31, 2015, and the consolidated statements of operations, changes in net assets and cash flows for the three months ended December 31, 2015 and 2014. These consolidated financial statements are the responsibility of the Company’s management.</w:t>
      </w:r>
    </w:p>
    <w:p>
      <w:pPr>
        <w:spacing w:after="0" w:line="6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12, 2015, we expressed an unqualified opinion on those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4,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jc w:val="both"/>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fluctuations in interest rates on our business and our portfolio companies;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the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204"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200" w:firstLine="562"/>
        <w:spacing w:after="0" w:line="290"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w:t>
      </w:r>
    </w:p>
    <w:p>
      <w:pPr>
        <w:spacing w:after="0" w:line="44"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6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senior secured debt,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We seek to create a diversified portfolio by generally targeting an investment size between $2 million and $15 million, on average, although we expect that this investment size will vary proportionately with the size of our capital base.</w:t>
      </w:r>
    </w:p>
    <w:p>
      <w:pPr>
        <w:spacing w:after="0" w:line="7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96" w:lineRule="exact"/>
        <w:rPr>
          <w:sz w:val="20"/>
          <w:szCs w:val="20"/>
          <w:color w:val="auto"/>
        </w:rPr>
      </w:pPr>
    </w:p>
    <w:p>
      <w:pPr>
        <w:ind w:right="20" w:firstLine="562"/>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44"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On August 18, 2015, we completed the acquisition of MCG pursuant to the Merger Agreement. As a result of the transactions contemplated by the Merger Agreement, MCG was merged with and into PFLT Panama, LLC with MCG as the surviving corporation, following which MCG was merged with and into PFLT Funding II, LLC with PFLT Funding II, LLC as the surviving company. In accordance with the terms of the Merger Agreement, each outstanding share of MCG common stock (including shares of restricted stock) was converted into the right to receive (i) 0.32044 shares of our common stock (with MCG stockholders receiving cash in lieu of fractional shares of our common stock), and (ii) $0.30595 per share in cash. As a result of the transactions contemplated by the Merger Agreement, we issued an aggregate of approximately 11.8 million shares of our common stock to former MCG stockholders, and our Investment Adviser made an aggregate cash payment of approximately $11.3 million to former MCG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120" w:firstLine="562"/>
        <w:spacing w:after="0" w:line="247"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senior secured debt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as interest income. We record prepayment penalties on loans and debt securities as income. Dividend income, if any, is recognized on an accrual basis on the ex-dividend date to the extent that we expect to collect such amounts.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Credit Facility. We bear all other direct or indirect costs and expenses of our operations and transactions, including:</w:t>
      </w:r>
    </w:p>
    <w:p>
      <w:pPr>
        <w:spacing w:after="0" w:line="212" w:lineRule="exact"/>
        <w:rPr>
          <w:sz w:val="20"/>
          <w:szCs w:val="20"/>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340" w:right="380" w:hanging="779"/>
        <w:spacing w:after="0" w:line="253" w:lineRule="auto"/>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and state registration fees and any stock exchange listing fees;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state and local taxes;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340" w:hanging="779"/>
        <w:spacing w:after="0"/>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ind w:left="1340" w:right="60" w:hanging="779"/>
        <w:spacing w:after="0" w:line="233" w:lineRule="auto"/>
        <w:tabs>
          <w:tab w:leader="none" w:pos="1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77"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As of December 31, 2015, our portfolio totaled $460.1 million and consisted of $403.2 million of senior secured debt, $47.1 million of second lien secured debt and $9.8 million of subordinated debt, preferred and common equity. Our debt portfolio consisted of 99% variable-rate investments (including 92% with a LIBOR or prime floor) and 1% fixed-rate investments. Overall, the portfolio had net unrealized depreciation of $6.7 million as of December 31, 2015. Our overall portfolio consisted of 83 companies with an average investment size of $5.5 million, had a weighted average yield on debt investments of 8.2%, and was invested 88% in senior secured debt, 10% in second lien secured debt and 2% in subordinated debt, preferred and common equity.</w:t>
      </w:r>
    </w:p>
    <w:p>
      <w:pPr>
        <w:spacing w:after="0" w:line="76" w:lineRule="exact"/>
        <w:rPr>
          <w:sz w:val="20"/>
          <w:szCs w:val="20"/>
          <w:color w:val="auto"/>
        </w:rPr>
      </w:pPr>
    </w:p>
    <w:p>
      <w:pPr>
        <w:ind w:right="100" w:firstLine="562"/>
        <w:spacing w:after="0" w:line="251" w:lineRule="auto"/>
        <w:rPr>
          <w:sz w:val="20"/>
          <w:szCs w:val="20"/>
          <w:color w:val="auto"/>
        </w:rPr>
      </w:pPr>
      <w:r>
        <w:rPr>
          <w:rFonts w:ascii="Arial" w:cs="Arial" w:eastAsia="Arial" w:hAnsi="Arial"/>
          <w:sz w:val="13"/>
          <w:szCs w:val="13"/>
          <w:color w:val="auto"/>
        </w:rPr>
        <w:t>As of September 30, 2015, our portfolio totaled $391.3 million and consisted of $335.0 million of senior secured debt, $47.9 million of second lien secured debt and $8.4 million of subordinated debt, preferred and common equity. Our debt portfolio consisted of 97% variable-rate investments (including 92% with a LIBOR or prime floor) and 3% fixed-rate investments. As of September 30, 2015, we had one company on non-accrual, representing 1.6% and 0.9% of our overall portfolio on a cost and fair value basis, respectively. Overall, the portfolio had net unrealized depreciation of $6.0 million as of September 30, 2015. Our overall portfolio consisted of 76 companies with an average investment size of $5.1 million, had a weighted average yield on debt investments of 7.9%, and was invested 86% in senior secured debt, 12% in second lien secured debt and 2% in subordinated debt, preferred and common equity.</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2015, we invested $99.2 million in ten new and five existing portfolio companies with a weighted average yield on debt investments of 8.4%.</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Sales and repayments of investments for the three months ended December 31, 2015 totaled $26.9 million.</w:t>
      </w:r>
    </w:p>
    <w:p>
      <w:pPr>
        <w:spacing w:after="0" w:line="84" w:lineRule="exact"/>
        <w:rPr>
          <w:sz w:val="20"/>
          <w:szCs w:val="20"/>
          <w:color w:val="auto"/>
        </w:rPr>
      </w:pPr>
    </w:p>
    <w:p>
      <w:pPr>
        <w:ind w:right="320" w:firstLine="562"/>
        <w:spacing w:after="0" w:line="253" w:lineRule="auto"/>
        <w:rPr>
          <w:sz w:val="20"/>
          <w:szCs w:val="20"/>
          <w:color w:val="auto"/>
        </w:rPr>
      </w:pPr>
      <w:r>
        <w:rPr>
          <w:rFonts w:ascii="Arial" w:cs="Arial" w:eastAsia="Arial" w:hAnsi="Arial"/>
          <w:sz w:val="14"/>
          <w:szCs w:val="14"/>
          <w:color w:val="auto"/>
        </w:rPr>
        <w:t>For the three months ended December 31, 2014, we invested $47.0 million in eight new and five existing portfolio companies with a weighted average yield on debt investments of 8.5%. Sales and repayments of investments for the three months ended December 31, 2014 totaled $44.9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ind w:left="880" w:right="100" w:hanging="319"/>
        <w:spacing w:after="0" w:line="264" w:lineRule="auto"/>
        <w:tabs>
          <w:tab w:leader="none" w:pos="8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80" w:right="60" w:hanging="782"/>
        <w:spacing w:after="0" w:line="290" w:lineRule="auto"/>
        <w:tabs>
          <w:tab w:leader="none" w:pos="15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4" w:lineRule="exact"/>
        <w:rPr>
          <w:sz w:val="20"/>
          <w:szCs w:val="20"/>
          <w:color w:val="auto"/>
        </w:rPr>
      </w:pPr>
    </w:p>
    <w:p>
      <w:pPr>
        <w:ind w:left="800"/>
        <w:spacing w:after="0"/>
        <w:tabs>
          <w:tab w:leader="none" w:pos="1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96" w:lineRule="exact"/>
        <w:rPr>
          <w:sz w:val="20"/>
          <w:szCs w:val="20"/>
          <w:color w:val="auto"/>
        </w:rPr>
      </w:pPr>
    </w:p>
    <w:p>
      <w:pPr>
        <w:jc w:val="both"/>
        <w:ind w:right="26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40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right="20" w:firstLine="562"/>
        <w:spacing w:after="0" w:line="266"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had expenses of $0.9 million and zero, respectively, relating to amendment fees on the Credit Facility during the three months ended December 31, 2015 and 2014.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are reported in our Consolidated Statements of Operations. We elected not to apply ASC 825-10 to any other financial assets or liabilities. For the three months ended December 31, 2015 and 2014, our Credit Facility had a net change in unrealized depreciation of $0.6 million and less than $0.1 million, respectively. As of December 31, 2015 and September 30, 2015, the net unrealized depreciation on our Credit Facility totaled $0.6 million and zero, respectively. We use a nationally recognized independent valuation service to measure the fair value of our Credit Facility in a manner consistent with the valuation process that the board of directors uses to value our investments.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4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net capital gain income for preceding years that was not distributed during such years and on which we paid no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60"/>
        <w:spacing w:after="0" w:line="238" w:lineRule="auto"/>
        <w:rPr>
          <w:sz w:val="20"/>
          <w:szCs w:val="20"/>
          <w:color w:val="auto"/>
        </w:rPr>
      </w:pPr>
      <w:r>
        <w:rPr>
          <w:rFonts w:ascii="Arial" w:cs="Arial" w:eastAsia="Arial" w:hAnsi="Arial"/>
          <w:sz w:val="14"/>
          <w:szCs w:val="14"/>
          <w:color w:val="auto"/>
        </w:rPr>
        <w:t>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months ended December 31,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Investment income for the three months ended December 31, 2015 was $8.8 million and was attributable to $7.3 million from senior secured debt, $1.4 million from second lien secured debt and $0.1 million from subordinated debt, respectively. Investment income for the three months ended December 31, 2014 was $7.5 million and was attributable to $5.8 million from senior secured debt and $1.7 million from second lien secured debt and subordinated debt. The increase in investment income compared with the same period in the prior year was primarily due to the growth of our portfolio at cost.</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jc w:val="both"/>
        <w:ind w:right="100" w:firstLine="562"/>
        <w:spacing w:after="0" w:line="243" w:lineRule="auto"/>
        <w:rPr>
          <w:sz w:val="20"/>
          <w:szCs w:val="20"/>
          <w:color w:val="auto"/>
        </w:rPr>
      </w:pPr>
      <w:r>
        <w:rPr>
          <w:rFonts w:ascii="Arial" w:cs="Arial" w:eastAsia="Arial" w:hAnsi="Arial"/>
          <w:sz w:val="13"/>
          <w:szCs w:val="13"/>
          <w:color w:val="auto"/>
        </w:rPr>
        <w:t>Expenses for the three months ended December 31, 2015 totaled $3.7 million. Base management fee for the same period totaled $1.1 million, incentive fee totaled zero, Credit Facility expenses totaled $1.8 million (including $0.9 million of Credit Facility amendment expenses) and general and administrative expenses totaled $0.8 million. Expenses for the three months ended December 31, 2014 totaled $2.0 million. Base management fee for the same period totaled $0.9 million, incentive fee totaled $(0.3) million (including $(0.4) million on realized gains and $(0.6) million on unrealized gains accrued but not payable), Credit Facility expenses totaled $0.9 million, general and administrative expenses totaled $0.4 million and excise taxes were $0.1 million.</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4"/>
          <w:szCs w:val="14"/>
          <w:color w:val="auto"/>
        </w:rPr>
        <w:t>The increase in expenses compared with the same period in the prior year was primarily due to Credit Facility amendment expenses and base management fee as a result from the growth of our portfolio.</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460" w:firstLine="562"/>
        <w:spacing w:after="0" w:line="238" w:lineRule="auto"/>
        <w:rPr>
          <w:sz w:val="20"/>
          <w:szCs w:val="20"/>
          <w:color w:val="auto"/>
        </w:rPr>
      </w:pPr>
      <w:r>
        <w:rPr>
          <w:rFonts w:ascii="Arial" w:cs="Arial" w:eastAsia="Arial" w:hAnsi="Arial"/>
          <w:sz w:val="14"/>
          <w:szCs w:val="14"/>
          <w:color w:val="auto"/>
        </w:rPr>
        <w:t>Net investment income totaled $5.1 million, or $0.19 per share, for the three months ended December 31, 2015, and $5.5 million, or $0.37 per share, for the three months ended December 31, 2014. The decrease in net investment income per share compared to the same period in the prior year was primarily due to the issuance of new shares in connection with our acquisition of MCG in August 2015.</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2015 totaled $26.9 million and realized losses totaled $3.2 million. Sales and repayments of investments totaled $44.9 million and realized losses totaled $0.2 million for the three months ended December 31, 2014. The increase in realized losses compared with the same period in the prior year was primarily due to the changes in market conditions of our investments and the values at which they were realized.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and Credit Facility</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For the three months ended December 31, 2015 and 2014, we reported net unrealized depreciation on investments of $0.7 million and $4.9 million, respectively. As of December 31, 2015 and September 30, 2015, our net unrealized depreciation on investments totaled $6.7 million and $6.0 million, respectively. The net change in unrealized depreciation on our investments was driven primarily by changes in the capital market conditions, financial performance of certain portfolio companies, and the reversal of unrealized depreciation (appreciation) of investments sold.</w:t>
      </w:r>
    </w:p>
    <w:p>
      <w:pPr>
        <w:spacing w:after="0" w:line="77"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For the three months ended December 31, 2015 and 2014, we reported net unrealized depreciation on our Credit Facility of $0.6 million and $0.1 million, respectively. The change compared with the same period in the prior year was primarily due to changes in the capital markets.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Net change in net assets resulting from operations totaled $1.7 million, or $0.07 per share, for the three months ended December 31, 2015. This compares to a net change in net assets resulting from operations of $0.4 million, or $0.03 per share, for the three months ended December 31, 2014. The increase in the change in net assets from operations compared to the same period in the prior year was primarily due to a net decrease in realized and unrealized losses offset by lower net investment income. We continue to find attractive investment opportunities to grow net assets from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75" w:lineRule="exact"/>
        <w:rPr>
          <w:sz w:val="20"/>
          <w:szCs w:val="20"/>
          <w:color w:val="auto"/>
        </w:rPr>
      </w:pPr>
    </w:p>
    <w:p>
      <w:pPr>
        <w:ind w:right="20" w:firstLine="562"/>
        <w:spacing w:after="0" w:line="248" w:lineRule="auto"/>
        <w:rPr>
          <w:sz w:val="20"/>
          <w:szCs w:val="20"/>
          <w:color w:val="auto"/>
        </w:rPr>
      </w:pPr>
      <w:r>
        <w:rPr>
          <w:rFonts w:ascii="Arial" w:cs="Arial" w:eastAsia="Arial" w:hAnsi="Arial"/>
          <w:sz w:val="13"/>
          <w:szCs w:val="13"/>
          <w:color w:val="auto"/>
        </w:rPr>
        <w:t>Funding I’s multi-currency Credit Facility with the Lenders was $350 million as of December 31, 2015, subject to satisfaction of certain conditions and the regulatory restrictions that the 1940 Act imposes on us as a BDC, has an interest rate spread above LIBOR of 200 basis points, a maturity date of August 2020 and a revolving period that ends in August 2018. As of December 31, 2015 and September 30, 2015, Funding I had $95.7 million and $29.6 million of outstanding borrowings under the Credit Facility, respectively. The Credit Facility had an interest rate of 2.43% and 2.20%, respectively, excluding undrawn commitment fees as of December 31, 2015 and September 30, 2015. The annualized weighted average cost of debt for the three months ended December 31, 2015 and 2014, inclusive of the fee on the undrawn commitment on the Credit Facility but excluding amendment costs, was 5.95% and 2.47%, respectively. As of December 31, 2015 and September 30, 2015, we had $253.7 million and $260.4 million of unused borrowing capacity under our Credit Facility, respectively, subject to the regulatory restrictions.</w:t>
      </w:r>
    </w:p>
    <w:p>
      <w:pPr>
        <w:spacing w:after="0" w:line="72"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August 2020.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December 31, 2015, we were in compliance with the covenants relating to our Credit Facility.</w:t>
      </w:r>
    </w:p>
    <w:p>
      <w:pPr>
        <w:spacing w:after="0" w:line="76"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75"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76" w:lineRule="exact"/>
        <w:rPr>
          <w:sz w:val="20"/>
          <w:szCs w:val="20"/>
          <w:color w:val="auto"/>
        </w:rPr>
      </w:pPr>
    </w:p>
    <w:p>
      <w:pPr>
        <w:ind w:right="60" w:firstLine="562"/>
        <w:spacing w:after="0" w:line="264" w:lineRule="auto"/>
        <w:rPr>
          <w:sz w:val="20"/>
          <w:szCs w:val="20"/>
          <w:color w:val="auto"/>
        </w:rPr>
      </w:pPr>
      <w:r>
        <w:rPr>
          <w:rFonts w:ascii="Arial" w:cs="Arial" w:eastAsia="Arial" w:hAnsi="Arial"/>
          <w:sz w:val="13"/>
          <w:szCs w:val="13"/>
          <w:color w:val="auto"/>
        </w:rPr>
        <w:t>We may raise equity or debt capital through both registered offerings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60"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On December 31, 2015 and September 30, 2015, we had cash equivalents of $14.0 million and $21.4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Our operating activities used cash of $66.5 million for the three months ended December 31, 2015, and our financing activities provided cash of $59.1 million for the same period. Our operating activities used cash primarily for our investment activities and our financing activities provided cash primarily from net borrowings under the Credit Facility.</w:t>
      </w:r>
    </w:p>
    <w:p>
      <w:pPr>
        <w:spacing w:after="0" w:line="66"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operating activities provided cash of $12.2 million for the three months ended December 31, 2014, and our financing activities used cash of $14.9 million for the same period. Our operating activities provided cash primarily from sales and repayments on our investments and our financing activities used cash primarily from net repayments under the Credit Facility.</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 summary of our significant contractual payment obligations at cost as of December 31, 2015, including borrowings under our Credit Facility and other contractual obligations, is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89"/>
              <w:spacing w:after="0"/>
              <w:rPr>
                <w:sz w:val="20"/>
                <w:szCs w:val="20"/>
                <w:color w:val="auto"/>
              </w:rPr>
            </w:pPr>
            <w:r>
              <w:rPr>
                <w:rFonts w:ascii="Arial" w:cs="Arial" w:eastAsia="Arial" w:hAnsi="Arial"/>
                <w:sz w:val="14"/>
                <w:szCs w:val="14"/>
                <w:b w:val="1"/>
                <w:bCs w:val="1"/>
                <w:color w:val="auto"/>
                <w:w w:val="95"/>
              </w:rPr>
              <w:t>Payments due by period (millions)</w:t>
            </w:r>
          </w:p>
        </w:tc>
        <w:tc>
          <w:tcPr>
            <w:tcW w:w="8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Less than 1 year</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1-3 years</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3-5 years</w:t>
            </w:r>
          </w:p>
        </w:tc>
        <w:tc>
          <w:tcPr>
            <w:tcW w:w="3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35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96.3</w:t>
            </w:r>
          </w:p>
        </w:tc>
        <w:tc>
          <w:tcPr>
            <w:tcW w:w="6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96.3</w:t>
            </w:r>
          </w:p>
        </w:tc>
        <w:tc>
          <w:tcPr>
            <w:tcW w:w="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54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(1)</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w:t>
            </w: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0.3</w:t>
            </w:r>
          </w:p>
        </w:tc>
      </w:tr>
      <w:tr>
        <w:trPr>
          <w:trHeight w:val="27"/>
        </w:trPr>
        <w:tc>
          <w:tcPr>
            <w:tcW w:w="3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103.1</w:t>
            </w: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w:t>
            </w:r>
          </w:p>
        </w:tc>
        <w:tc>
          <w:tcPr>
            <w:tcW w:w="48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101.6</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w:t>
            </w: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4"/>
          <w:szCs w:val="14"/>
          <w:color w:val="auto"/>
        </w:rPr>
        <w:t>Unfunded investments are disclosed in the Consolidated Schedule of Investments.</w:t>
      </w:r>
    </w:p>
    <w:p>
      <w:pPr>
        <w:spacing w:after="0" w:line="96" w:lineRule="exact"/>
        <w:rPr>
          <w:sz w:val="20"/>
          <w:szCs w:val="20"/>
          <w:color w:val="auto"/>
        </w:rPr>
      </w:pPr>
    </w:p>
    <w:p>
      <w:pPr>
        <w:jc w:val="both"/>
        <w:ind w:right="340" w:firstLine="562"/>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2016,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77"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Under our Administration Agreement, which was reapproved by our board of directors, including a majority of our directors who are not interested persons of us, in February 2016,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200" w:firstLine="562"/>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160"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our capital gain net income (i.e., the excess, if any, of capital gains over capital losses) for the one-year period ending on October 31 of the calendar year plus (3) the sum of any net ordinary income plus capital gain net income for preceding years that were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7" w:lineRule="exact"/>
        <w:rPr>
          <w:sz w:val="20"/>
          <w:szCs w:val="20"/>
          <w:color w:val="auto"/>
        </w:rPr>
      </w:pPr>
    </w:p>
    <w:p>
      <w:pPr>
        <w:ind w:right="340" w:firstLine="562"/>
        <w:spacing w:after="0" w:line="255" w:lineRule="auto"/>
        <w:rPr>
          <w:sz w:val="20"/>
          <w:szCs w:val="20"/>
          <w:color w:val="auto"/>
        </w:rPr>
      </w:pPr>
      <w:r>
        <w:rPr>
          <w:rFonts w:ascii="Arial" w:cs="Arial" w:eastAsia="Arial" w:hAnsi="Arial"/>
          <w:sz w:val="13"/>
          <w:szCs w:val="13"/>
          <w:color w:val="auto"/>
        </w:rPr>
        <w:t>During the three months ended December 31, 2015 and 2014, we declared distributions of $0.285 and $0.270 per share, respectively, for total distributions of $7.6 million and $4.0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7"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2015, our debt portfolio consisted of 99% variable-rate investments (including 92% with a LIBOR or prime floor) and 1%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ind w:left="700"/>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rPr>
              <w:t>861</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0.03</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568"/>
              <w:spacing w:after="0" w:line="149" w:lineRule="exact"/>
              <w:rPr>
                <w:sz w:val="20"/>
                <w:szCs w:val="20"/>
                <w:color w:val="auto"/>
              </w:rPr>
            </w:pPr>
            <w:r>
              <w:rPr>
                <w:rFonts w:ascii="Arial" w:cs="Arial" w:eastAsia="Arial" w:hAnsi="Arial"/>
                <w:sz w:val="14"/>
                <w:szCs w:val="14"/>
                <w:color w:val="auto"/>
              </w:rPr>
              <w:t>4,510</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0.17</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ind w:left="1400"/>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8,159</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0.31</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ind w:left="140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11,808</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0.44</w:t>
            </w:r>
          </w:p>
        </w:tc>
        <w:tc>
          <w:tcPr>
            <w:tcW w:w="100" w:type="dxa"/>
            <w:vAlign w:val="bottom"/>
          </w:tcPr>
          <w:p>
            <w:pPr>
              <w:spacing w:after="0"/>
              <w:rPr>
                <w:sz w:val="15"/>
                <w:szCs w:val="15"/>
                <w:color w:val="auto"/>
              </w:rPr>
            </w:pPr>
          </w:p>
        </w:tc>
      </w:tr>
    </w:tbl>
    <w:p>
      <w:pPr>
        <w:spacing w:after="0" w:line="5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or foreign currency hedging activities.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2015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120" w:firstLine="562"/>
        <w:spacing w:after="0" w:line="238"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w:t>
      </w:r>
    </w:p>
    <w:p>
      <w:pPr>
        <w:spacing w:after="0" w:line="75"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 discussion of certain litigation in connection with our acquisition of MCG is incorporated by reference to Part I “Item 3. Legal Proceedings” in our Annual Report on Form 10-K for the fiscal year ended September 30, 2015. While the outcome of these legal proceedings cannot be predicted with certainty, we do not expect that these proceedings will have a material effect upon our financial condition or results of operations.</w:t>
      </w:r>
    </w:p>
    <w:p>
      <w:pPr>
        <w:spacing w:after="0" w:line="84"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00"/>
          </w:cols>
          <w:pgMar w:left="32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680" w:right="120" w:hanging="602"/>
        <w:spacing w:after="0" w:line="253" w:lineRule="auto"/>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Articles of Amendment and Restatement of the Registrant (Incorporated by reference to the Registrant’s Pre-Effective Amendment No. 3 to the Registration Statement on Form N-2 (File No. 333-170243), filed on March 29, 2011).</w:t>
      </w:r>
    </w:p>
    <w:p>
      <w:pPr>
        <w:spacing w:after="0" w:line="133"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814-00891),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680" w:right="2000" w:hanging="602"/>
        <w:spacing w:after="0" w:line="253" w:lineRule="auto"/>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Form of Share Certificate (Incorporated by reference to the Registrant’s Pre-Effective Amendment No. 5 to the Registration Statement on Form N-2 (File No. 333-170243), filed on April 5, 2011).</w:t>
      </w:r>
    </w:p>
    <w:p>
      <w:pPr>
        <w:spacing w:after="0" w:line="14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2"/>
          <w:szCs w:val="12"/>
          <w:color w:val="auto"/>
        </w:rPr>
        <w:t>Second Amended and Restated Investment Advisory Management Agreement, dated as of February 2, 2016, between the Registrant and PennantPark Investment Advisers, LLC.</w:t>
      </w:r>
    </w:p>
    <w:p>
      <w:pPr>
        <w:spacing w:after="0" w:line="163"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298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233680</wp:posOffset>
            </wp:positionV>
            <wp:extent cx="6851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16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600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0020" cy="8255"/>
                    </a:xfrm>
                    <a:prstGeom prst="rect">
                      <a:avLst/>
                    </a:prstGeom>
                    <a:noFill/>
                  </pic:spPr>
                </pic:pic>
              </a:graphicData>
            </a:graphic>
          </wp:anchor>
        </w:drawing>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18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1220"/>
          </w:cols>
          <w:pgMar w:left="320" w:top="459"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4, 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w:t>
      </w:r>
    </w:p>
    <w:p>
      <w:pPr>
        <w:spacing w:after="0" w:line="215"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-506730</wp:posOffset>
            </wp:positionH>
            <wp:positionV relativeFrom="paragraph">
              <wp:posOffset>3810</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3">
            <w:col w:w="4920" w:space="720"/>
            <w:col w:w="400" w:space="720"/>
            <w:col w:w="4460"/>
          </w:cols>
          <w:pgMar w:left="320" w:top="459" w:right="359" w:bottom="1440" w:gutter="0" w:footer="0" w:header="0"/>
          <w:type w:val="continuous"/>
        </w:sectPr>
      </w:pPr>
    </w:p>
    <w:p>
      <w:pPr>
        <w:jc w:val="center"/>
        <w:ind w:left="5940"/>
        <w:spacing w:after="0"/>
        <w:rPr>
          <w:sz w:val="20"/>
          <w:szCs w:val="20"/>
          <w:color w:val="auto"/>
        </w:rPr>
      </w:pPr>
      <w:r>
        <w:rPr>
          <w:rFonts w:ascii="Arial" w:cs="Arial" w:eastAsia="Arial" w:hAnsi="Arial"/>
          <w:sz w:val="14"/>
          <w:szCs w:val="14"/>
          <w:b w:val="1"/>
          <w:bCs w:val="1"/>
          <w:color w:val="auto"/>
        </w:rPr>
        <w:t>Arthur H. Penn</w:t>
      </w:r>
    </w:p>
    <w:p>
      <w:pPr>
        <w:jc w:val="center"/>
        <w:ind w:left="5940"/>
        <w:spacing w:after="0"/>
        <w:rPr>
          <w:sz w:val="20"/>
          <w:szCs w:val="20"/>
          <w:color w:val="auto"/>
        </w:rPr>
      </w:pPr>
      <w:r>
        <w:rPr>
          <w:rFonts w:ascii="Arial" w:cs="Arial" w:eastAsia="Arial" w:hAnsi="Arial"/>
          <w:sz w:val="13"/>
          <w:szCs w:val="13"/>
          <w:b w:val="1"/>
          <w:bCs w:val="1"/>
          <w:color w:val="auto"/>
        </w:rPr>
        <w:t>Chief Executive Officer and Chairman of the Board of Directors (Principal Executive</w:t>
      </w:r>
    </w:p>
    <w:p>
      <w:pPr>
        <w:jc w:val="center"/>
        <w:ind w:left="5940"/>
        <w:spacing w:after="0"/>
        <w:rPr>
          <w:sz w:val="20"/>
          <w:szCs w:val="20"/>
          <w:color w:val="auto"/>
        </w:rPr>
      </w:pPr>
      <w:r>
        <w:rPr>
          <w:rFonts w:ascii="Arial" w:cs="Arial" w:eastAsia="Arial" w:hAnsi="Arial"/>
          <w:sz w:val="14"/>
          <w:szCs w:val="14"/>
          <w:b w:val="1"/>
          <w:bCs w:val="1"/>
          <w:color w:val="auto"/>
        </w:rPr>
        <w:t>Officer)</w:t>
      </w:r>
    </w:p>
    <w:p>
      <w:pPr>
        <w:spacing w:after="0" w:line="192" w:lineRule="exact"/>
        <w:rPr>
          <w:sz w:val="20"/>
          <w:szCs w:val="20"/>
          <w:color w:val="auto"/>
        </w:rPr>
      </w:pPr>
    </w:p>
    <w:p>
      <w:pPr>
        <w:spacing w:after="0"/>
        <w:tabs>
          <w:tab w:leader="none" w:pos="5620" w:val="left"/>
          <w:tab w:leader="none" w:pos="8060" w:val="left"/>
        </w:tabs>
        <w:rPr>
          <w:sz w:val="20"/>
          <w:szCs w:val="20"/>
          <w:color w:val="auto"/>
        </w:rPr>
      </w:pPr>
      <w:r>
        <w:rPr>
          <w:rFonts w:ascii="Arial" w:cs="Arial" w:eastAsia="Arial" w:hAnsi="Arial"/>
          <w:sz w:val="14"/>
          <w:szCs w:val="14"/>
          <w:color w:val="auto"/>
        </w:rPr>
        <w:t>Date: February 4, 2016</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3810</wp:posOffset>
            </wp:positionV>
            <wp:extent cx="33515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jc w:val="center"/>
        <w:ind w:left="5940"/>
        <w:spacing w:after="0"/>
        <w:rPr>
          <w:sz w:val="20"/>
          <w:szCs w:val="20"/>
          <w:color w:val="auto"/>
        </w:rPr>
      </w:pPr>
      <w:r>
        <w:rPr>
          <w:rFonts w:ascii="Arial" w:cs="Arial" w:eastAsia="Arial" w:hAnsi="Arial"/>
          <w:sz w:val="14"/>
          <w:szCs w:val="14"/>
          <w:b w:val="1"/>
          <w:bCs w:val="1"/>
          <w:color w:val="auto"/>
        </w:rPr>
        <w:t>Aviv Efrat</w:t>
      </w:r>
    </w:p>
    <w:p>
      <w:pPr>
        <w:jc w:val="center"/>
        <w:ind w:left="5940"/>
        <w:spacing w:after="0" w:line="221" w:lineRule="auto"/>
        <w:rPr>
          <w:sz w:val="20"/>
          <w:szCs w:val="20"/>
          <w:color w:val="auto"/>
        </w:rPr>
      </w:pPr>
      <w:r>
        <w:rPr>
          <w:rFonts w:ascii="Arial" w:cs="Arial" w:eastAsia="Arial" w:hAnsi="Arial"/>
          <w:sz w:val="14"/>
          <w:szCs w:val="14"/>
          <w:b w:val="1"/>
          <w:bCs w:val="1"/>
          <w:color w:val="auto"/>
        </w:rPr>
        <w:t>Chief Financial Officer and Treasurer</w:t>
      </w:r>
    </w:p>
    <w:p>
      <w:pPr>
        <w:jc w:val="center"/>
        <w:ind w:left="59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20"/>
          </w:cols>
          <w:pgMar w:left="320" w:top="459" w:right="359" w:bottom="1440" w:gutter="0" w:footer="0" w:header="0"/>
          <w:type w:val="continuous"/>
        </w:sectPr>
      </w:pPr>
    </w:p>
    <w:bookmarkStart w:id="35" w:name="page36"/>
    <w:bookmarkEnd w:id="35"/>
    <w:p>
      <w:pPr>
        <w:jc w:val="right"/>
        <w:spacing w:after="0"/>
        <w:rPr>
          <w:sz w:val="20"/>
          <w:szCs w:val="20"/>
          <w:color w:val="auto"/>
        </w:rPr>
      </w:pPr>
      <w:r>
        <w:rPr>
          <w:rFonts w:ascii="Arial" w:cs="Arial" w:eastAsia="Arial" w:hAnsi="Arial"/>
          <w:sz w:val="14"/>
          <w:szCs w:val="14"/>
          <w:b w:val="1"/>
          <w:bCs w:val="1"/>
          <w:color w:val="auto"/>
        </w:rPr>
        <w:t>Exhibit 10.1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SECOND AMENDED AND RESTATED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INVESTMENT ADVISORY MANAGEMENT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BETWEEN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FLOATING RATE CAPITAL LTD.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INVESTMENT ADVISERS, LLC</w:t>
      </w:r>
    </w:p>
    <w:p>
      <w:pPr>
        <w:spacing w:after="0" w:line="167"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auto"/>
        </w:rPr>
        <w:t>SECOND AMENDED AND RESTATED AGREEMENT (this “Agreement”) made this 2nd day of February 2016, by and between PENNANTPARK FLOATING RATE CAPITAL LTD., a Maryland corporation (the “Corporation”), and PENNANTPARK INVESTMENT ADVISERS, LLC, a Delaware limited liability company (the “Adviser”).</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WHEREAS, the Corporation operates as a closed-end management investment company;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WHEREAS, the Corporation has filed an election to be treated as a business development company under the Investment Company Act of 1940, as amended (the “1940 Act”);</w:t>
      </w:r>
    </w:p>
    <w:p>
      <w:pPr>
        <w:spacing w:after="0" w:line="163" w:lineRule="exact"/>
        <w:rPr>
          <w:sz w:val="20"/>
          <w:szCs w:val="20"/>
          <w:color w:val="auto"/>
        </w:rPr>
      </w:pPr>
    </w:p>
    <w:p>
      <w:pPr>
        <w:ind w:right="360"/>
        <w:spacing w:after="0" w:line="253" w:lineRule="auto"/>
        <w:rPr>
          <w:sz w:val="20"/>
          <w:szCs w:val="20"/>
          <w:color w:val="auto"/>
        </w:rPr>
      </w:pPr>
      <w:r>
        <w:rPr>
          <w:rFonts w:ascii="Arial" w:cs="Arial" w:eastAsia="Arial" w:hAnsi="Arial"/>
          <w:sz w:val="14"/>
          <w:szCs w:val="14"/>
          <w:color w:val="auto"/>
        </w:rPr>
        <w:t>WHEREAS, the Corporation and the Adviser are parties to that certain investment advisory management agreement dated April 7, 2011, as amended and restated on August 7, 2012, by and between the Corporation and the Adviser (the “Prior Agreement”);</w:t>
      </w:r>
    </w:p>
    <w:p>
      <w:pPr>
        <w:spacing w:after="0" w:line="147" w:lineRule="exact"/>
        <w:rPr>
          <w:sz w:val="20"/>
          <w:szCs w:val="20"/>
          <w:color w:val="auto"/>
        </w:rPr>
      </w:pPr>
    </w:p>
    <w:p>
      <w:pPr>
        <w:ind w:right="380"/>
        <w:spacing w:after="0" w:line="253" w:lineRule="auto"/>
        <w:rPr>
          <w:sz w:val="20"/>
          <w:szCs w:val="20"/>
          <w:color w:val="auto"/>
        </w:rPr>
      </w:pPr>
      <w:r>
        <w:rPr>
          <w:rFonts w:ascii="Arial" w:cs="Arial" w:eastAsia="Arial" w:hAnsi="Arial"/>
          <w:sz w:val="14"/>
          <w:szCs w:val="14"/>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33" w:lineRule="exact"/>
        <w:rPr>
          <w:sz w:val="20"/>
          <w:szCs w:val="20"/>
          <w:color w:val="auto"/>
        </w:rPr>
      </w:pPr>
    </w:p>
    <w:p>
      <w:pPr>
        <w:ind w:right="640"/>
        <w:spacing w:after="0" w:line="253" w:lineRule="auto"/>
        <w:rPr>
          <w:sz w:val="20"/>
          <w:szCs w:val="20"/>
          <w:color w:val="auto"/>
        </w:rPr>
      </w:pPr>
      <w:r>
        <w:rPr>
          <w:rFonts w:ascii="Arial" w:cs="Arial" w:eastAsia="Arial" w:hAnsi="Arial"/>
          <w:sz w:val="14"/>
          <w:szCs w:val="14"/>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NOW, THEREFORE, in consideration of the premises and for other good and valuable consideration, the parties hereby agree as follows:</w:t>
      </w:r>
    </w:p>
    <w:p>
      <w:pPr>
        <w:spacing w:after="0" w:line="17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4"/>
          <w:szCs w:val="14"/>
          <w:color w:val="auto"/>
        </w:rPr>
      </w:pPr>
      <w:r>
        <w:rPr>
          <w:rFonts w:ascii="Arial" w:cs="Arial" w:eastAsia="Arial" w:hAnsi="Arial"/>
          <w:sz w:val="14"/>
          <w:szCs w:val="14"/>
          <w:u w:val="single" w:color="auto"/>
          <w:color w:val="auto"/>
        </w:rPr>
        <w:t>Duties of the Adviser</w:t>
      </w:r>
      <w:r>
        <w:rPr>
          <w:rFonts w:ascii="Arial" w:cs="Arial" w:eastAsia="Arial" w:hAnsi="Arial"/>
          <w:sz w:val="14"/>
          <w:szCs w:val="14"/>
          <w:color w:val="auto"/>
        </w:rPr>
        <w:t>.</w:t>
      </w:r>
    </w:p>
    <w:p>
      <w:pPr>
        <w:spacing w:after="0" w:line="163" w:lineRule="exact"/>
        <w:rPr>
          <w:sz w:val="20"/>
          <w:szCs w:val="20"/>
          <w:color w:val="auto"/>
        </w:rPr>
      </w:pPr>
    </w:p>
    <w:p>
      <w:pPr>
        <w:ind w:firstLine="8"/>
        <w:spacing w:after="0" w:line="225" w:lineRule="auto"/>
        <w:tabs>
          <w:tab w:leader="none" w:pos="196"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Corporation’s registration statement, as the same may be amended from time to time, (ii) in accordance with the 1940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 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1940 Act.</w:t>
      </w:r>
    </w:p>
    <w:p>
      <w:pPr>
        <w:sectPr>
          <w:pgSz w:w="11900" w:h="16838" w:orient="portrait"/>
          <w:cols w:equalWidth="0" w:num="1">
            <w:col w:w="11240"/>
          </w:cols>
          <w:pgMar w:left="320" w:top="118" w:right="339" w:bottom="1440" w:gutter="0" w:footer="0" w:header="0"/>
        </w:sectPr>
      </w:pPr>
    </w:p>
    <w:bookmarkStart w:id="36" w:name="page37"/>
    <w:bookmarkEnd w:id="36"/>
    <w:p>
      <w:pPr>
        <w:ind w:left="212" w:hanging="212"/>
        <w:spacing w:after="0"/>
        <w:tabs>
          <w:tab w:leader="none" w:pos="212" w:val="left"/>
        </w:tabs>
        <w:numPr>
          <w:ilvl w:val="0"/>
          <w:numId w:val="17"/>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Adviser hereby accepts such employment and agrees during the term hereof to render the services described herein for the compensation provided herein.</w:t>
      </w:r>
    </w:p>
    <w:p>
      <w:pPr>
        <w:spacing w:after="0" w:line="163" w:lineRule="exact"/>
        <w:rPr>
          <w:rFonts w:ascii="Arial" w:cs="Arial" w:eastAsia="Arial" w:hAnsi="Arial"/>
          <w:sz w:val="14"/>
          <w:szCs w:val="14"/>
          <w:color w:val="auto"/>
        </w:rPr>
      </w:pPr>
    </w:p>
    <w:p>
      <w:pPr>
        <w:ind w:left="-8" w:firstLine="8"/>
        <w:spacing w:after="0" w:line="229" w:lineRule="auto"/>
        <w:tabs>
          <w:tab w:leader="none" w:pos="188" w:val="left"/>
        </w:tabs>
        <w:numPr>
          <w:ilvl w:val="0"/>
          <w:numId w:val="17"/>
        </w:numPr>
        <w:rPr>
          <w:rFonts w:ascii="Arial" w:cs="Arial" w:eastAsia="Arial" w:hAnsi="Arial"/>
          <w:sz w:val="14"/>
          <w:szCs w:val="14"/>
          <w:color w:val="auto"/>
        </w:rPr>
      </w:pPr>
      <w:r>
        <w:rPr>
          <w:rFonts w:ascii="Arial" w:cs="Arial" w:eastAsia="Arial" w:hAnsi="Arial"/>
          <w:sz w:val="14"/>
          <w:szCs w:val="14"/>
          <w:color w:val="auto"/>
        </w:rPr>
        <w:t>Subject to the requirements of the 1940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1940 Act and other applicable federal and state law.</w:t>
      </w:r>
    </w:p>
    <w:p>
      <w:pPr>
        <w:spacing w:after="0" w:line="158" w:lineRule="exact"/>
        <w:rPr>
          <w:rFonts w:ascii="Arial" w:cs="Arial" w:eastAsia="Arial" w:hAnsi="Arial"/>
          <w:sz w:val="14"/>
          <w:szCs w:val="14"/>
          <w:color w:val="auto"/>
        </w:rPr>
      </w:pPr>
    </w:p>
    <w:p>
      <w:pPr>
        <w:ind w:left="-8" w:right="360" w:firstLine="8"/>
        <w:spacing w:after="0" w:line="253" w:lineRule="auto"/>
        <w:tabs>
          <w:tab w:leader="none" w:pos="19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33" w:lineRule="exact"/>
        <w:rPr>
          <w:rFonts w:ascii="Arial" w:cs="Arial" w:eastAsia="Arial" w:hAnsi="Arial"/>
          <w:sz w:val="14"/>
          <w:szCs w:val="14"/>
          <w:color w:val="auto"/>
        </w:rPr>
      </w:pPr>
    </w:p>
    <w:p>
      <w:pPr>
        <w:ind w:left="-8" w:right="20" w:firstLine="8"/>
        <w:spacing w:after="0" w:line="255" w:lineRule="auto"/>
        <w:tabs>
          <w:tab w:leader="none" w:pos="188"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Adviser shall keep and preserve, in the manner and for the period that would be applicable to investment companies registered under the 1940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34" w:lineRule="exact"/>
        <w:rPr>
          <w:sz w:val="20"/>
          <w:szCs w:val="20"/>
          <w:color w:val="auto"/>
        </w:rPr>
      </w:pPr>
    </w:p>
    <w:p>
      <w:pPr>
        <w:ind w:left="-8" w:firstLine="8"/>
        <w:spacing w:after="0" w:line="241" w:lineRule="auto"/>
        <w:tabs>
          <w:tab w:leader="none" w:pos="136" w:val="left"/>
        </w:tabs>
        <w:numPr>
          <w:ilvl w:val="0"/>
          <w:numId w:val="18"/>
        </w:numPr>
        <w:rPr>
          <w:rFonts w:ascii="Arial" w:cs="Arial" w:eastAsia="Arial" w:hAnsi="Arial"/>
          <w:sz w:val="13"/>
          <w:szCs w:val="13"/>
          <w:color w:val="auto"/>
        </w:rPr>
      </w:pPr>
      <w:r>
        <w:rPr>
          <w:rFonts w:ascii="Arial" w:cs="Arial" w:eastAsia="Arial" w:hAnsi="Arial"/>
          <w:sz w:val="13"/>
          <w:szCs w:val="13"/>
          <w:u w:val="single" w:color="auto"/>
          <w:color w:val="auto"/>
        </w:rPr>
        <w:t>Corporation’s Responsibilities and Expenses Payable by the Corporation</w:t>
      </w:r>
      <w:r>
        <w:rPr>
          <w:rFonts w:ascii="Arial" w:cs="Arial" w:eastAsia="Arial" w:hAnsi="Arial"/>
          <w:sz w:val="13"/>
          <w:szCs w:val="13"/>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(the “Administration Agreement”) between the Corporation and PennantPark Investment Administration,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 Administrator’s overhead in performing its obligations under the Administration Agreement, including rent and the allocable portion of the cost of the Corporation’s chief compliance officer and chief financial officer and their respective staffs.</w:t>
      </w:r>
    </w:p>
    <w:p>
      <w:pPr>
        <w:sectPr>
          <w:pgSz w:w="11900" w:h="16838" w:orient="portrait"/>
          <w:cols w:equalWidth="0" w:num="1">
            <w:col w:w="11232"/>
          </w:cols>
          <w:pgMar w:left="328" w:top="269" w:right="339" w:bottom="1440" w:gutter="0" w:footer="0" w:header="0"/>
        </w:sectPr>
      </w:pPr>
    </w:p>
    <w:bookmarkStart w:id="37" w:name="page38"/>
    <w:bookmarkEnd w:id="37"/>
    <w:p>
      <w:pPr>
        <w:ind w:left="-8" w:right="60" w:firstLine="8"/>
        <w:spacing w:after="0" w:line="233" w:lineRule="auto"/>
        <w:tabs>
          <w:tab w:leader="none" w:pos="136" w:val="left"/>
        </w:tabs>
        <w:numPr>
          <w:ilvl w:val="0"/>
          <w:numId w:val="19"/>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of the Adviser</w:t>
      </w:r>
      <w:r>
        <w:rPr>
          <w:rFonts w:ascii="Arial" w:cs="Arial" w:eastAsia="Arial" w:hAnsi="Arial"/>
          <w:sz w:val="14"/>
          <w:szCs w:val="14"/>
          <w:color w:val="auto"/>
        </w:rPr>
        <w:t>.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44" w:lineRule="exact"/>
        <w:rPr>
          <w:sz w:val="20"/>
          <w:szCs w:val="20"/>
          <w:color w:val="auto"/>
        </w:rPr>
      </w:pPr>
    </w:p>
    <w:p>
      <w:pPr>
        <w:ind w:left="-8" w:firstLine="8"/>
        <w:spacing w:after="0" w:line="229" w:lineRule="auto"/>
        <w:tabs>
          <w:tab w:leader="none" w:pos="188"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Base Management Fee shall be calculated at an annual rate of 1.00%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For services rendered under this Agreement, the Base Management Fee will be payable quarterly in arrears. The Base Management Fee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58" w:lineRule="exact"/>
        <w:rPr>
          <w:rFonts w:ascii="Arial" w:cs="Arial" w:eastAsia="Arial" w:hAnsi="Arial"/>
          <w:sz w:val="14"/>
          <w:szCs w:val="14"/>
          <w:color w:val="auto"/>
        </w:rPr>
      </w:pPr>
    </w:p>
    <w:p>
      <w:pPr>
        <w:ind w:left="192" w:hanging="192"/>
        <w:spacing w:after="0"/>
        <w:tabs>
          <w:tab w:leader="none" w:pos="192"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Incentive Fee shall consist of two parts, as follows:</w:t>
      </w:r>
    </w:p>
    <w:p>
      <w:pPr>
        <w:spacing w:after="0" w:line="109" w:lineRule="exact"/>
        <w:rPr>
          <w:rFonts w:ascii="Arial" w:cs="Arial" w:eastAsia="Arial" w:hAnsi="Arial"/>
          <w:sz w:val="14"/>
          <w:szCs w:val="14"/>
          <w:color w:val="auto"/>
        </w:rPr>
      </w:pPr>
    </w:p>
    <w:p>
      <w:pPr>
        <w:ind w:left="772" w:right="40" w:hanging="448"/>
        <w:spacing w:after="0" w:line="260" w:lineRule="auto"/>
        <w:tabs>
          <w:tab w:leader="none" w:pos="772" w:val="left"/>
        </w:tabs>
        <w:numPr>
          <w:ilvl w:val="1"/>
          <w:numId w:val="20"/>
        </w:numPr>
        <w:rPr>
          <w:rFonts w:ascii="Arial" w:cs="Arial" w:eastAsia="Arial" w:hAnsi="Arial"/>
          <w:sz w:val="12"/>
          <w:szCs w:val="12"/>
          <w:color w:val="auto"/>
        </w:rPr>
      </w:pPr>
      <w:r>
        <w:rPr>
          <w:rFonts w:ascii="Arial" w:cs="Arial" w:eastAsia="Arial" w:hAnsi="Arial"/>
          <w:sz w:val="12"/>
          <w:szCs w:val="12"/>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prepayment penalties, diligence and consulting fees or other fees that the Corporation receives from portfolio companies, accrued during the calendar quarter, minus the Corporation’s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w:t>
      </w:r>
    </w:p>
    <w:p>
      <w:pPr>
        <w:spacing w:after="0" w:line="3" w:lineRule="exact"/>
        <w:rPr>
          <w:rFonts w:ascii="Arial" w:cs="Arial" w:eastAsia="Arial" w:hAnsi="Arial"/>
          <w:sz w:val="12"/>
          <w:szCs w:val="12"/>
          <w:color w:val="auto"/>
        </w:rPr>
      </w:pPr>
    </w:p>
    <w:p>
      <w:pPr>
        <w:ind w:left="772"/>
        <w:spacing w:after="0" w:line="224" w:lineRule="auto"/>
        <w:rPr>
          <w:rFonts w:ascii="Arial" w:cs="Arial" w:eastAsia="Arial" w:hAnsi="Arial"/>
          <w:sz w:val="12"/>
          <w:szCs w:val="12"/>
          <w:color w:val="auto"/>
        </w:rPr>
      </w:pPr>
      <w:r>
        <w:rPr>
          <w:rFonts w:ascii="Arial" w:cs="Arial" w:eastAsia="Arial" w:hAnsi="Arial"/>
          <w:sz w:val="14"/>
          <w:szCs w:val="14"/>
          <w:color w:val="auto"/>
        </w:rPr>
        <w:t>1.75% per quarter (7.00% annualized). The Corporation’s net investment income used to calculate this part of the Incentive Fee is also included in the amount of its gross assets used to calculate the 1.00% Base Management Fee.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 (2) 50% of the Corporation’s pre-Incentive Fee net investment income with respect to that portion of such pre-Incentive Fee net investment income, if any, that exceeds the hurdle rate but is less than 2.9167% in any calendar quarter (11.67% annualized) (this portion of the pre-Incentive Fee net investment income (which exceeds the hurdle but is less than 2.9167%) is referred to herein as the “catch-up,” which is meant to provide the Adviser with 20% of the Corporation’s pre-Incentive Fee net investment income, as if a hurdle did not apply, if this net investment income exceeds 2.9167% in any calendar quarter); and (3) 20% of the amount of the Corporation’s pre-Incentive Fee net investment income, if any, that exceeds 2.9167% in any calendar quarter. These calculations will be appropriately pro-rated for any period of less than three months and adjusted for any share issuances or repurchases during the relevant quarter.</w:t>
      </w:r>
    </w:p>
    <w:p>
      <w:pPr>
        <w:spacing w:after="0" w:line="93" w:lineRule="exact"/>
        <w:rPr>
          <w:rFonts w:ascii="Arial" w:cs="Arial" w:eastAsia="Arial" w:hAnsi="Arial"/>
          <w:sz w:val="12"/>
          <w:szCs w:val="12"/>
          <w:color w:val="auto"/>
        </w:rPr>
      </w:pPr>
    </w:p>
    <w:p>
      <w:pPr>
        <w:ind w:left="772" w:right="40" w:hanging="448"/>
        <w:spacing w:after="0" w:line="231" w:lineRule="auto"/>
        <w:tabs>
          <w:tab w:leader="none" w:pos="772" w:val="left"/>
        </w:tabs>
        <w:numPr>
          <w:ilvl w:val="1"/>
          <w:numId w:val="20"/>
        </w:numPr>
        <w:rPr>
          <w:rFonts w:ascii="Arial" w:cs="Arial" w:eastAsia="Arial" w:hAnsi="Arial"/>
          <w:sz w:val="14"/>
          <w:szCs w:val="14"/>
          <w:color w:val="auto"/>
        </w:rPr>
      </w:pPr>
      <w:r>
        <w:rPr>
          <w:rFonts w:ascii="Arial" w:cs="Arial" w:eastAsia="Arial" w:hAnsi="Arial"/>
          <w:sz w:val="14"/>
          <w:szCs w:val="14"/>
          <w:color w:val="auto"/>
        </w:rPr>
        <w:t>The second part of the Incentive Fee (the “Capital Gains Fee”) will be determined and payable in arrears as of the end of each calendar year (or upon termination of this Agreement as set forth below), commencing with December 31, 2011, and will equal 20.0% 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ectPr>
          <w:pgSz w:w="11900" w:h="16838" w:orient="portrait"/>
          <w:cols w:equalWidth="0" w:num="1">
            <w:col w:w="11212"/>
          </w:cols>
          <w:pgMar w:left="328" w:top="269" w:right="359" w:bottom="1440" w:gutter="0" w:footer="0" w:header="0"/>
        </w:sectPr>
      </w:pPr>
    </w:p>
    <w:bookmarkStart w:id="38" w:name="page39"/>
    <w:bookmarkEnd w:id="38"/>
    <w:p>
      <w:pPr>
        <w:ind w:right="60" w:firstLine="8"/>
        <w:spacing w:after="0" w:line="253" w:lineRule="auto"/>
        <w:tabs>
          <w:tab w:leader="none" w:pos="144"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Covenants of the Adviser</w:t>
      </w:r>
      <w:r>
        <w:rPr>
          <w:rFonts w:ascii="Arial" w:cs="Arial" w:eastAsia="Arial" w:hAnsi="Arial"/>
          <w:sz w:val="14"/>
          <w:szCs w:val="14"/>
          <w:color w:val="auto"/>
        </w:rPr>
        <w:t>.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33" w:lineRule="exact"/>
        <w:rPr>
          <w:rFonts w:ascii="Arial" w:cs="Arial" w:eastAsia="Arial" w:hAnsi="Arial"/>
          <w:sz w:val="14"/>
          <w:szCs w:val="14"/>
          <w:color w:val="auto"/>
        </w:rPr>
      </w:pPr>
    </w:p>
    <w:p>
      <w:pPr>
        <w:ind w:right="100" w:firstLine="8"/>
        <w:spacing w:after="0" w:line="229" w:lineRule="auto"/>
        <w:tabs>
          <w:tab w:leader="none" w:pos="144"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Excess Brokerage Commissions</w:t>
      </w:r>
      <w:r>
        <w:rPr>
          <w:rFonts w:ascii="Arial" w:cs="Arial" w:eastAsia="Arial" w:hAnsi="Arial"/>
          <w:sz w:val="14"/>
          <w:szCs w:val="14"/>
          <w:color w:val="auto"/>
        </w:rPr>
        <w:t>.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58" w:lineRule="exact"/>
        <w:rPr>
          <w:rFonts w:ascii="Arial" w:cs="Arial" w:eastAsia="Arial" w:hAnsi="Arial"/>
          <w:sz w:val="14"/>
          <w:szCs w:val="14"/>
          <w:color w:val="auto"/>
        </w:rPr>
      </w:pPr>
    </w:p>
    <w:p>
      <w:pPr>
        <w:ind w:firstLine="8"/>
        <w:spacing w:after="0" w:line="244" w:lineRule="auto"/>
        <w:tabs>
          <w:tab w:leader="none" w:pos="144"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Limitations on the Employment of the Adviser</w:t>
      </w:r>
      <w:r>
        <w:rPr>
          <w:rFonts w:ascii="Arial" w:cs="Arial" w:eastAsia="Arial" w:hAnsi="Arial"/>
          <w:sz w:val="13"/>
          <w:szCs w:val="13"/>
          <w:color w:val="auto"/>
        </w:rPr>
        <w:t>.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40" w:lineRule="exact"/>
        <w:rPr>
          <w:rFonts w:ascii="Arial" w:cs="Arial" w:eastAsia="Arial" w:hAnsi="Arial"/>
          <w:sz w:val="13"/>
          <w:szCs w:val="13"/>
          <w:color w:val="auto"/>
        </w:rPr>
      </w:pPr>
    </w:p>
    <w:p>
      <w:pPr>
        <w:jc w:val="both"/>
        <w:ind w:right="100" w:firstLine="8"/>
        <w:spacing w:after="0" w:line="233" w:lineRule="auto"/>
        <w:tabs>
          <w:tab w:leader="none" w:pos="144"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Responsibility of Dual Directors, Officers and/or Employees</w:t>
      </w:r>
      <w:r>
        <w:rPr>
          <w:rFonts w:ascii="Arial" w:cs="Arial" w:eastAsia="Arial" w:hAnsi="Arial"/>
          <w:sz w:val="14"/>
          <w:szCs w:val="14"/>
          <w:color w:val="auto"/>
        </w:rPr>
        <w:t>.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4" w:lineRule="exact"/>
        <w:rPr>
          <w:rFonts w:ascii="Arial" w:cs="Arial" w:eastAsia="Arial" w:hAnsi="Arial"/>
          <w:sz w:val="14"/>
          <w:szCs w:val="14"/>
          <w:color w:val="auto"/>
        </w:rPr>
      </w:pPr>
    </w:p>
    <w:p>
      <w:pPr>
        <w:ind w:right="100" w:firstLine="8"/>
        <w:spacing w:after="0" w:line="244" w:lineRule="auto"/>
        <w:tabs>
          <w:tab w:leader="none" w:pos="144" w:val="left"/>
        </w:tabs>
        <w:numPr>
          <w:ilvl w:val="0"/>
          <w:numId w:val="21"/>
        </w:numPr>
        <w:rPr>
          <w:rFonts w:ascii="Arial" w:cs="Arial" w:eastAsia="Arial" w:hAnsi="Arial"/>
          <w:sz w:val="13"/>
          <w:szCs w:val="13"/>
          <w:color w:val="auto"/>
        </w:rPr>
      </w:pPr>
      <w:r>
        <w:rPr>
          <w:rFonts w:ascii="Arial" w:cs="Arial" w:eastAsia="Arial" w:hAnsi="Arial"/>
          <w:sz w:val="13"/>
          <w:szCs w:val="13"/>
          <w:u w:val="single" w:color="auto"/>
          <w:color w:val="auto"/>
        </w:rPr>
        <w:t>Limitation of Liability of the Adviser; Indemnification</w:t>
      </w:r>
      <w:r>
        <w:rPr>
          <w:rFonts w:ascii="Arial" w:cs="Arial" w:eastAsia="Arial" w:hAnsi="Arial"/>
          <w:sz w:val="13"/>
          <w:szCs w:val="13"/>
          <w:color w:val="auto"/>
        </w:rPr>
        <w:t>.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w:t>
      </w:r>
    </w:p>
    <w:p>
      <w:pPr>
        <w:spacing w:after="0" w:line="1" w:lineRule="exact"/>
        <w:rPr>
          <w:rFonts w:ascii="Arial" w:cs="Arial" w:eastAsia="Arial" w:hAnsi="Arial"/>
          <w:sz w:val="13"/>
          <w:szCs w:val="13"/>
          <w:color w:val="auto"/>
        </w:rPr>
      </w:pPr>
    </w:p>
    <w:p>
      <w:pPr>
        <w:ind w:right="20"/>
        <w:spacing w:after="0" w:line="245" w:lineRule="auto"/>
        <w:rPr>
          <w:rFonts w:ascii="Arial" w:cs="Arial" w:eastAsia="Arial" w:hAnsi="Arial"/>
          <w:sz w:val="13"/>
          <w:szCs w:val="13"/>
          <w:color w:val="auto"/>
        </w:rPr>
      </w:pPr>
      <w:r>
        <w:rPr>
          <w:rFonts w:ascii="Arial" w:cs="Arial" w:eastAsia="Arial" w:hAnsi="Arial"/>
          <w:sz w:val="13"/>
          <w:szCs w:val="13"/>
          <w:color w:val="auto"/>
        </w:rPr>
        <w:t>Section 36(b) of the 1940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w:t>
      </w:r>
    </w:p>
    <w:p>
      <w:pPr>
        <w:sectPr>
          <w:pgSz w:w="11900" w:h="16838" w:orient="portrait"/>
          <w:cols w:equalWidth="0" w:num="1">
            <w:col w:w="11240"/>
          </w:cols>
          <w:pgMar w:left="320" w:top="269" w:right="339" w:bottom="1440" w:gutter="0" w:footer="0" w:header="0"/>
        </w:sectPr>
      </w:pPr>
    </w:p>
    <w:bookmarkStart w:id="39" w:name="page40"/>
    <w:bookmarkEnd w:id="39"/>
    <w:p>
      <w:pPr>
        <w:ind w:right="160"/>
        <w:spacing w:after="0" w:line="23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adviser of the Corporation. Notwithstanding the preceding sentence of this Paragraph 8 to the contrary, nothing contained herein shall protect or be deemed to protect the Indemnified Parties against or 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1940 Act and any interpretations or guidance by the Securities and Exchange Commission or its staff thereunder).</w:t>
      </w:r>
    </w:p>
    <w:p>
      <w:pPr>
        <w:spacing w:after="0" w:line="143" w:lineRule="exact"/>
        <w:rPr>
          <w:sz w:val="20"/>
          <w:szCs w:val="20"/>
          <w:color w:val="auto"/>
        </w:rPr>
      </w:pPr>
    </w:p>
    <w:p>
      <w:pPr>
        <w:ind w:firstLine="8"/>
        <w:spacing w:after="0" w:line="226" w:lineRule="auto"/>
        <w:tabs>
          <w:tab w:leader="none" w:pos="144"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Effectiveness, Duration and Termination of Agreement</w:t>
      </w:r>
      <w:r>
        <w:rPr>
          <w:rFonts w:ascii="Arial" w:cs="Arial" w:eastAsia="Arial" w:hAnsi="Arial"/>
          <w:sz w:val="14"/>
          <w:szCs w:val="14"/>
          <w:color w:val="auto"/>
        </w:rPr>
        <w:t>. This Agreement shall become effective as of the first date above written. This Agreement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1940 Act) of any such party, in accordance with the requirements of the 1940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1940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61"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Any notice under this Agreement shall be given in writing, addressed and delivered or mailed, postage prepaid, to the other party at its principal office.</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This Agreement may be amended by mutual consent, but the consent of the Corporation must be obtained in conformity with the requirements of the 1940 Act.</w:t>
      </w:r>
    </w:p>
    <w:p>
      <w:pPr>
        <w:spacing w:after="0" w:line="163" w:lineRule="exact"/>
        <w:rPr>
          <w:rFonts w:ascii="Arial" w:cs="Arial" w:eastAsia="Arial" w:hAnsi="Arial"/>
          <w:sz w:val="14"/>
          <w:szCs w:val="14"/>
          <w:color w:val="auto"/>
        </w:rPr>
      </w:pPr>
    </w:p>
    <w:p>
      <w:pPr>
        <w:ind w:right="40" w:firstLine="8"/>
        <w:spacing w:after="0" w:line="238" w:lineRule="auto"/>
        <w:tabs>
          <w:tab w:leader="none" w:pos="21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Entire Agreement; Governing Law</w:t>
      </w:r>
      <w:r>
        <w:rPr>
          <w:rFonts w:ascii="Arial" w:cs="Arial" w:eastAsia="Arial" w:hAnsi="Arial"/>
          <w:sz w:val="14"/>
          <w:szCs w:val="14"/>
          <w:color w:val="auto"/>
        </w:rPr>
        <w:t>.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1940 Act. To the extent the applicable laws of the State of New York, or any of the provisions herein, conflict with the provisions of the 1940 Act, the latter shall control.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remainder of this page intentionally left blank]</w:t>
      </w:r>
    </w:p>
    <w:p>
      <w:pPr>
        <w:sectPr>
          <w:pgSz w:w="11900" w:h="16838" w:orient="portrait"/>
          <w:cols w:equalWidth="0" w:num="1">
            <w:col w:w="11220"/>
          </w:cols>
          <w:pgMar w:left="320" w:top="269" w:right="35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on the date above written.</w:t>
      </w:r>
    </w:p>
    <w:p>
      <w:pPr>
        <w:spacing w:after="0" w:line="200"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PENNANTPARK FLOATING RATE CAPITAL LTD.</w:t>
      </w:r>
    </w:p>
    <w:p>
      <w:pPr>
        <w:spacing w:after="0" w:line="167" w:lineRule="exact"/>
        <w:rPr>
          <w:sz w:val="20"/>
          <w:szCs w:val="20"/>
          <w:color w:val="auto"/>
        </w:rPr>
      </w:pPr>
    </w:p>
    <w:tbl>
      <w:tblPr>
        <w:tblLayout w:type="fixed"/>
        <w:tblInd w:w="676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Penn</w:t>
            </w:r>
          </w:p>
        </w:tc>
      </w:tr>
      <w:tr>
        <w:trPr>
          <w:trHeight w:val="137"/>
        </w:trPr>
        <w:tc>
          <w:tcPr>
            <w:tcW w:w="50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980" w:type="dxa"/>
            <w:vAlign w:val="bottom"/>
          </w:tcPr>
          <w:p>
            <w:pPr>
              <w:spacing w:after="0" w:line="137" w:lineRule="exact"/>
              <w:rPr>
                <w:sz w:val="20"/>
                <w:szCs w:val="20"/>
                <w:color w:val="auto"/>
              </w:rPr>
            </w:pPr>
            <w:r>
              <w:rPr>
                <w:rFonts w:ascii="Arial" w:cs="Arial" w:eastAsia="Arial" w:hAnsi="Arial"/>
                <w:sz w:val="14"/>
                <w:szCs w:val="14"/>
                <w:color w:val="auto"/>
              </w:rPr>
              <w:t>Arthur Penn</w:t>
            </w:r>
          </w:p>
        </w:tc>
      </w:t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spacing w:after="0"/>
              <w:rPr>
                <w:sz w:val="20"/>
                <w:szCs w:val="20"/>
                <w:color w:val="auto"/>
              </w:rPr>
            </w:pPr>
            <w:r>
              <w:rPr>
                <w:rFonts w:ascii="Arial" w:cs="Arial" w:eastAsia="Arial" w:hAnsi="Arial"/>
                <w:sz w:val="14"/>
                <w:szCs w:val="14"/>
                <w:color w:val="auto"/>
              </w:rPr>
              <w:t>Chief Executive Officer and Chairman of the Board of Directors</w:t>
            </w:r>
          </w:p>
        </w:tc>
      </w:tr>
      <w:tr>
        <w:trPr>
          <w:trHeight w:val="36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PENNANTPARK INVESTMENT ADVISERS, LLC</w:t>
            </w:r>
          </w:p>
        </w:tc>
      </w:tr>
      <w:tr>
        <w:trPr>
          <w:trHeight w:val="309"/>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Penn</w:t>
            </w:r>
          </w:p>
        </w:tc>
      </w:tr>
      <w:tr>
        <w:trPr>
          <w:trHeight w:val="137"/>
        </w:trPr>
        <w:tc>
          <w:tcPr>
            <w:tcW w:w="50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980" w:type="dxa"/>
            <w:vAlign w:val="bottom"/>
          </w:tcPr>
          <w:p>
            <w:pPr>
              <w:spacing w:after="0" w:line="137" w:lineRule="exact"/>
              <w:rPr>
                <w:sz w:val="20"/>
                <w:szCs w:val="20"/>
                <w:color w:val="auto"/>
              </w:rPr>
            </w:pPr>
            <w:r>
              <w:rPr>
                <w:rFonts w:ascii="Arial" w:cs="Arial" w:eastAsia="Arial" w:hAnsi="Arial"/>
                <w:sz w:val="14"/>
                <w:szCs w:val="14"/>
                <w:color w:val="auto"/>
              </w:rPr>
              <w:t>Arthur Penn</w:t>
            </w:r>
          </w:p>
        </w:tc>
      </w:t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spacing w:after="0"/>
              <w:rPr>
                <w:sz w:val="20"/>
                <w:szCs w:val="20"/>
                <w:color w:val="auto"/>
              </w:rPr>
            </w:pPr>
            <w:r>
              <w:rPr>
                <w:rFonts w:ascii="Arial" w:cs="Arial" w:eastAsia="Arial" w:hAnsi="Arial"/>
                <w:sz w:val="14"/>
                <w:szCs w:val="14"/>
                <w:color w:val="auto"/>
              </w:rPr>
              <w:t>Managing Member</w:t>
            </w:r>
          </w:p>
        </w:tc>
      </w:tr>
    </w:tbl>
    <w:p>
      <w:pPr>
        <w:sectPr>
          <w:pgSz w:w="11900" w:h="16838" w:orient="portrait"/>
          <w:cols w:equalWidth="0" w:num="1">
            <w:col w:w="11240"/>
          </w:cols>
          <w:pgMar w:left="320" w:top="269" w:right="339" w:bottom="1440" w:gutter="0" w:footer="0" w:header="0"/>
        </w:sectPr>
      </w:pPr>
    </w:p>
    <w:bookmarkStart w:id="41" w:name="page42"/>
    <w:bookmarkEnd w:id="41"/>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3"/>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3"/>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4,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42" w:name="page43"/>
    <w:bookmarkEnd w:id="42"/>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63" w:lineRule="exact"/>
        <w:rPr>
          <w:sz w:val="20"/>
          <w:szCs w:val="20"/>
          <w:color w:val="auto"/>
        </w:rPr>
      </w:pPr>
    </w:p>
    <w:p>
      <w:pPr>
        <w:ind w:left="720" w:hanging="150"/>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4,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EXHIBIT 32.1</w:t>
      </w:r>
    </w:p>
    <w:p>
      <w:pPr>
        <w:spacing w:after="0" w:line="208" w:lineRule="exact"/>
        <w:rPr>
          <w:sz w:val="20"/>
          <w:szCs w:val="20"/>
          <w:color w:val="auto"/>
        </w:rPr>
      </w:pPr>
    </w:p>
    <w:p>
      <w:pPr>
        <w:ind w:left="120" w:right="80" w:firstLine="556"/>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2015,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February 4, 2016</w:t>
      </w:r>
    </w:p>
    <w:p>
      <w:pPr>
        <w:sectPr>
          <w:pgSz w:w="11900" w:h="16838" w:orient="portrait"/>
          <w:cols w:equalWidth="0" w:num="1">
            <w:col w:w="11240"/>
          </w:cols>
          <w:pgMar w:left="320" w:top="11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340"/>
        <w:spacing w:after="0"/>
        <w:rPr>
          <w:sz w:val="20"/>
          <w:szCs w:val="20"/>
          <w:color w:val="auto"/>
        </w:rPr>
      </w:pPr>
      <w:r>
        <w:rPr>
          <w:rFonts w:ascii="Arial" w:cs="Arial" w:eastAsia="Arial" w:hAnsi="Arial"/>
          <w:sz w:val="14"/>
          <w:szCs w:val="14"/>
          <w:b w:val="1"/>
          <w:bCs w:val="1"/>
          <w:color w:val="auto"/>
        </w:rPr>
        <w:t>EXHIBIT 32.2</w:t>
      </w:r>
    </w:p>
    <w:p>
      <w:pPr>
        <w:spacing w:after="0" w:line="208" w:lineRule="exact"/>
        <w:rPr>
          <w:sz w:val="20"/>
          <w:szCs w:val="20"/>
          <w:color w:val="auto"/>
        </w:rPr>
      </w:pPr>
    </w:p>
    <w:p>
      <w:pPr>
        <w:ind w:left="120" w:right="80" w:firstLine="556"/>
        <w:spacing w:after="0" w:line="253" w:lineRule="auto"/>
        <w:rPr>
          <w:sz w:val="20"/>
          <w:szCs w:val="20"/>
          <w:color w:val="auto"/>
        </w:rPr>
      </w:pPr>
      <w:r>
        <w:rPr>
          <w:rFonts w:ascii="Arial" w:cs="Arial" w:eastAsia="Arial" w:hAnsi="Arial"/>
          <w:sz w:val="14"/>
          <w:szCs w:val="14"/>
          <w:color w:val="auto"/>
        </w:rPr>
        <w:t>In connection with this Report on Form 10-Q for the three months ended December 31, 2015,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66" w:lineRule="exact"/>
        <w:rPr>
          <w:sz w:val="20"/>
          <w:szCs w:val="20"/>
          <w:color w:val="auto"/>
        </w:rPr>
      </w:pPr>
    </w:p>
    <w:p>
      <w:pPr>
        <w:ind w:left="880" w:hanging="204"/>
        <w:spacing w:after="0"/>
        <w:tabs>
          <w:tab w:leader="none" w:pos="8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February 4,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decimal"/>
      <w:start w:val="2"/>
    </w:lvl>
  </w:abstractNum>
  <w:abstractNum w:abstractNumId="18">
    <w:nsid w:val="2443A858"/>
    <w:multiLevelType w:val="hybridMultilevel"/>
    <w:lvl w:ilvl="0">
      <w:lvlJc w:val="left"/>
      <w:lvlText w:val="%1."/>
      <w:numFmt w:val="decimal"/>
      <w:start w:val="3"/>
    </w:lvl>
  </w:abstractNum>
  <w:abstractNum w:abstractNumId="19">
    <w:nsid w:val="2D1D5AE9"/>
    <w:multiLevelType w:val="hybridMultilevel"/>
    <w:lvl w:ilvl="0">
      <w:lvlJc w:val="left"/>
      <w:lvlText w:val="(%1)"/>
      <w:numFmt w:val="lowerLetter"/>
      <w:start w:val="1"/>
    </w:lvl>
    <w:lvl w:ilvl="1">
      <w:lvlJc w:val="left"/>
      <w:lvlText w:val="(%2)"/>
      <w:numFmt w:val="lowerRoman"/>
      <w:start w:val="1"/>
    </w:lvl>
  </w:abstractNum>
  <w:abstractNum w:abstractNumId="20">
    <w:nsid w:val="6763845E"/>
    <w:multiLevelType w:val="hybridMultilevel"/>
    <w:lvl w:ilvl="0">
      <w:lvlJc w:val="left"/>
      <w:lvlText w:val="%1."/>
      <w:numFmt w:val="decimal"/>
      <w:start w:val="4"/>
    </w:lvl>
  </w:abstractNum>
  <w:abstractNum w:abstractNumId="21">
    <w:nsid w:val="75A2A8D4"/>
    <w:multiLevelType w:val="hybridMultilevel"/>
    <w:lvl w:ilvl="0">
      <w:lvlJc w:val="left"/>
      <w:lvlText w:val="%1."/>
      <w:numFmt w:val="decimal"/>
      <w:start w:val="9"/>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2020-05-05T12:10:16Z</dcterms:created>
  <dcterms:modified xsi:type="dcterms:W3CDTF">2020-05-05T12:10:16Z</dcterms:modified>
</cp:coreProperties>
</file>