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223520</wp:posOffset>
            </wp:positionH>
            <wp:positionV relativeFrom="page">
              <wp:posOffset>223520</wp:posOffset>
            </wp:positionV>
            <wp:extent cx="7174865" cy="5382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Filed by PennantPark Floating Rate Capital Ltd.</w:t>
      </w:r>
    </w:p>
    <w:p>
      <w:pPr>
        <w:spacing w:after="0" w:line="27" w:lineRule="exact"/>
        <w:rPr>
          <w:sz w:val="24"/>
          <w:szCs w:val="24"/>
          <w:color w:val="auto"/>
        </w:rPr>
      </w:pPr>
    </w:p>
    <w:p>
      <w:pPr>
        <w:ind w:left="5700"/>
        <w:spacing w:after="0"/>
        <w:rPr>
          <w:sz w:val="20"/>
          <w:szCs w:val="20"/>
          <w:color w:val="auto"/>
        </w:rPr>
      </w:pPr>
      <w:r>
        <w:rPr>
          <w:rFonts w:ascii="Arial" w:cs="Arial" w:eastAsia="Arial" w:hAnsi="Arial"/>
          <w:sz w:val="14"/>
          <w:szCs w:val="14"/>
          <w:color w:val="auto"/>
        </w:rPr>
        <w:t>Pursuant to Rule 425 under the Securities Act of 1933</w:t>
      </w:r>
    </w:p>
    <w:p>
      <w:pPr>
        <w:spacing w:after="0" w:line="27" w:lineRule="exact"/>
        <w:rPr>
          <w:sz w:val="24"/>
          <w:szCs w:val="24"/>
          <w:color w:val="auto"/>
        </w:rPr>
      </w:pPr>
    </w:p>
    <w:p>
      <w:pPr>
        <w:jc w:val="right"/>
        <w:ind w:left="4020"/>
        <w:spacing w:after="0" w:line="289" w:lineRule="auto"/>
        <w:rPr>
          <w:sz w:val="20"/>
          <w:szCs w:val="20"/>
          <w:color w:val="auto"/>
        </w:rPr>
      </w:pPr>
      <w:r>
        <w:rPr>
          <w:rFonts w:ascii="Arial" w:cs="Arial" w:eastAsia="Arial" w:hAnsi="Arial"/>
          <w:sz w:val="15"/>
          <w:szCs w:val="15"/>
          <w:color w:val="auto"/>
        </w:rPr>
        <w:t>and deemed filed pursuant to Rule 14a-12 of the Securities Exchange Act of 1934 Subject Company: MCG Capital Corporation (File No. 814-00239)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2040"/>
        <w:spacing w:after="0"/>
        <w:rPr>
          <w:sz w:val="20"/>
          <w:szCs w:val="20"/>
          <w:color w:val="auto"/>
        </w:rPr>
      </w:pPr>
      <w:r>
        <w:rPr>
          <w:rFonts w:ascii="Arial" w:cs="Arial" w:eastAsia="Arial" w:hAnsi="Arial"/>
          <w:sz w:val="34"/>
          <w:szCs w:val="34"/>
          <w:color w:val="auto"/>
        </w:rPr>
        <w:t>PennantPark Floating Rate Capital</w:t>
      </w:r>
    </w:p>
    <w:p>
      <w:pPr>
        <w:spacing w:after="0" w:line="115" w:lineRule="exact"/>
        <w:rPr>
          <w:sz w:val="24"/>
          <w:szCs w:val="24"/>
          <w:color w:val="auto"/>
        </w:rPr>
      </w:pPr>
    </w:p>
    <w:p>
      <w:pPr>
        <w:ind w:left="1540"/>
        <w:spacing w:after="0"/>
        <w:rPr>
          <w:sz w:val="20"/>
          <w:szCs w:val="20"/>
          <w:color w:val="auto"/>
        </w:rPr>
      </w:pPr>
      <w:r>
        <w:rPr>
          <w:rFonts w:ascii="Arial" w:cs="Arial" w:eastAsia="Arial" w:hAnsi="Arial"/>
          <w:sz w:val="34"/>
          <w:szCs w:val="34"/>
          <w:color w:val="auto"/>
        </w:rPr>
        <w:t>Acquisition of MCG Capital Corporation</w:t>
      </w:r>
    </w:p>
    <w:p>
      <w:pPr>
        <w:spacing w:after="0" w:line="114" w:lineRule="exact"/>
        <w:rPr>
          <w:sz w:val="24"/>
          <w:szCs w:val="24"/>
          <w:color w:val="auto"/>
        </w:rPr>
      </w:pPr>
    </w:p>
    <w:p>
      <w:pPr>
        <w:ind w:left="3340"/>
        <w:spacing w:after="0"/>
        <w:rPr>
          <w:sz w:val="20"/>
          <w:szCs w:val="20"/>
          <w:color w:val="auto"/>
        </w:rPr>
      </w:pPr>
      <w:r>
        <w:rPr>
          <w:rFonts w:ascii="Arial" w:cs="Arial" w:eastAsia="Arial" w:hAnsi="Arial"/>
          <w:sz w:val="28"/>
          <w:szCs w:val="28"/>
          <w:color w:val="auto"/>
        </w:rPr>
        <w:t>Investor Presentation</w:t>
      </w:r>
    </w:p>
    <w:p>
      <w:pPr>
        <w:spacing w:after="0" w:line="101" w:lineRule="exact"/>
        <w:rPr>
          <w:sz w:val="24"/>
          <w:szCs w:val="24"/>
          <w:color w:val="auto"/>
        </w:rPr>
      </w:pPr>
    </w:p>
    <w:p>
      <w:pPr>
        <w:ind w:left="3800"/>
        <w:spacing w:after="0"/>
        <w:rPr>
          <w:sz w:val="20"/>
          <w:szCs w:val="20"/>
          <w:color w:val="auto"/>
        </w:rPr>
      </w:pPr>
      <w:r>
        <w:rPr>
          <w:rFonts w:ascii="Arial" w:cs="Arial" w:eastAsia="Arial" w:hAnsi="Arial"/>
          <w:sz w:val="28"/>
          <w:szCs w:val="28"/>
          <w:color w:val="auto"/>
        </w:rPr>
        <w:t>April 29, 2015</w:t>
      </w:r>
    </w:p>
    <w:p>
      <w:pPr>
        <w:sectPr>
          <w:pgSz w:w="11900" w:h="16838" w:orient="portrait"/>
          <w:cols w:equalWidth="0" w:num="1">
            <w:col w:w="9120"/>
          </w:cols>
          <w:pgMar w:left="1440" w:top="1332" w:right="1339" w:bottom="1440" w:gutter="0" w:footer="0" w:header="0"/>
        </w:sectPr>
      </w:pPr>
    </w:p>
    <w:bookmarkStart w:id="1" w:name="page2"/>
    <w:bookmarkEnd w:id="1"/>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4405" cy="34925"/>
                    </a:xfrm>
                    <a:prstGeom prst="rect">
                      <a:avLst/>
                    </a:prstGeom>
                    <a:noFill/>
                  </pic:spPr>
                </pic:pic>
              </a:graphicData>
            </a:graphic>
          </wp:anchor>
        </w:drawing>
        <w:drawing>
          <wp:anchor simplePos="0" relativeHeight="251657728" behindDoc="1" locked="0" layoutInCell="0" allowOverlap="1">
            <wp:simplePos x="0" y="0"/>
            <wp:positionH relativeFrom="page">
              <wp:posOffset>223520</wp:posOffset>
            </wp:positionH>
            <wp:positionV relativeFrom="page">
              <wp:posOffset>245745</wp:posOffset>
            </wp:positionV>
            <wp:extent cx="659955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599555" cy="507365"/>
                    </a:xfrm>
                    <a:prstGeom prst="rect">
                      <a:avLst/>
                    </a:prstGeom>
                    <a:noFill/>
                  </pic:spPr>
                </pic:pic>
              </a:graphicData>
            </a:graphic>
          </wp:anchor>
        </w:drawing>
        <w:t>Forward-looking Statements and Risk Factors</w:t>
      </w:r>
    </w:p>
    <w:p>
      <w:pPr>
        <w:spacing w:after="0" w:line="192" w:lineRule="exact"/>
        <w:rPr>
          <w:sz w:val="20"/>
          <w:szCs w:val="20"/>
          <w:color w:val="auto"/>
        </w:rPr>
      </w:pPr>
    </w:p>
    <w:p>
      <w:pPr>
        <w:ind w:left="40" w:right="1199"/>
        <w:spacing w:after="0" w:line="315" w:lineRule="auto"/>
        <w:rPr>
          <w:sz w:val="20"/>
          <w:szCs w:val="20"/>
          <w:color w:val="auto"/>
        </w:rPr>
      </w:pPr>
      <w:r>
        <w:rPr>
          <w:rFonts w:ascii="Arial" w:cs="Arial" w:eastAsia="Arial" w:hAnsi="Arial"/>
          <w:sz w:val="10"/>
          <w:szCs w:val="10"/>
          <w:color w:val="auto"/>
        </w:rPr>
        <w:t>This presentation contains "forward-looking statements" within the meaning of the Private Securities Litigation Reform Act of 1995 that relate to future events, performance or financial condition of PennantPark Floating Rate Capital Ltd. (“PFLT”) and MCG Capital Corporation (“MCGC”).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Neither PFLT nor MCGC undertakes any duty to update any forward-looking statement made herein. All forward-looking statements speak only as of the date of this presentation.</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0"/>
          <w:szCs w:val="10"/>
          <w:color w:val="auto"/>
        </w:rPr>
        <w:t>However, by their nature, these forward-looking statements involve numerous assumptions, uncertainties and opportunities, both general and specific. The risk exists that these statements may not be fulfilled.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0"/>
          <w:szCs w:val="10"/>
          <w:color w:val="auto"/>
        </w:rPr>
        <w:t>We caution readers of this presentation not to place undue reliance on these forward-looking statements as a number of factors could cause future company results to differ materially from these statements.</w:t>
      </w:r>
    </w:p>
    <w:p>
      <w:pPr>
        <w:spacing w:after="0" w:line="179" w:lineRule="exact"/>
        <w:rPr>
          <w:sz w:val="20"/>
          <w:szCs w:val="20"/>
          <w:color w:val="auto"/>
        </w:rPr>
      </w:pPr>
    </w:p>
    <w:p>
      <w:pPr>
        <w:ind w:left="40" w:right="1139"/>
        <w:spacing w:after="0" w:line="315" w:lineRule="auto"/>
        <w:rPr>
          <w:sz w:val="20"/>
          <w:szCs w:val="20"/>
          <w:color w:val="auto"/>
        </w:rPr>
      </w:pPr>
      <w:r>
        <w:rPr>
          <w:rFonts w:ascii="Arial" w:cs="Arial" w:eastAsia="Arial" w:hAnsi="Arial"/>
          <w:sz w:val="10"/>
          <w:szCs w:val="10"/>
          <w:color w:val="auto"/>
        </w:rPr>
        <w:t>Forward-looking statements may be influenced in particular by factors such as the ability of the parties to consummate the transaction described in this press release on the expected timeline (or at all), the failure of PFLT or MCGC stockholders to approve the proposed merger, the ability to realize the anticipated benefits of the transaction, the effects of disruption on the companies’ business from the proposed merger, the effect that the announcement or consummation of the merger may have on the trading price of the common stock of PFLT or MCGC, the combined company’s plans, expectations, objectives and intentions, the other factors described from time to time in the companies’ filings with the Securities and Exchange Commission, fluctuations in interest rates and stock indices, the effects of competition in the areas in which we operate, and changes in economic, political and regulatory conditions. We caution that the foregoing list is not exhaustive.</w:t>
      </w:r>
    </w:p>
    <w:p>
      <w:pPr>
        <w:spacing w:after="0" w:line="115" w:lineRule="exact"/>
        <w:rPr>
          <w:sz w:val="20"/>
          <w:szCs w:val="20"/>
          <w:color w:val="auto"/>
        </w:rPr>
      </w:pPr>
    </w:p>
    <w:p>
      <w:pPr>
        <w:jc w:val="both"/>
        <w:ind w:left="40" w:right="1579"/>
        <w:spacing w:after="0" w:line="295" w:lineRule="auto"/>
        <w:rPr>
          <w:sz w:val="20"/>
          <w:szCs w:val="20"/>
          <w:color w:val="auto"/>
        </w:rPr>
      </w:pPr>
      <w:r>
        <w:rPr>
          <w:rFonts w:ascii="Arial" w:cs="Arial" w:eastAsia="Arial" w:hAnsi="Arial"/>
          <w:sz w:val="11"/>
          <w:szCs w:val="11"/>
          <w:color w:val="auto"/>
        </w:rPr>
        <w:t>When relying on forward-looking statements to make decisions, investors should carefully consider the aforementioned factors as well as other uncertainties and events. The performance data quoted represents past performance and does not guarantee future results. The performance stated may have been due to extraordinary market conditions, which may not be duplicated in the future. Current performance may be lower or higher than the performance data quoted.</w:t>
      </w:r>
    </w:p>
    <w:p>
      <w:pPr>
        <w:spacing w:after="0" w:line="121" w:lineRule="exact"/>
        <w:rPr>
          <w:sz w:val="20"/>
          <w:szCs w:val="20"/>
          <w:color w:val="auto"/>
        </w:rPr>
      </w:pPr>
    </w:p>
    <w:p>
      <w:pPr>
        <w:ind w:left="40" w:right="1099"/>
        <w:spacing w:after="0" w:line="314" w:lineRule="auto"/>
        <w:rPr>
          <w:sz w:val="20"/>
          <w:szCs w:val="20"/>
          <w:color w:val="auto"/>
        </w:rPr>
      </w:pPr>
      <w:r>
        <w:rPr>
          <w:rFonts w:ascii="Arial" w:cs="Arial" w:eastAsia="Arial" w:hAnsi="Arial"/>
          <w:sz w:val="10"/>
          <w:szCs w:val="10"/>
          <w:color w:val="auto"/>
        </w:rPr>
        <w:t>We refer you to the list of risk factors set forth in PFLT’s most recent Annual Report on Form 10-K, a copy of which may be obtained on PFLT’s website at www.pennantpark.com or the SEC’s website at www.sec.gov. Specifically, an investment in PFLT’s common stock involves significant risks, including the risk that the secondary market price of PFLT’s common stock may decline from the offering price and may be less than PFLT’s net asset value per share, as well as the risk that the price of PFLT’s common stock in the secondary market may be highly volatile. Please see a discussion of these risks and other related risks in PFLT’s most recent Annual Report on Form 10-K under Item 1A - “Risks Relating to an Investment in Our Common Stock”.</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This presentation contains certain information as is set forth in PFLT’s reports on Form 10-K or 10-Q and we direct you to these reports for further information on our business.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IMPORTANT ADDITIONAL INFORMATION AND WHERE TO FIND IT</w:t>
      </w:r>
    </w:p>
    <w:p>
      <w:pPr>
        <w:spacing w:after="0" w:line="66" w:lineRule="exact"/>
        <w:rPr>
          <w:sz w:val="20"/>
          <w:szCs w:val="20"/>
          <w:color w:val="auto"/>
        </w:rPr>
      </w:pPr>
    </w:p>
    <w:p>
      <w:pPr>
        <w:ind w:left="40" w:right="1219"/>
        <w:spacing w:after="0" w:line="383" w:lineRule="auto"/>
        <w:rPr>
          <w:sz w:val="20"/>
          <w:szCs w:val="20"/>
          <w:color w:val="auto"/>
        </w:rPr>
      </w:pPr>
      <w:r>
        <w:rPr>
          <w:rFonts w:ascii="Arial" w:cs="Arial" w:eastAsia="Arial" w:hAnsi="Arial"/>
          <w:sz w:val="8"/>
          <w:szCs w:val="8"/>
          <w:color w:val="auto"/>
        </w:rPr>
        <w:t>This communication is being made in respect of the proposed business combination involving PFLT and MCGC. In connection with the proposed transaction, PFLT plans to file with the SEC a Registration Statement on Form N-14 that includes proxy statements of PFLT and MCGC and that also constitutes a prospectus of PFLT. The definitive Joint Proxy Statement/Prospectus will be mailed to stockholders of</w:t>
      </w:r>
    </w:p>
    <w:p>
      <w:pPr>
        <w:ind w:left="40" w:right="679"/>
        <w:spacing w:after="0" w:line="330" w:lineRule="auto"/>
        <w:rPr>
          <w:sz w:val="20"/>
          <w:szCs w:val="20"/>
          <w:color w:val="auto"/>
        </w:rPr>
      </w:pPr>
      <w:r>
        <w:rPr>
          <w:rFonts w:ascii="Arial" w:cs="Arial" w:eastAsia="Arial" w:hAnsi="Arial"/>
          <w:sz w:val="10"/>
          <w:szCs w:val="10"/>
          <w:color w:val="auto"/>
        </w:rPr>
        <w:t>PFLT and MCGC. INVESTORS AND SECURITY HOLDERS OF PFLT AND MCGC ARE URGED TO READ THE JOINT PROXY STATEMENT/PROSPECTUS AND OTHER DOCUMENTS FILED WITH THE SEC CAREFULLY IN THEIR ENTIRETY WHEN THEY BECOME AVAILABLE BECAUSE THEY WILL CONTAIN IMPORTANT INFORMATION ABOUT THE PROPOSED TRANSACTION.</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Investors and security holders will be able to obtain free copies of the Registration Statement and Joint Proxy Statement/Prospectus (when available) and other documents filed with the SEC by each</w:t>
      </w:r>
    </w:p>
    <w:p>
      <w:pPr>
        <w:spacing w:after="0" w:line="21" w:lineRule="exact"/>
        <w:rPr>
          <w:sz w:val="20"/>
          <w:szCs w:val="20"/>
          <w:color w:val="auto"/>
        </w:rPr>
      </w:pPr>
    </w:p>
    <w:p>
      <w:pPr>
        <w:ind w:left="20" w:right="99"/>
        <w:spacing w:after="0" w:line="250" w:lineRule="auto"/>
        <w:rPr>
          <w:sz w:val="20"/>
          <w:szCs w:val="20"/>
          <w:color w:val="auto"/>
        </w:rPr>
      </w:pPr>
      <w:r>
        <w:rPr>
          <w:rFonts w:ascii="Arial" w:cs="Arial" w:eastAsia="Arial" w:hAnsi="Arial"/>
          <w:sz w:val="11"/>
          <w:szCs w:val="11"/>
          <w:b w:val="1"/>
          <w:bCs w:val="1"/>
          <w:color w:val="auto"/>
        </w:rPr>
        <w:t>of PFLT and MCGC through the web site maintained by the SEC at www.sec.gov. Free copies of the Registration Statement and Joint Proxy Statement/Prospectus (when available) and other documents filed with the SEC can also be obtained on PFLT’s website at www.pennantpark.com or on MCG’s website at www.mcgcapital.com.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PROXY SOLICITATION</w:t>
      </w:r>
    </w:p>
    <w:p>
      <w:pPr>
        <w:spacing w:after="0" w:line="101" w:lineRule="exact"/>
        <w:rPr>
          <w:sz w:val="20"/>
          <w:szCs w:val="20"/>
          <w:color w:val="auto"/>
        </w:rPr>
      </w:pPr>
    </w:p>
    <w:p>
      <w:pPr>
        <w:ind w:left="20" w:right="1199"/>
        <w:spacing w:after="0" w:line="309" w:lineRule="auto"/>
        <w:rPr>
          <w:sz w:val="20"/>
          <w:szCs w:val="20"/>
          <w:color w:val="auto"/>
        </w:rPr>
      </w:pPr>
      <w:r>
        <w:rPr>
          <w:rFonts w:ascii="Arial" w:cs="Arial" w:eastAsia="Arial" w:hAnsi="Arial"/>
          <w:sz w:val="10"/>
          <w:szCs w:val="10"/>
          <w:color w:val="auto"/>
        </w:rPr>
        <w:t>PFLT and MCGC and their respective directors, executive officers and certain other members of management and employees may be deemed to be participants in the solicitation of proxies from PFLT and MCGC stockholders in respect of the acquisition. Information regarding the persons who may, under the rules of the SEC, be considered participants in the solicitation of the PFLT and MCGC stockholders in connection with the proposed acquisition will be set forth in the Joint Proxy Statement/Prospectus when it is filed with the SEC. You can find information about PFLT’s executive officers and directors in its definitive proxy statement filed with the SEC on November 26, 2014. You can find information about MCGC’s executive officers and directors in its Annual Report on Form 10-K/A for the year ended December 31, 2014 filed with the SEC on April 29, 2015. You can obtain free copies of these documents from PFLT and MCGC in the manner set forth above.</w:t>
      </w:r>
    </w:p>
    <w:p>
      <w:pPr>
        <w:spacing w:after="0" w:line="130" w:lineRule="exact"/>
        <w:rPr>
          <w:sz w:val="20"/>
          <w:szCs w:val="20"/>
          <w:color w:val="auto"/>
        </w:rPr>
      </w:pPr>
    </w:p>
    <w:p>
      <w:pPr>
        <w:jc w:val="both"/>
        <w:ind w:left="20" w:right="1099"/>
        <w:spacing w:after="0" w:line="425" w:lineRule="auto"/>
        <w:rPr>
          <w:sz w:val="20"/>
          <w:szCs w:val="20"/>
          <w:color w:val="auto"/>
        </w:rPr>
      </w:pPr>
      <w:r>
        <w:rPr>
          <w:rFonts w:ascii="Arial" w:cs="Arial" w:eastAsia="Arial" w:hAnsi="Arial"/>
          <w:sz w:val="8"/>
          <w:szCs w:val="8"/>
          <w:color w:val="auto"/>
        </w:rPr>
        <w:t>This presentation does not constitute an offer to sell or the solicitation of an offer to buy nor will there be any sale of securities in any jurisdiction in which such offer, solicitation or sale would be unlawful prior to the registration or qualification under the securities laws of such jurisdiction. A registration statement relating to these securities will be filed with the Securities and Exchange Commission, and the securities may not be sold until the registration statement becomes effective. Investors are advised to carefully consider the investment objectives, risks and charges and expenses of PFLT before investing in its securities.</w:t>
      </w:r>
    </w:p>
    <w:p>
      <w:pPr>
        <w:spacing w:after="0" w:line="1"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0019"/>
          </w:cols>
          <w:pgMar w:left="440" w:top="606"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262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440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8"/>
          <w:szCs w:val="38"/>
          <w:color w:val="FFFFFF"/>
        </w:rPr>
        <w:t xml:space="preserve">Section I.  </w:t>
      </w:r>
      <w:r>
        <w:rPr>
          <w:rFonts w:ascii="Arial" w:cs="Arial" w:eastAsia="Arial" w:hAnsi="Arial"/>
          <w:sz w:val="38"/>
          <w:szCs w:val="38"/>
          <w:b w:val="1"/>
          <w:bCs w:val="1"/>
          <w:color w:val="FFFFFF"/>
        </w:rPr>
        <w:t>Proposed Transaction &amp; Rationale</w:t>
      </w: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680"/>
        <w:spacing w:after="0"/>
        <w:rPr>
          <w:sz w:val="20"/>
          <w:szCs w:val="20"/>
          <w:color w:val="auto"/>
        </w:rPr>
      </w:pPr>
      <w:r>
        <w:rPr>
          <w:rFonts w:ascii="Arial" w:cs="Arial" w:eastAsia="Arial" w:hAnsi="Arial"/>
          <w:sz w:val="10"/>
          <w:szCs w:val="10"/>
          <w:b w:val="1"/>
          <w:bCs w:val="1"/>
          <w:color w:val="auto"/>
        </w:rPr>
        <w:t>2</w:t>
      </w:r>
    </w:p>
    <w:p>
      <w:pPr>
        <w:sectPr>
          <w:pgSz w:w="11900" w:h="16838" w:orient="portrait"/>
          <w:cols w:equalWidth="0" w:num="1">
            <w:col w:w="10039"/>
          </w:cols>
          <w:pgMar w:left="420" w:top="144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359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4405" cy="4359910"/>
                    </a:xfrm>
                    <a:prstGeom prst="rect">
                      <a:avLst/>
                    </a:prstGeom>
                    <a:noFill/>
                  </pic:spPr>
                </pic:pic>
              </a:graphicData>
            </a:graphic>
          </wp:anchor>
        </w:drawing>
        <w:t>The Acquisition</w:t>
      </w:r>
    </w:p>
    <w:p>
      <w:pPr>
        <w:sectPr>
          <w:pgSz w:w="11900" w:h="16838" w:orient="portrait"/>
          <w:cols w:equalWidth="0" w:num="1">
            <w:col w:w="10019"/>
          </w:cols>
          <w:pgMar w:left="440" w:top="606" w:right="1440" w:bottom="1440" w:gutter="0" w:footer="0" w:header="0"/>
        </w:sectPr>
      </w:pPr>
    </w:p>
    <w:p>
      <w:pPr>
        <w:spacing w:after="0" w:line="300" w:lineRule="exact"/>
        <w:rPr>
          <w:sz w:val="20"/>
          <w:szCs w:val="20"/>
          <w:color w:val="auto"/>
        </w:rPr>
      </w:pPr>
    </w:p>
    <w:p>
      <w:pPr>
        <w:ind w:left="280"/>
        <w:spacing w:after="0"/>
        <w:tabs>
          <w:tab w:leader="none" w:pos="2060" w:val="left"/>
          <w:tab w:leader="none" w:pos="3780" w:val="left"/>
        </w:tabs>
        <w:rPr>
          <w:sz w:val="20"/>
          <w:szCs w:val="20"/>
          <w:color w:val="auto"/>
        </w:rPr>
      </w:pPr>
      <w:r>
        <w:rPr>
          <w:rFonts w:ascii="Arial" w:cs="Arial" w:eastAsia="Arial" w:hAnsi="Arial"/>
          <w:sz w:val="20"/>
          <w:szCs w:val="20"/>
          <w:color w:val="auto"/>
        </w:rPr>
        <w:t>PFLT was founded</w:t>
        <w:tab/>
        <w:t>in 2011 to provide</w:t>
      </w:r>
      <w:r>
        <w:rPr>
          <w:sz w:val="20"/>
          <w:szCs w:val="20"/>
          <w:color w:val="auto"/>
        </w:rPr>
        <w:tab/>
      </w:r>
      <w:r>
        <w:rPr>
          <w:rFonts w:ascii="Arial" w:cs="Arial" w:eastAsia="Arial" w:hAnsi="Arial"/>
          <w:sz w:val="19"/>
          <w:szCs w:val="19"/>
          <w:color w:val="auto"/>
        </w:rPr>
        <w:t>middle  market  senior secured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floating</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rate loans  to our sponsor</w:t>
      </w:r>
    </w:p>
    <w:p>
      <w:pPr>
        <w:spacing w:after="0" w:line="35" w:lineRule="exact"/>
        <w:rPr>
          <w:sz w:val="20"/>
          <w:szCs w:val="20"/>
          <w:color w:val="auto"/>
        </w:rPr>
      </w:pPr>
    </w:p>
    <w:p>
      <w:pPr>
        <w:sectPr>
          <w:pgSz w:w="11900" w:h="16838" w:orient="portrait"/>
          <w:cols w:equalWidth="0" w:num="3">
            <w:col w:w="6440" w:space="140"/>
            <w:col w:w="640" w:space="140"/>
            <w:col w:w="2659"/>
          </w:cols>
          <w:pgMar w:left="440" w:top="606" w:right="1440" w:bottom="1440" w:gutter="0" w:footer="0" w:header="0"/>
          <w:type w:val="continuous"/>
        </w:sectPr>
      </w:pPr>
    </w:p>
    <w:p>
      <w:pPr>
        <w:ind w:left="280"/>
        <w:spacing w:after="0"/>
        <w:rPr>
          <w:sz w:val="20"/>
          <w:szCs w:val="20"/>
          <w:color w:val="auto"/>
        </w:rPr>
      </w:pPr>
      <w:r>
        <w:rPr>
          <w:rFonts w:ascii="Arial" w:cs="Arial" w:eastAsia="Arial" w:hAnsi="Arial"/>
          <w:sz w:val="20"/>
          <w:szCs w:val="20"/>
          <w:color w:val="auto"/>
        </w:rPr>
        <w:t>and corporate clients and attractive and stable returns to investors</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PFLT has performed well since inception</w:t>
      </w:r>
    </w:p>
    <w:p>
      <w:pPr>
        <w:spacing w:after="0" w:line="299" w:lineRule="exact"/>
        <w:rPr>
          <w:sz w:val="20"/>
          <w:szCs w:val="20"/>
          <w:color w:val="auto"/>
        </w:rPr>
      </w:pPr>
    </w:p>
    <w:p>
      <w:pPr>
        <w:ind w:left="780" w:right="1699"/>
        <w:spacing w:after="0" w:line="310" w:lineRule="auto"/>
        <w:rPr>
          <w:sz w:val="20"/>
          <w:szCs w:val="20"/>
          <w:color w:val="auto"/>
        </w:rPr>
      </w:pPr>
      <w:r>
        <w:rPr>
          <w:rFonts w:ascii="Arial" w:cs="Arial" w:eastAsia="Arial" w:hAnsi="Arial"/>
          <w:sz w:val="19"/>
          <w:szCs w:val="19"/>
          <w:color w:val="auto"/>
        </w:rPr>
        <w:t xml:space="preserve">Since 2013 PFLT has had a total return of 33% compared to a total return of 18% for the BDC index </w:t>
      </w:r>
      <w:r>
        <w:rPr>
          <w:rFonts w:ascii="Arial" w:cs="Arial" w:eastAsia="Arial" w:hAnsi="Arial"/>
          <w:sz w:val="13"/>
          <w:szCs w:val="13"/>
          <w:color w:val="auto"/>
        </w:rPr>
        <w:t>(1)</w:t>
      </w:r>
      <w:r>
        <w:rPr>
          <w:rFonts w:ascii="Arial" w:cs="Arial" w:eastAsia="Arial" w:hAnsi="Arial"/>
          <w:sz w:val="19"/>
          <w:szCs w:val="19"/>
          <w:color w:val="auto"/>
        </w:rPr>
        <w:t xml:space="preserve"> and a total return of (2%) for the senior secured floating rate BDCs </w:t>
      </w:r>
      <w:r>
        <w:rPr>
          <w:rFonts w:ascii="Arial" w:cs="Arial" w:eastAsia="Arial" w:hAnsi="Arial"/>
          <w:sz w:val="13"/>
          <w:szCs w:val="13"/>
          <w:color w:val="auto"/>
        </w:rPr>
        <w:t>(2)</w:t>
      </w:r>
    </w:p>
    <w:p>
      <w:pPr>
        <w:sectPr>
          <w:pgSz w:w="11900" w:h="16838" w:orient="portrait"/>
          <w:cols w:equalWidth="0" w:num="1">
            <w:col w:w="10019"/>
          </w:cols>
          <w:pgMar w:left="440" w:top="606" w:right="1440" w:bottom="1440" w:gutter="0" w:footer="0" w:header="0"/>
          <w:type w:val="continuous"/>
        </w:sectPr>
      </w:pPr>
    </w:p>
    <w:p>
      <w:pPr>
        <w:spacing w:after="0" w:line="200" w:lineRule="exact"/>
        <w:rPr>
          <w:sz w:val="20"/>
          <w:szCs w:val="20"/>
          <w:color w:val="auto"/>
        </w:rPr>
      </w:pPr>
    </w:p>
    <w:p>
      <w:pPr>
        <w:ind w:left="280"/>
        <w:spacing w:after="0"/>
        <w:tabs>
          <w:tab w:leader="none" w:pos="1720" w:val="left"/>
        </w:tabs>
        <w:rPr>
          <w:sz w:val="20"/>
          <w:szCs w:val="20"/>
          <w:color w:val="auto"/>
        </w:rPr>
      </w:pPr>
      <w:r>
        <w:rPr>
          <w:rFonts w:ascii="Arial" w:cs="Arial" w:eastAsia="Arial" w:hAnsi="Arial"/>
          <w:sz w:val="20"/>
          <w:szCs w:val="20"/>
          <w:color w:val="auto"/>
        </w:rPr>
        <w:t>The acquisition</w:t>
      </w:r>
      <w:r>
        <w:rPr>
          <w:sz w:val="20"/>
          <w:szCs w:val="20"/>
          <w:color w:val="auto"/>
        </w:rPr>
        <w:tab/>
      </w:r>
      <w:r>
        <w:rPr>
          <w:rFonts w:ascii="Arial" w:cs="Arial" w:eastAsia="Arial" w:hAnsi="Arial"/>
          <w:sz w:val="19"/>
          <w:szCs w:val="19"/>
          <w:color w:val="auto"/>
        </w:rPr>
        <w:t>of MCGC should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enable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PFLT to better  capture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middle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market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opportunity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for our</w:t>
      </w:r>
    </w:p>
    <w:p>
      <w:pPr>
        <w:spacing w:after="0" w:line="24" w:lineRule="exact"/>
        <w:rPr>
          <w:sz w:val="20"/>
          <w:szCs w:val="20"/>
          <w:color w:val="auto"/>
        </w:rPr>
      </w:pPr>
    </w:p>
    <w:p>
      <w:pPr>
        <w:sectPr>
          <w:pgSz w:w="11900" w:h="16838" w:orient="portrait"/>
          <w:cols w:equalWidth="0" w:num="7">
            <w:col w:w="3180" w:space="160"/>
            <w:col w:w="520" w:space="140"/>
            <w:col w:w="1940" w:space="160"/>
            <w:col w:w="900" w:space="160"/>
            <w:col w:w="540" w:space="160"/>
            <w:col w:w="940" w:space="220"/>
            <w:col w:w="999"/>
          </w:cols>
          <w:pgMar w:left="440" w:top="606" w:right="1440" w:bottom="1440" w:gutter="0" w:footer="0" w:header="0"/>
          <w:type w:val="continuous"/>
        </w:sectPr>
      </w:pPr>
    </w:p>
    <w:p>
      <w:pPr>
        <w:ind w:left="280"/>
        <w:spacing w:after="0"/>
        <w:rPr>
          <w:sz w:val="20"/>
          <w:szCs w:val="20"/>
          <w:color w:val="auto"/>
        </w:rPr>
      </w:pPr>
      <w:r>
        <w:rPr>
          <w:rFonts w:ascii="Arial" w:cs="Arial" w:eastAsia="Arial" w:hAnsi="Arial"/>
          <w:sz w:val="20"/>
          <w:szCs w:val="20"/>
          <w:color w:val="auto"/>
        </w:rPr>
        <w:t>borrowers and shareholders</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More relevant for borrowers due to broader platform</w:t>
      </w:r>
    </w:p>
    <w:p>
      <w:pPr>
        <w:spacing w:after="0" w:line="29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Larger float and liquidity for shareholders</w:t>
      </w:r>
    </w:p>
    <w:p>
      <w:pPr>
        <w:spacing w:after="0" w:line="29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Economies of scale</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Approximately 70% of MCGC’s assets are cash as of April 1, 2015</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20"/>
          <w:szCs w:val="20"/>
          <w:color w:val="auto"/>
        </w:rPr>
        <w:t>PFLT has valued each of MCGC’s four remaining investments and is comfortable with current marks</w:t>
      </w:r>
    </w:p>
    <w:p>
      <w:pPr>
        <w:spacing w:after="0" w:line="299" w:lineRule="exact"/>
        <w:rPr>
          <w:sz w:val="20"/>
          <w:szCs w:val="20"/>
          <w:color w:val="auto"/>
        </w:rPr>
      </w:pPr>
    </w:p>
    <w:p>
      <w:pPr>
        <w:ind w:left="780" w:right="1639"/>
        <w:spacing w:after="0" w:line="282" w:lineRule="auto"/>
        <w:rPr>
          <w:sz w:val="20"/>
          <w:szCs w:val="20"/>
          <w:color w:val="auto"/>
        </w:rPr>
      </w:pPr>
      <w:r>
        <w:rPr>
          <w:rFonts w:ascii="Arial" w:cs="Arial" w:eastAsia="Arial" w:hAnsi="Arial"/>
          <w:sz w:val="20"/>
          <w:szCs w:val="20"/>
          <w:color w:val="auto"/>
        </w:rPr>
        <w:t>All four investments are debt investments that have debt / EBITDA ratios below 4.0x, which is consistent with PFLT’s existing portfolio</w:t>
      </w:r>
    </w:p>
    <w:p>
      <w:pPr>
        <w:spacing w:after="0" w:line="200" w:lineRule="exact"/>
        <w:rPr>
          <w:sz w:val="20"/>
          <w:szCs w:val="20"/>
          <w:color w:val="auto"/>
        </w:rPr>
      </w:pPr>
    </w:p>
    <w:p>
      <w:pPr>
        <w:spacing w:after="0" w:line="233" w:lineRule="exact"/>
        <w:rPr>
          <w:sz w:val="20"/>
          <w:szCs w:val="20"/>
          <w:color w:val="auto"/>
        </w:rPr>
      </w:pPr>
    </w:p>
    <w:p>
      <w:pPr>
        <w:ind w:left="260" w:hanging="254"/>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Represents 51 publicly traded BDCs. Market data as of 4/24/15.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260" w:type="dxa"/>
            <w:vAlign w:val="bottom"/>
          </w:tcPr>
          <w:p>
            <w:pPr>
              <w:spacing w:after="0"/>
              <w:rPr>
                <w:sz w:val="20"/>
                <w:szCs w:val="20"/>
                <w:color w:val="auto"/>
              </w:rPr>
            </w:pPr>
            <w:r>
              <w:rPr>
                <w:rFonts w:ascii="Arial" w:cs="Arial" w:eastAsia="Arial" w:hAnsi="Arial"/>
                <w:sz w:val="11"/>
                <w:szCs w:val="11"/>
                <w:color w:val="auto"/>
              </w:rPr>
              <w:t>(2)   Includes SUNS, FSFR and ACSF. Market data as of 4/24/15.</w:t>
            </w:r>
          </w:p>
        </w:tc>
        <w:tc>
          <w:tcPr>
            <w:tcW w:w="3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1"/>
        </w:trPr>
        <w:tc>
          <w:tcPr>
            <w:tcW w:w="626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606"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65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4405" cy="4651375"/>
                    </a:xfrm>
                    <a:prstGeom prst="rect">
                      <a:avLst/>
                    </a:prstGeom>
                    <a:noFill/>
                  </pic:spPr>
                </pic:pic>
              </a:graphicData>
            </a:graphic>
          </wp:anchor>
        </w:drawing>
        <w:t>Transaction Summary</w:t>
      </w:r>
    </w:p>
    <w:p>
      <w:pPr>
        <w:sectPr>
          <w:pgSz w:w="11900" w:h="16838" w:orient="portrait"/>
          <w:cols w:equalWidth="0" w:num="1">
            <w:col w:w="10019"/>
          </w:cols>
          <w:pgMar w:left="440" w:top="6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spacing w:after="0" w:line="303" w:lineRule="auto"/>
        <w:rPr>
          <w:sz w:val="20"/>
          <w:szCs w:val="20"/>
          <w:color w:val="auto"/>
        </w:rPr>
      </w:pPr>
      <w:r>
        <w:rPr>
          <w:rFonts w:ascii="Arial" w:cs="Arial" w:eastAsia="Arial" w:hAnsi="Arial"/>
          <w:sz w:val="15"/>
          <w:szCs w:val="15"/>
          <w:b w:val="1"/>
          <w:bCs w:val="1"/>
          <w:color w:val="auto"/>
        </w:rPr>
        <w:t>Estimated Consideration Mix at Closing:</w:t>
      </w:r>
    </w:p>
    <w:p>
      <w:pPr>
        <w:spacing w:after="0" w:line="34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Aggregate</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Consideration:</w:t>
      </w:r>
    </w:p>
    <w:p>
      <w:pPr>
        <w:spacing w:after="0" w:line="200" w:lineRule="exact"/>
        <w:rPr>
          <w:sz w:val="20"/>
          <w:szCs w:val="20"/>
          <w:color w:val="auto"/>
        </w:rPr>
      </w:pPr>
    </w:p>
    <w:p>
      <w:pPr>
        <w:spacing w:after="0" w:line="37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Cash Consideration: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8" w:hanging="218"/>
        <w:spacing w:after="0"/>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$167 million in PFLT common stock ($4.521 per MCGC share)</w:t>
      </w:r>
    </w:p>
    <w:p>
      <w:pPr>
        <w:spacing w:after="0" w:line="74" w:lineRule="exact"/>
        <w:rPr>
          <w:rFonts w:ascii="Arial" w:cs="Arial" w:eastAsia="Arial" w:hAnsi="Arial"/>
          <w:sz w:val="14"/>
          <w:szCs w:val="14"/>
          <w:color w:val="092881"/>
        </w:rPr>
      </w:pPr>
    </w:p>
    <w:p>
      <w:pPr>
        <w:ind w:left="218" w:right="1719" w:hanging="218"/>
        <w:spacing w:after="0" w:line="278" w:lineRule="auto"/>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$8 million in cash contribution from PennantPark Investment Advisers, LLC (the “Adviser”) ($0.226 per MCGC share)</w:t>
      </w:r>
    </w:p>
    <w:p>
      <w:pPr>
        <w:spacing w:after="0" w:line="341" w:lineRule="exact"/>
        <w:rPr>
          <w:rFonts w:ascii="Arial" w:cs="Arial" w:eastAsia="Arial" w:hAnsi="Arial"/>
          <w:sz w:val="14"/>
          <w:szCs w:val="14"/>
          <w:color w:val="092881"/>
        </w:rPr>
      </w:pPr>
    </w:p>
    <w:p>
      <w:pPr>
        <w:ind w:left="218" w:hanging="218"/>
        <w:spacing w:after="0"/>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$175 million</w:t>
      </w:r>
    </w:p>
    <w:p>
      <w:pPr>
        <w:spacing w:after="0" w:line="380" w:lineRule="exact"/>
        <w:rPr>
          <w:rFonts w:ascii="Arial" w:cs="Arial" w:eastAsia="Arial" w:hAnsi="Arial"/>
          <w:sz w:val="14"/>
          <w:szCs w:val="14"/>
          <w:color w:val="092881"/>
        </w:rPr>
      </w:pPr>
    </w:p>
    <w:p>
      <w:pPr>
        <w:ind w:left="218" w:hanging="218"/>
        <w:spacing w:after="0"/>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Floating, based on value of $4.521 per share of MCGC common stock</w:t>
      </w:r>
    </w:p>
    <w:p>
      <w:pPr>
        <w:spacing w:after="0" w:line="74" w:lineRule="exact"/>
        <w:rPr>
          <w:rFonts w:ascii="Arial" w:cs="Arial" w:eastAsia="Arial" w:hAnsi="Arial"/>
          <w:sz w:val="14"/>
          <w:szCs w:val="14"/>
          <w:color w:val="092881"/>
        </w:rPr>
      </w:pPr>
    </w:p>
    <w:p>
      <w:pPr>
        <w:ind w:left="218" w:right="1219" w:hanging="218"/>
        <w:spacing w:after="0" w:line="269" w:lineRule="auto"/>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PFLT common stock to be valued at the greater of NAV and the 10 day volume-weighted average price (“VWAP”) per share of PFLT common stock prior to the second trading day prior to closing</w:t>
      </w:r>
    </w:p>
    <w:p>
      <w:pPr>
        <w:spacing w:after="0" w:line="78" w:lineRule="exact"/>
        <w:rPr>
          <w:rFonts w:ascii="Arial" w:cs="Arial" w:eastAsia="Arial" w:hAnsi="Arial"/>
          <w:sz w:val="14"/>
          <w:szCs w:val="14"/>
          <w:color w:val="092881"/>
        </w:rPr>
      </w:pPr>
    </w:p>
    <w:p>
      <w:pPr>
        <w:ind w:left="218" w:right="1259" w:hanging="218"/>
        <w:spacing w:after="0" w:line="278" w:lineRule="auto"/>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$0.226 per share of MCGC common stock (approximately $8 million in the aggregate), paid by the Adviser</w:t>
      </w:r>
    </w:p>
    <w:p>
      <w:pPr>
        <w:spacing w:after="0" w:line="35" w:lineRule="exact"/>
        <w:rPr>
          <w:rFonts w:ascii="Arial" w:cs="Arial" w:eastAsia="Arial" w:hAnsi="Arial"/>
          <w:sz w:val="14"/>
          <w:szCs w:val="14"/>
          <w:color w:val="092881"/>
        </w:rPr>
      </w:pPr>
    </w:p>
    <w:p>
      <w:pPr>
        <w:ind w:left="218" w:right="1339" w:hanging="218"/>
        <w:spacing w:after="0" w:line="269" w:lineRule="auto"/>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The Adviser will contribute up to an additional $0.25 per PFLT share issued in this transaction to the extent PFLT’s 10 day VWAP as calculated above is less than PFLT NAV</w:t>
      </w:r>
    </w:p>
    <w:p>
      <w:pPr>
        <w:spacing w:after="0" w:line="78" w:lineRule="exact"/>
        <w:rPr>
          <w:rFonts w:ascii="Arial" w:cs="Arial" w:eastAsia="Arial" w:hAnsi="Arial"/>
          <w:sz w:val="14"/>
          <w:szCs w:val="14"/>
          <w:color w:val="092881"/>
        </w:rPr>
      </w:pPr>
    </w:p>
    <w:p>
      <w:pPr>
        <w:ind w:left="218" w:hanging="218"/>
        <w:spacing w:after="0"/>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The Adviser to remain as external manager of the combined company</w:t>
      </w:r>
    </w:p>
    <w:p>
      <w:pPr>
        <w:spacing w:after="0" w:line="74" w:lineRule="exact"/>
        <w:rPr>
          <w:rFonts w:ascii="Arial" w:cs="Arial" w:eastAsia="Arial" w:hAnsi="Arial"/>
          <w:sz w:val="14"/>
          <w:szCs w:val="14"/>
          <w:color w:val="092881"/>
        </w:rPr>
      </w:pPr>
    </w:p>
    <w:p>
      <w:pPr>
        <w:ind w:left="218" w:right="999" w:hanging="218"/>
        <w:spacing w:after="0" w:line="278" w:lineRule="auto"/>
        <w:tabs>
          <w:tab w:leader="none" w:pos="218" w:val="left"/>
        </w:tabs>
        <w:numPr>
          <w:ilvl w:val="0"/>
          <w:numId w:val="2"/>
        </w:numPr>
        <w:rPr>
          <w:rFonts w:ascii="Arial" w:cs="Arial" w:eastAsia="Arial" w:hAnsi="Arial"/>
          <w:sz w:val="14"/>
          <w:szCs w:val="14"/>
          <w:color w:val="092881"/>
        </w:rPr>
      </w:pPr>
      <w:r>
        <w:rPr>
          <w:rFonts w:ascii="Arial" w:cs="Arial" w:eastAsia="Arial" w:hAnsi="Arial"/>
          <w:sz w:val="15"/>
          <w:szCs w:val="15"/>
          <w:color w:val="auto"/>
        </w:rPr>
        <w:t>Two members of the MCGC Board of Directors expected to join PFLT Board of Directors at closing</w:t>
      </w:r>
    </w:p>
    <w:p>
      <w:pPr>
        <w:spacing w:after="0" w:line="200" w:lineRule="exact"/>
        <w:rPr>
          <w:sz w:val="20"/>
          <w:szCs w:val="20"/>
          <w:color w:val="auto"/>
        </w:rPr>
      </w:pPr>
    </w:p>
    <w:p>
      <w:pPr>
        <w:sectPr>
          <w:pgSz w:w="11900" w:h="16838" w:orient="portrait"/>
          <w:cols w:equalWidth="0" w:num="2">
            <w:col w:w="2400" w:space="322"/>
            <w:col w:w="7298"/>
          </w:cols>
          <w:pgMar w:left="440" w:top="606" w:right="1440" w:bottom="1440" w:gutter="0" w:footer="0" w:header="0"/>
          <w:type w:val="continuous"/>
        </w:sectPr>
      </w:pPr>
    </w:p>
    <w:p>
      <w:pPr>
        <w:spacing w:after="0" w:line="64" w:lineRule="exact"/>
        <w:rPr>
          <w:sz w:val="20"/>
          <w:szCs w:val="20"/>
          <w:color w:val="auto"/>
        </w:rPr>
      </w:pPr>
    </w:p>
    <w:p>
      <w:pPr>
        <w:ind w:left="600"/>
        <w:spacing w:after="0"/>
        <w:tabs>
          <w:tab w:leader="none" w:pos="2700" w:val="left"/>
          <w:tab w:leader="none" w:pos="2920" w:val="left"/>
        </w:tabs>
        <w:rPr>
          <w:sz w:val="20"/>
          <w:szCs w:val="20"/>
          <w:color w:val="auto"/>
        </w:rPr>
      </w:pPr>
      <w:r>
        <w:rPr>
          <w:rFonts w:ascii="Arial" w:cs="Arial" w:eastAsia="Arial" w:hAnsi="Arial"/>
          <w:sz w:val="15"/>
          <w:szCs w:val="15"/>
          <w:b w:val="1"/>
          <w:bCs w:val="1"/>
          <w:color w:val="auto"/>
        </w:rPr>
        <w:t>Expected Closing:</w:t>
      </w:r>
      <w:r>
        <w:rPr>
          <w:sz w:val="20"/>
          <w:szCs w:val="20"/>
          <w:color w:val="auto"/>
        </w:rPr>
        <w:tab/>
      </w:r>
      <w:r>
        <w:rPr>
          <w:rFonts w:ascii="Arial" w:cs="Arial" w:eastAsia="Arial" w:hAnsi="Arial"/>
          <w:sz w:val="14"/>
          <w:szCs w:val="14"/>
          <w:color w:val="092881"/>
        </w:rPr>
        <w:t>•</w:t>
      </w:r>
      <w:r>
        <w:rPr>
          <w:sz w:val="20"/>
          <w:szCs w:val="20"/>
          <w:color w:val="auto"/>
        </w:rPr>
        <w:tab/>
      </w:r>
      <w:r>
        <w:rPr>
          <w:rFonts w:ascii="Arial" w:cs="Arial" w:eastAsia="Arial" w:hAnsi="Arial"/>
          <w:sz w:val="15"/>
          <w:szCs w:val="15"/>
          <w:color w:val="auto"/>
        </w:rPr>
        <w:t>Q3 2015</w:t>
      </w:r>
    </w:p>
    <w:p>
      <w:pPr>
        <w:spacing w:after="0" w:line="200" w:lineRule="exact"/>
        <w:rPr>
          <w:sz w:val="20"/>
          <w:szCs w:val="20"/>
          <w:color w:val="auto"/>
        </w:rPr>
      </w:pPr>
    </w:p>
    <w:p>
      <w:pPr>
        <w:spacing w:after="0" w:line="321" w:lineRule="exact"/>
        <w:rPr>
          <w:sz w:val="20"/>
          <w:szCs w:val="20"/>
          <w:color w:val="auto"/>
        </w:rPr>
      </w:pPr>
    </w:p>
    <w:p>
      <w:pPr>
        <w:ind w:left="600"/>
        <w:spacing w:after="0"/>
        <w:tabs>
          <w:tab w:leader="none" w:pos="2700" w:val="left"/>
          <w:tab w:leader="none" w:pos="2920" w:val="left"/>
        </w:tabs>
        <w:rPr>
          <w:sz w:val="20"/>
          <w:szCs w:val="20"/>
          <w:color w:val="auto"/>
        </w:rPr>
      </w:pPr>
      <w:r>
        <w:rPr>
          <w:rFonts w:ascii="Arial" w:cs="Arial" w:eastAsia="Arial" w:hAnsi="Arial"/>
          <w:sz w:val="15"/>
          <w:szCs w:val="15"/>
          <w:b w:val="1"/>
          <w:bCs w:val="1"/>
          <w:color w:val="auto"/>
        </w:rPr>
        <w:t>Required Approvals:</w:t>
      </w:r>
      <w:r>
        <w:rPr>
          <w:sz w:val="20"/>
          <w:szCs w:val="20"/>
          <w:color w:val="auto"/>
        </w:rPr>
        <w:tab/>
      </w:r>
      <w:r>
        <w:rPr>
          <w:rFonts w:ascii="Arial" w:cs="Arial" w:eastAsia="Arial" w:hAnsi="Arial"/>
          <w:sz w:val="14"/>
          <w:szCs w:val="14"/>
          <w:color w:val="092881"/>
        </w:rPr>
        <w:t>•</w:t>
      </w:r>
      <w:r>
        <w:rPr>
          <w:sz w:val="20"/>
          <w:szCs w:val="20"/>
          <w:color w:val="auto"/>
        </w:rPr>
        <w:tab/>
      </w:r>
      <w:r>
        <w:rPr>
          <w:rFonts w:ascii="Arial" w:cs="Arial" w:eastAsia="Arial" w:hAnsi="Arial"/>
          <w:sz w:val="15"/>
          <w:szCs w:val="15"/>
          <w:color w:val="auto"/>
        </w:rPr>
        <w:t>Approval of both MCGC and PFLT stockholders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99"/>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0019"/>
          </w:cols>
          <w:pgMar w:left="440" w:top="606"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711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4405" cy="4711065"/>
                    </a:xfrm>
                    <a:prstGeom prst="rect">
                      <a:avLst/>
                    </a:prstGeom>
                    <a:noFill/>
                  </pic:spPr>
                </pic:pic>
              </a:graphicData>
            </a:graphic>
          </wp:anchor>
        </w:drawing>
        <w:t>Key Benefits of Combination and Synergies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Almost doubles market capitalization, creating more float and liquidity for shareholders</w:t>
      </w: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Elimination of duplicative public company expenses</w:t>
      </w: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Increases scale and competitive relevance with financial sponsors and other borrowers</w:t>
      </w:r>
    </w:p>
    <w:p>
      <w:pPr>
        <w:spacing w:after="0" w:line="200" w:lineRule="exact"/>
        <w:rPr>
          <w:sz w:val="20"/>
          <w:szCs w:val="20"/>
          <w:color w:val="auto"/>
        </w:rPr>
      </w:pPr>
    </w:p>
    <w:p>
      <w:pPr>
        <w:spacing w:after="0" w:line="346" w:lineRule="exact"/>
        <w:rPr>
          <w:sz w:val="20"/>
          <w:szCs w:val="20"/>
          <w:color w:val="auto"/>
        </w:rPr>
      </w:pPr>
    </w:p>
    <w:p>
      <w:pPr>
        <w:ind w:left="320" w:right="1699"/>
        <w:spacing w:after="0" w:line="282" w:lineRule="auto"/>
        <w:rPr>
          <w:sz w:val="20"/>
          <w:szCs w:val="20"/>
          <w:color w:val="auto"/>
        </w:rPr>
      </w:pPr>
      <w:r>
        <w:rPr>
          <w:rFonts w:ascii="Arial" w:cs="Arial" w:eastAsia="Arial" w:hAnsi="Arial"/>
          <w:sz w:val="20"/>
          <w:szCs w:val="20"/>
          <w:color w:val="auto"/>
        </w:rPr>
        <w:t>Larger asset base enables greater diversification within the overall portfolio as well as economies of scale</w:t>
      </w: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Enhanced scale benefiting float and liquidity while spreading fixed costs over a larger asset base</w:t>
      </w:r>
    </w:p>
    <w:p>
      <w:pPr>
        <w:spacing w:after="0" w:line="200" w:lineRule="exact"/>
        <w:rPr>
          <w:sz w:val="20"/>
          <w:szCs w:val="20"/>
          <w:color w:val="auto"/>
        </w:rPr>
      </w:pPr>
    </w:p>
    <w:p>
      <w:pPr>
        <w:spacing w:after="0" w:line="346" w:lineRule="exact"/>
        <w:rPr>
          <w:sz w:val="20"/>
          <w:szCs w:val="20"/>
          <w:color w:val="auto"/>
        </w:rPr>
      </w:pPr>
    </w:p>
    <w:p>
      <w:pPr>
        <w:ind w:left="320" w:right="359"/>
        <w:spacing w:after="0" w:line="282" w:lineRule="auto"/>
        <w:rPr>
          <w:sz w:val="20"/>
          <w:szCs w:val="20"/>
          <w:color w:val="auto"/>
        </w:rPr>
      </w:pPr>
      <w:r>
        <w:rPr>
          <w:rFonts w:ascii="Arial" w:cs="Arial" w:eastAsia="Arial" w:hAnsi="Arial"/>
          <w:sz w:val="20"/>
          <w:szCs w:val="20"/>
          <w:color w:val="auto"/>
        </w:rPr>
        <w:t>Serves as a “synthetic equity” raise without NAV dilution to PFLT shareholders (before typical deal expenses)</w:t>
      </w:r>
    </w:p>
    <w:p>
      <w:pPr>
        <w:spacing w:after="0" w:line="200" w:lineRule="exact"/>
        <w:rPr>
          <w:sz w:val="20"/>
          <w:szCs w:val="20"/>
          <w:color w:val="auto"/>
        </w:rPr>
      </w:pPr>
    </w:p>
    <w:p>
      <w:pPr>
        <w:spacing w:after="0" w:line="282" w:lineRule="exact"/>
        <w:rPr>
          <w:sz w:val="20"/>
          <w:szCs w:val="20"/>
          <w:color w:val="auto"/>
        </w:rPr>
      </w:pPr>
    </w:p>
    <w:p>
      <w:pPr>
        <w:ind w:left="320" w:right="1559"/>
        <w:spacing w:after="0" w:line="282" w:lineRule="auto"/>
        <w:rPr>
          <w:sz w:val="20"/>
          <w:szCs w:val="20"/>
          <w:color w:val="auto"/>
        </w:rPr>
      </w:pPr>
      <w:r>
        <w:rPr>
          <w:rFonts w:ascii="Arial" w:cs="Arial" w:eastAsia="Arial" w:hAnsi="Arial"/>
          <w:sz w:val="20"/>
          <w:szCs w:val="20"/>
          <w:color w:val="auto"/>
        </w:rPr>
        <w:t>Permits MCGC stockholders to maintain ongoing participation in the combined company and resume monthly dividend participation</w:t>
      </w:r>
    </w:p>
    <w:p>
      <w:pPr>
        <w:spacing w:after="0" w:line="71" w:lineRule="exact"/>
        <w:rPr>
          <w:sz w:val="20"/>
          <w:szCs w:val="20"/>
          <w:color w:val="auto"/>
        </w:rPr>
      </w:pPr>
    </w:p>
    <w:p>
      <w:pPr>
        <w:ind w:left="3340" w:right="1459" w:hanging="2868"/>
        <w:spacing w:after="0" w:line="282" w:lineRule="auto"/>
        <w:rPr>
          <w:sz w:val="20"/>
          <w:szCs w:val="20"/>
          <w:color w:val="auto"/>
        </w:rPr>
      </w:pPr>
      <w:r>
        <w:rPr>
          <w:rFonts w:ascii="Arial" w:cs="Arial" w:eastAsia="Arial" w:hAnsi="Arial"/>
          <w:sz w:val="20"/>
          <w:szCs w:val="20"/>
          <w:b w:val="1"/>
          <w:bCs w:val="1"/>
          <w:i w:val="1"/>
          <w:iCs w:val="1"/>
          <w:color w:val="FFFFFF"/>
        </w:rPr>
        <w:t>Shareholders will continue to benefit from a proven credit manager that has had a track record of consistent and growing dividends</w:t>
      </w:r>
    </w:p>
    <w:p>
      <w:pPr>
        <w:spacing w:after="0" w:line="200" w:lineRule="exact"/>
        <w:rPr>
          <w:sz w:val="20"/>
          <w:szCs w:val="20"/>
          <w:color w:val="auto"/>
        </w:rPr>
      </w:pPr>
    </w:p>
    <w:p>
      <w:pPr>
        <w:spacing w:after="0" w:line="205"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9999"/>
          </w:cols>
          <w:pgMar w:left="460" w:top="606" w:right="1440" w:bottom="1440" w:gutter="0" w:footer="0" w:header="0"/>
        </w:sectPr>
      </w:pPr>
    </w:p>
    <w:bookmarkStart w:id="6" w:name="page7"/>
    <w:bookmarkEnd w:id="6"/>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479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4405" cy="4479290"/>
                    </a:xfrm>
                    <a:prstGeom prst="rect">
                      <a:avLst/>
                    </a:prstGeom>
                    <a:noFill/>
                  </pic:spPr>
                </pic:pic>
              </a:graphicData>
            </a:graphic>
          </wp:anchor>
        </w:drawing>
        <w:t>PFLT and MCGC Combined</w:t>
      </w:r>
    </w:p>
    <w:p>
      <w:pPr>
        <w:spacing w:after="0" w:line="200" w:lineRule="exact"/>
        <w:rPr>
          <w:sz w:val="20"/>
          <w:szCs w:val="20"/>
          <w:color w:val="auto"/>
        </w:rPr>
      </w:pPr>
    </w:p>
    <w:p>
      <w:pPr>
        <w:spacing w:after="0" w:line="341"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2940" w:type="dxa"/>
            <w:vAlign w:val="bottom"/>
          </w:tcPr>
          <w:p>
            <w:pPr>
              <w:ind w:left="1880"/>
              <w:spacing w:after="0"/>
              <w:rPr>
                <w:sz w:val="20"/>
                <w:szCs w:val="20"/>
                <w:color w:val="auto"/>
              </w:rPr>
            </w:pPr>
            <w:r>
              <w:rPr>
                <w:rFonts w:ascii="Arial" w:cs="Arial" w:eastAsia="Arial" w:hAnsi="Arial"/>
                <w:sz w:val="18"/>
                <w:szCs w:val="18"/>
                <w:b w:val="1"/>
                <w:bCs w:val="1"/>
                <w:color w:val="FFFFFF"/>
              </w:rPr>
              <w:t>PFLT</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tcPr>
          <w:p>
            <w:pPr>
              <w:ind w:left="2060"/>
              <w:spacing w:after="0"/>
              <w:rPr>
                <w:sz w:val="20"/>
                <w:szCs w:val="20"/>
                <w:color w:val="auto"/>
              </w:rPr>
            </w:pPr>
            <w:r>
              <w:rPr>
                <w:rFonts w:ascii="Arial" w:cs="Arial" w:eastAsia="Arial" w:hAnsi="Arial"/>
                <w:sz w:val="18"/>
                <w:szCs w:val="18"/>
                <w:b w:val="1"/>
                <w:bCs w:val="1"/>
                <w:color w:val="FFFFFF"/>
              </w:rPr>
              <w:t>MCGC</w:t>
            </w:r>
          </w:p>
        </w:tc>
        <w:tc>
          <w:tcPr>
            <w:tcW w:w="0" w:type="dxa"/>
            <w:vAlign w:val="bottom"/>
          </w:tcPr>
          <w:p>
            <w:pPr>
              <w:spacing w:after="0"/>
              <w:rPr>
                <w:sz w:val="1"/>
                <w:szCs w:val="1"/>
                <w:color w:val="auto"/>
              </w:rPr>
            </w:pPr>
          </w:p>
        </w:tc>
      </w:tr>
      <w:tr>
        <w:trPr>
          <w:trHeight w:val="388"/>
        </w:trPr>
        <w:tc>
          <w:tcPr>
            <w:tcW w:w="2940" w:type="dxa"/>
            <w:vAlign w:val="bottom"/>
          </w:tcPr>
          <w:p>
            <w:pPr>
              <w:spacing w:after="0"/>
              <w:rPr>
                <w:sz w:val="20"/>
                <w:szCs w:val="20"/>
                <w:color w:val="auto"/>
              </w:rPr>
            </w:pPr>
            <w:r>
              <w:rPr>
                <w:rFonts w:ascii="Arial" w:cs="Arial" w:eastAsia="Arial" w:hAnsi="Arial"/>
                <w:sz w:val="18"/>
                <w:szCs w:val="18"/>
                <w:color w:val="auto"/>
                <w:w w:val="99"/>
              </w:rPr>
              <w:t>Externally managed by PennantPark</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Internally managed</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w w:val="99"/>
              </w:rPr>
              <w:t>$343 million investment portfolio at value on balance</w:t>
            </w:r>
          </w:p>
        </w:tc>
        <w:tc>
          <w:tcPr>
            <w:tcW w:w="50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w w:val="95"/>
              </w:rPr>
              <w:t xml:space="preserve">$50 million investment  portfolio on balance sheet </w:t>
            </w:r>
            <w:r>
              <w:rPr>
                <w:rFonts w:ascii="Arial" w:cs="Arial" w:eastAsia="Arial" w:hAnsi="Arial"/>
                <w:sz w:val="10"/>
                <w:szCs w:val="10"/>
                <w:color w:val="auto"/>
                <w:w w:val="95"/>
              </w:rPr>
              <w:t>(2)</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r>
              <w:rPr>
                <w:rFonts w:ascii="Arial" w:cs="Arial" w:eastAsia="Arial" w:hAnsi="Arial"/>
                <w:sz w:val="18"/>
                <w:szCs w:val="18"/>
                <w:color w:val="auto"/>
              </w:rPr>
              <w:t xml:space="preserve">sheet </w:t>
            </w:r>
            <w:r>
              <w:rPr>
                <w:rFonts w:ascii="Arial" w:cs="Arial" w:eastAsia="Arial" w:hAnsi="Arial"/>
                <w:sz w:val="10"/>
                <w:szCs w:val="10"/>
                <w:color w:val="auto"/>
              </w:rPr>
              <w:t>(1)</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 xml:space="preserve">Cash position of $116 million  </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0"/>
        </w:trPr>
        <w:tc>
          <w:tcPr>
            <w:tcW w:w="4180" w:type="dxa"/>
            <w:vAlign w:val="bottom"/>
            <w:gridSpan w:val="3"/>
          </w:tcPr>
          <w:p>
            <w:pPr>
              <w:spacing w:after="0" w:line="200" w:lineRule="exact"/>
              <w:rPr>
                <w:sz w:val="20"/>
                <w:szCs w:val="20"/>
                <w:color w:val="auto"/>
              </w:rPr>
            </w:pPr>
            <w:r>
              <w:rPr>
                <w:rFonts w:ascii="Arial" w:cs="Arial" w:eastAsia="Arial" w:hAnsi="Arial"/>
                <w:sz w:val="18"/>
                <w:szCs w:val="18"/>
                <w:color w:val="auto"/>
                <w:w w:val="94"/>
              </w:rPr>
              <w:t>72 portfolio companies across 21 different industries on</w:t>
            </w:r>
          </w:p>
        </w:tc>
        <w:tc>
          <w:tcPr>
            <w:tcW w:w="500" w:type="dxa"/>
            <w:vAlign w:val="bottom"/>
          </w:tcPr>
          <w:p>
            <w:pPr>
              <w:spacing w:after="0"/>
              <w:rPr>
                <w:sz w:val="17"/>
                <w:szCs w:val="17"/>
                <w:color w:val="auto"/>
              </w:rPr>
            </w:pPr>
          </w:p>
        </w:tc>
        <w:tc>
          <w:tcPr>
            <w:tcW w:w="4180" w:type="dxa"/>
            <w:vAlign w:val="bottom"/>
          </w:tcPr>
          <w:p>
            <w:pPr>
              <w:ind w:left="220"/>
              <w:spacing w:after="0" w:line="200" w:lineRule="exact"/>
              <w:rPr>
                <w:sz w:val="20"/>
                <w:szCs w:val="20"/>
                <w:color w:val="auto"/>
              </w:rPr>
            </w:pPr>
            <w:r>
              <w:rPr>
                <w:rFonts w:ascii="Arial" w:cs="Arial" w:eastAsia="Arial" w:hAnsi="Arial"/>
                <w:sz w:val="18"/>
                <w:szCs w:val="18"/>
                <w:color w:val="auto"/>
                <w:w w:val="92"/>
              </w:rPr>
              <w:t>Portfolio of 4 debt securities with debt / EBITDA ratios</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r>
              <w:rPr>
                <w:rFonts w:ascii="Arial" w:cs="Arial" w:eastAsia="Arial" w:hAnsi="Arial"/>
                <w:sz w:val="18"/>
                <w:szCs w:val="18"/>
                <w:color w:val="auto"/>
              </w:rPr>
              <w:t xml:space="preserve">balance sheet  </w:t>
            </w:r>
            <w:r>
              <w:rPr>
                <w:rFonts w:ascii="Arial" w:cs="Arial" w:eastAsia="Arial" w:hAnsi="Arial"/>
                <w:sz w:val="10"/>
                <w:szCs w:val="10"/>
                <w:color w:val="auto"/>
              </w:rPr>
              <w:t>(1)</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 xml:space="preserve">under 4.0x </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6"/>
        </w:trPr>
        <w:tc>
          <w:tcPr>
            <w:tcW w:w="2940" w:type="dxa"/>
            <w:vAlign w:val="bottom"/>
          </w:tcPr>
          <w:p>
            <w:pPr>
              <w:spacing w:after="0" w:line="136" w:lineRule="exact"/>
              <w:rPr>
                <w:sz w:val="20"/>
                <w:szCs w:val="20"/>
                <w:color w:val="auto"/>
              </w:rPr>
            </w:pPr>
            <w:r>
              <w:rPr>
                <w:rFonts w:ascii="Arial" w:cs="Arial" w:eastAsia="Arial" w:hAnsi="Arial"/>
                <w:sz w:val="15"/>
                <w:szCs w:val="15"/>
                <w:color w:val="auto"/>
              </w:rPr>
              <w:t>Average investment size of $4.8 million</w:t>
            </w:r>
          </w:p>
        </w:tc>
        <w:tc>
          <w:tcPr>
            <w:tcW w:w="500" w:type="dxa"/>
            <w:vAlign w:val="bottom"/>
            <w:vMerge w:val="restart"/>
          </w:tcPr>
          <w:p>
            <w:pPr>
              <w:jc w:val="right"/>
              <w:ind w:right="207"/>
              <w:spacing w:after="0"/>
              <w:rPr>
                <w:sz w:val="20"/>
                <w:szCs w:val="20"/>
                <w:color w:val="auto"/>
              </w:rPr>
            </w:pPr>
            <w:r>
              <w:rPr>
                <w:rFonts w:ascii="Arial" w:cs="Arial" w:eastAsia="Arial" w:hAnsi="Arial"/>
                <w:sz w:val="11"/>
                <w:szCs w:val="11"/>
                <w:color w:val="auto"/>
              </w:rPr>
              <w:t>(1)</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180" w:type="dxa"/>
            <w:vAlign w:val="bottom"/>
          </w:tcPr>
          <w:p>
            <w:pPr>
              <w:ind w:left="220"/>
              <w:spacing w:after="0" w:line="136" w:lineRule="exact"/>
              <w:rPr>
                <w:sz w:val="20"/>
                <w:szCs w:val="20"/>
                <w:color w:val="auto"/>
              </w:rPr>
            </w:pPr>
            <w:r>
              <w:rPr>
                <w:rFonts w:ascii="Arial" w:cs="Arial" w:eastAsia="Arial" w:hAnsi="Arial"/>
                <w:sz w:val="15"/>
                <w:szCs w:val="15"/>
                <w:color w:val="auto"/>
              </w:rPr>
              <w:t>Has been in the process of liquidating its portfolio and</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940" w:type="dxa"/>
            <w:vAlign w:val="bottom"/>
          </w:tcPr>
          <w:p>
            <w:pPr>
              <w:spacing w:after="0"/>
              <w:rPr>
                <w:sz w:val="20"/>
                <w:szCs w:val="20"/>
                <w:color w:val="auto"/>
              </w:rPr>
            </w:pPr>
            <w:r>
              <w:rPr>
                <w:rFonts w:ascii="Arial" w:cs="Arial" w:eastAsia="Arial" w:hAnsi="Arial"/>
                <w:sz w:val="18"/>
                <w:szCs w:val="18"/>
                <w:color w:val="auto"/>
              </w:rPr>
              <w:t xml:space="preserve">95% floating rate investments   </w:t>
            </w:r>
            <w:r>
              <w:rPr>
                <w:rFonts w:ascii="Arial" w:cs="Arial" w:eastAsia="Arial" w:hAnsi="Arial"/>
                <w:sz w:val="10"/>
                <w:szCs w:val="10"/>
                <w:color w:val="auto"/>
              </w:rPr>
              <w:t>(1)</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w w:val="94"/>
              </w:rPr>
              <w:t>buying back stock via a December 2014 tender offer</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w w:val="97"/>
              </w:rPr>
              <w:t>PennantPark Investment Advisers, LLC has deployed</w:t>
            </w:r>
          </w:p>
        </w:tc>
        <w:tc>
          <w:tcPr>
            <w:tcW w:w="50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w w:val="91"/>
              </w:rPr>
              <w:t>Announced that it is exploring strategic alternatives on</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w w:val="90"/>
              </w:rPr>
              <w:t>over $4.3 billion across nearly 350 companies since 2007</w:t>
            </w:r>
          </w:p>
        </w:tc>
        <w:tc>
          <w:tcPr>
            <w:tcW w:w="500" w:type="dxa"/>
            <w:vAlign w:val="bottom"/>
          </w:tcPr>
          <w:p>
            <w:pPr>
              <w:jc w:val="right"/>
              <w:ind w:right="167"/>
              <w:spacing w:after="0"/>
              <w:rPr>
                <w:sz w:val="20"/>
                <w:szCs w:val="20"/>
                <w:color w:val="auto"/>
              </w:rPr>
            </w:pPr>
            <w:r>
              <w:rPr>
                <w:rFonts w:ascii="Arial" w:cs="Arial" w:eastAsia="Arial" w:hAnsi="Arial"/>
                <w:sz w:val="11"/>
                <w:szCs w:val="11"/>
                <w:color w:val="auto"/>
              </w:rPr>
              <w:t>(1)</w:t>
            </w:r>
          </w:p>
        </w:tc>
        <w:tc>
          <w:tcPr>
            <w:tcW w:w="4180" w:type="dxa"/>
            <w:vAlign w:val="bottom"/>
          </w:tcPr>
          <w:p>
            <w:pPr>
              <w:ind w:left="220"/>
              <w:spacing w:after="0"/>
              <w:rPr>
                <w:sz w:val="20"/>
                <w:szCs w:val="20"/>
                <w:color w:val="auto"/>
              </w:rPr>
            </w:pPr>
            <w:r>
              <w:rPr>
                <w:rFonts w:ascii="Arial" w:cs="Arial" w:eastAsia="Arial" w:hAnsi="Arial"/>
                <w:sz w:val="18"/>
                <w:szCs w:val="18"/>
                <w:color w:val="auto"/>
              </w:rPr>
              <w:t>February 9, 2015</w:t>
            </w:r>
          </w:p>
        </w:tc>
        <w:tc>
          <w:tcPr>
            <w:tcW w:w="0" w:type="dxa"/>
            <w:vAlign w:val="bottom"/>
          </w:tcPr>
          <w:p>
            <w:pPr>
              <w:spacing w:after="0"/>
              <w:rPr>
                <w:sz w:val="1"/>
                <w:szCs w:val="1"/>
                <w:color w:val="auto"/>
              </w:rPr>
            </w:pP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w w:val="97"/>
              </w:rPr>
              <w:t>$200 million five-year credit facility at L+200</w:t>
            </w:r>
          </w:p>
        </w:tc>
        <w:tc>
          <w:tcPr>
            <w:tcW w:w="740" w:type="dxa"/>
            <w:vAlign w:val="bottom"/>
          </w:tcPr>
          <w:p>
            <w:pPr>
              <w:jc w:val="right"/>
              <w:ind w:right="527"/>
              <w:spacing w:after="0"/>
              <w:rPr>
                <w:sz w:val="20"/>
                <w:szCs w:val="20"/>
                <w:color w:val="auto"/>
              </w:rPr>
            </w:pPr>
            <w:r>
              <w:rPr>
                <w:rFonts w:ascii="Arial" w:cs="Arial" w:eastAsia="Arial" w:hAnsi="Arial"/>
                <w:sz w:val="11"/>
                <w:szCs w:val="11"/>
                <w:color w:val="auto"/>
              </w:rPr>
              <w:t>(1)</w:t>
            </w:r>
          </w:p>
        </w:tc>
        <w:tc>
          <w:tcPr>
            <w:tcW w:w="50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Founded in 1998, went public in 2001 and is</w:t>
            </w: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8"/>
                <w:szCs w:val="18"/>
                <w:color w:val="auto"/>
                <w:w w:val="95"/>
              </w:rPr>
              <w:t>Monthly dividends of $0.095 per share</w:t>
            </w: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headquartered in Arlington, VA</w:t>
            </w:r>
          </w:p>
        </w:tc>
        <w:tc>
          <w:tcPr>
            <w:tcW w:w="0" w:type="dxa"/>
            <w:vAlign w:val="bottom"/>
          </w:tcPr>
          <w:p>
            <w:pPr>
              <w:spacing w:after="0"/>
              <w:rPr>
                <w:sz w:val="1"/>
                <w:szCs w:val="1"/>
                <w:color w:val="auto"/>
              </w:rPr>
            </w:pP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w w:val="88"/>
              </w:rPr>
              <w:t>Leader in the externally managed BDC space as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w w:val="91"/>
              </w:rPr>
              <w:t>measured by expense ratio and efficiency ratio</w:t>
            </w:r>
          </w:p>
        </w:tc>
        <w:tc>
          <w:tcPr>
            <w:tcW w:w="740" w:type="dxa"/>
            <w:vAlign w:val="bottom"/>
          </w:tcPr>
          <w:p>
            <w:pPr>
              <w:jc w:val="right"/>
              <w:ind w:right="367"/>
              <w:spacing w:after="0"/>
              <w:rPr>
                <w:sz w:val="20"/>
                <w:szCs w:val="20"/>
                <w:color w:val="auto"/>
              </w:rPr>
            </w:pPr>
            <w:r>
              <w:rPr>
                <w:rFonts w:ascii="Arial" w:cs="Arial" w:eastAsia="Arial" w:hAnsi="Arial"/>
                <w:sz w:val="11"/>
                <w:szCs w:val="11"/>
                <w:color w:val="auto"/>
              </w:rPr>
              <w:t>(1)</w:t>
            </w:r>
          </w:p>
        </w:tc>
        <w:tc>
          <w:tcPr>
            <w:tcW w:w="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FFFFFF"/>
        </w:rPr>
        <w:t>PFLT and MCGC</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Larger market capitalization and greater trading liquidity for investors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Continued focus on middle market senior loans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Elimination of MCGC’s cost burden associated with being a standalone public entity</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Externally managed by PennantPark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560" w:type="dxa"/>
        <w:tblCellMar>
          <w:top w:w="0" w:type="dxa"/>
          <w:left w:w="0" w:type="dxa"/>
          <w:bottom w:w="0" w:type="dxa"/>
          <w:right w:w="0" w:type="dxa"/>
        </w:tblCellMar>
      </w:tblPr>
      <w:tr>
        <w:trPr>
          <w:trHeight w:val="177"/>
        </w:trPr>
        <w:tc>
          <w:tcPr>
            <w:tcW w:w="5000" w:type="dxa"/>
            <w:vAlign w:val="bottom"/>
          </w:tcPr>
          <w:p>
            <w:pPr>
              <w:spacing w:after="0"/>
              <w:rPr>
                <w:sz w:val="20"/>
                <w:szCs w:val="20"/>
                <w:color w:val="auto"/>
              </w:rPr>
            </w:pPr>
            <w:r>
              <w:rPr>
                <w:rFonts w:ascii="Arial" w:cs="Arial" w:eastAsia="Arial" w:hAnsi="Arial"/>
                <w:sz w:val="11"/>
                <w:szCs w:val="11"/>
                <w:color w:val="auto"/>
              </w:rPr>
              <w:t>1)   As of 12/31/14.</w:t>
            </w: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ind w:left="820" w:hanging="262"/>
        <w:spacing w:after="0" w:line="235" w:lineRule="auto"/>
        <w:tabs>
          <w:tab w:leader="none" w:pos="8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As of 3/31/15.</w:t>
      </w:r>
    </w:p>
    <w:p>
      <w:pPr>
        <w:sectPr>
          <w:pgSz w:w="11900" w:h="16838" w:orient="portrait"/>
          <w:cols w:equalWidth="0" w:num="1">
            <w:col w:w="10019"/>
          </w:cols>
          <w:pgMar w:left="440" w:top="606" w:right="1440" w:bottom="1440" w:gutter="0" w:footer="0" w:header="0"/>
        </w:sectPr>
      </w:pPr>
    </w:p>
    <w:bookmarkStart w:id="7" w:name="page8"/>
    <w:bookmarkEnd w:id="7"/>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681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4681220"/>
                    </a:xfrm>
                    <a:prstGeom prst="rect">
                      <a:avLst/>
                    </a:prstGeom>
                    <a:noFill/>
                  </pic:spPr>
                </pic:pic>
              </a:graphicData>
            </a:graphic>
          </wp:anchor>
        </w:drawing>
        <w:t>Value to MCGC Shareholders</w:t>
      </w:r>
    </w:p>
    <w:p>
      <w:pPr>
        <w:sectPr>
          <w:pgSz w:w="11900" w:h="16838" w:orient="portrait"/>
          <w:cols w:equalWidth="0" w:num="1">
            <w:col w:w="9919"/>
          </w:cols>
          <w:pgMar w:left="540" w:top="6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right="200" w:hanging="175"/>
        <w:spacing w:after="0" w:line="350" w:lineRule="auto"/>
        <w:rPr>
          <w:sz w:val="20"/>
          <w:szCs w:val="20"/>
          <w:color w:val="auto"/>
        </w:rPr>
      </w:pPr>
      <w:r>
        <w:rPr>
          <w:rFonts w:ascii="Arial" w:cs="Arial" w:eastAsia="Arial" w:hAnsi="Arial"/>
          <w:sz w:val="17"/>
          <w:szCs w:val="17"/>
          <w:b w:val="1"/>
          <w:bCs w:val="1"/>
          <w:color w:val="FFFFFF"/>
        </w:rPr>
        <w:t>Partnership with Best In-Class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PFLT has a shareholder friendly expense structure</w:t>
            </w:r>
          </w:p>
        </w:tc>
        <w:tc>
          <w:tcPr>
            <w:tcW w:w="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ind w:left="140"/>
              <w:spacing w:after="0"/>
              <w:rPr>
                <w:sz w:val="20"/>
                <w:szCs w:val="20"/>
                <w:color w:val="auto"/>
              </w:rPr>
            </w:pPr>
            <w:r>
              <w:rPr>
                <w:rFonts w:ascii="Arial" w:cs="Arial" w:eastAsia="Arial" w:hAnsi="Arial"/>
                <w:sz w:val="18"/>
                <w:szCs w:val="18"/>
                <w:color w:val="003768"/>
              </w:rPr>
              <w:t>–</w:t>
            </w:r>
          </w:p>
        </w:tc>
        <w:tc>
          <w:tcPr>
            <w:tcW w:w="3840" w:type="dxa"/>
            <w:vAlign w:val="bottom"/>
          </w:tcPr>
          <w:p>
            <w:pPr>
              <w:ind w:left="140"/>
              <w:spacing w:after="0"/>
              <w:rPr>
                <w:sz w:val="20"/>
                <w:szCs w:val="20"/>
                <w:color w:val="auto"/>
              </w:rPr>
            </w:pPr>
            <w:r>
              <w:rPr>
                <w:rFonts w:ascii="Arial" w:cs="Arial" w:eastAsia="Arial" w:hAnsi="Arial"/>
                <w:sz w:val="18"/>
                <w:szCs w:val="18"/>
                <w:color w:val="auto"/>
                <w:w w:val="90"/>
              </w:rPr>
              <w:t>One of the lowest cost BDCs relative to asset base</w:t>
            </w:r>
          </w:p>
        </w:tc>
        <w:tc>
          <w:tcPr>
            <w:tcW w:w="640" w:type="dxa"/>
            <w:vAlign w:val="bottom"/>
            <w:vMerge w:val="restart"/>
          </w:tcPr>
          <w:p>
            <w:pPr>
              <w:jc w:val="right"/>
              <w:ind w:right="307"/>
              <w:spacing w:after="0"/>
              <w:rPr>
                <w:sz w:val="20"/>
                <w:szCs w:val="20"/>
                <w:color w:val="auto"/>
              </w:rPr>
            </w:pPr>
            <w:r>
              <w:rPr>
                <w:rFonts w:ascii="Arial" w:cs="Arial" w:eastAsia="Arial" w:hAnsi="Arial"/>
                <w:sz w:val="11"/>
                <w:szCs w:val="11"/>
                <w:color w:val="auto"/>
              </w:rPr>
              <w:t>(1)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3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5"/>
        </w:trPr>
        <w:tc>
          <w:tcPr>
            <w:tcW w:w="4840" w:type="dxa"/>
            <w:vAlign w:val="bottom"/>
            <w:gridSpan w:val="3"/>
          </w:tcPr>
          <w:p>
            <w:pPr>
              <w:spacing w:after="0"/>
              <w:rPr>
                <w:sz w:val="20"/>
                <w:szCs w:val="20"/>
                <w:color w:val="auto"/>
              </w:rPr>
            </w:pPr>
            <w:r>
              <w:rPr>
                <w:rFonts w:ascii="Arial" w:cs="Arial" w:eastAsia="Arial" w:hAnsi="Arial"/>
                <w:sz w:val="18"/>
                <w:szCs w:val="18"/>
                <w:color w:val="auto"/>
                <w:w w:val="92"/>
              </w:rPr>
              <w:t>PFLT has the highest annual and total returns among the floating</w:t>
            </w:r>
          </w:p>
        </w:tc>
        <w:tc>
          <w:tcPr>
            <w:tcW w:w="1900" w:type="dxa"/>
            <w:vAlign w:val="bottom"/>
          </w:tcPr>
          <w:p>
            <w:pPr>
              <w:ind w:left="280"/>
              <w:spacing w:after="0"/>
              <w:rPr>
                <w:sz w:val="20"/>
                <w:szCs w:val="20"/>
                <w:color w:val="auto"/>
              </w:rPr>
            </w:pPr>
            <w:r>
              <w:rPr>
                <w:rFonts w:ascii="Arial" w:cs="Arial" w:eastAsia="Arial" w:hAnsi="Arial"/>
                <w:sz w:val="18"/>
                <w:szCs w:val="18"/>
                <w:color w:val="auto"/>
                <w:w w:val="91"/>
              </w:rPr>
              <w:t xml:space="preserve">rate-focused BDCs  </w:t>
            </w:r>
            <w:r>
              <w:rPr>
                <w:rFonts w:ascii="Arial" w:cs="Arial" w:eastAsia="Arial" w:hAnsi="Arial"/>
                <w:sz w:val="10"/>
                <w:szCs w:val="10"/>
                <w:color w:val="auto"/>
                <w:w w:val="91"/>
              </w:rPr>
              <w:t>(2)</w:t>
            </w:r>
          </w:p>
        </w:tc>
        <w:tc>
          <w:tcPr>
            <w:tcW w:w="0" w:type="dxa"/>
            <w:vAlign w:val="bottom"/>
          </w:tcPr>
          <w:p>
            <w:pPr>
              <w:spacing w:after="0"/>
              <w:rPr>
                <w:sz w:val="1"/>
                <w:szCs w:val="1"/>
                <w:color w:val="auto"/>
              </w:rPr>
            </w:pPr>
          </w:p>
        </w:tc>
      </w:tr>
    </w:tbl>
    <w:p>
      <w:pPr>
        <w:ind w:left="140"/>
        <w:spacing w:after="0" w:line="215" w:lineRule="auto"/>
        <w:rPr>
          <w:sz w:val="20"/>
          <w:szCs w:val="20"/>
          <w:color w:val="auto"/>
        </w:rPr>
      </w:pPr>
      <w:r>
        <w:rPr>
          <w:rFonts w:ascii="Arial" w:cs="Arial" w:eastAsia="Arial" w:hAnsi="Arial"/>
          <w:sz w:val="31"/>
          <w:szCs w:val="31"/>
          <w:color w:val="003768"/>
          <w:vertAlign w:val="subscript"/>
        </w:rPr>
        <w:t>–</w:t>
      </w:r>
      <w:r>
        <w:rPr>
          <w:rFonts w:ascii="Arial" w:cs="Arial" w:eastAsia="Arial" w:hAnsi="Arial"/>
          <w:sz w:val="16"/>
          <w:szCs w:val="16"/>
          <w:color w:val="auto"/>
        </w:rPr>
        <w:t xml:space="preserve">   Since 2013, PFLT has had a total return of 33% compared to a total return of 18% for the</w:t>
      </w:r>
    </w:p>
    <w:p>
      <w:pPr>
        <w:spacing w:after="0" w:line="1" w:lineRule="exact"/>
        <w:rPr>
          <w:sz w:val="20"/>
          <w:szCs w:val="20"/>
          <w:color w:val="auto"/>
        </w:rPr>
      </w:pPr>
    </w:p>
    <w:p>
      <w:pPr>
        <w:ind w:left="500"/>
        <w:spacing w:after="0"/>
        <w:tabs>
          <w:tab w:leader="none" w:pos="6240" w:val="left"/>
        </w:tabs>
        <w:rPr>
          <w:sz w:val="20"/>
          <w:szCs w:val="20"/>
          <w:color w:val="auto"/>
        </w:rPr>
      </w:pPr>
      <w:r>
        <w:rPr>
          <w:rFonts w:ascii="Arial" w:cs="Arial" w:eastAsia="Arial" w:hAnsi="Arial"/>
          <w:sz w:val="18"/>
          <w:szCs w:val="18"/>
          <w:color w:val="auto"/>
        </w:rPr>
        <w:t xml:space="preserve">BDC index </w:t>
      </w:r>
      <w:r>
        <w:rPr>
          <w:rFonts w:ascii="Arial" w:cs="Arial" w:eastAsia="Arial" w:hAnsi="Arial"/>
          <w:sz w:val="10"/>
          <w:szCs w:val="10"/>
          <w:color w:val="auto"/>
        </w:rPr>
        <w:t>(3)</w:t>
      </w:r>
      <w:r>
        <w:rPr>
          <w:rFonts w:ascii="Arial" w:cs="Arial" w:eastAsia="Arial" w:hAnsi="Arial"/>
          <w:sz w:val="18"/>
          <w:szCs w:val="18"/>
          <w:color w:val="auto"/>
        </w:rPr>
        <w:t xml:space="preserve"> and a total return of (2%) for the senior secured floating rate</w:t>
      </w:r>
      <w:r>
        <w:rPr>
          <w:sz w:val="20"/>
          <w:szCs w:val="20"/>
          <w:color w:val="auto"/>
        </w:rPr>
        <w:tab/>
      </w:r>
      <w:r>
        <w:rPr>
          <w:rFonts w:ascii="Arial" w:cs="Arial" w:eastAsia="Arial" w:hAnsi="Arial"/>
          <w:sz w:val="17"/>
          <w:szCs w:val="17"/>
          <w:color w:val="auto"/>
        </w:rPr>
        <w:t>BDCs</w:t>
      </w:r>
      <w:r>
        <w:rPr>
          <w:rFonts w:ascii="Arial" w:cs="Arial" w:eastAsia="Arial" w:hAnsi="Arial"/>
          <w:sz w:val="9"/>
          <w:szCs w:val="9"/>
          <w:color w:val="auto"/>
        </w:rPr>
        <w:t>(4)</w:t>
      </w:r>
    </w:p>
    <w:p>
      <w:pPr>
        <w:ind w:left="140"/>
        <w:spacing w:after="0" w:line="211" w:lineRule="auto"/>
        <w:rPr>
          <w:sz w:val="20"/>
          <w:szCs w:val="20"/>
          <w:color w:val="auto"/>
        </w:rPr>
      </w:pPr>
      <w:r>
        <w:rPr>
          <w:rFonts w:ascii="Arial" w:cs="Arial" w:eastAsia="Arial" w:hAnsi="Arial"/>
          <w:sz w:val="35"/>
          <w:szCs w:val="35"/>
          <w:color w:val="003768"/>
          <w:vertAlign w:val="subscript"/>
        </w:rPr>
        <w:t>–</w:t>
      </w:r>
      <w:r>
        <w:rPr>
          <w:rFonts w:ascii="Arial" w:cs="Arial" w:eastAsia="Arial" w:hAnsi="Arial"/>
          <w:sz w:val="18"/>
          <w:szCs w:val="18"/>
          <w:color w:val="auto"/>
        </w:rPr>
        <w:t xml:space="preserve">   Was the only floating rate BDC in 2014 to have positive returns at 8%</w:t>
      </w:r>
    </w:p>
    <w:p>
      <w:pPr>
        <w:spacing w:after="0" w:line="60" w:lineRule="exact"/>
        <w:rPr>
          <w:sz w:val="20"/>
          <w:szCs w:val="20"/>
          <w:color w:val="auto"/>
        </w:rPr>
      </w:pPr>
    </w:p>
    <w:p>
      <w:pPr>
        <w:jc w:val="center"/>
        <w:ind w:right="899"/>
        <w:spacing w:after="0"/>
        <w:rPr>
          <w:sz w:val="20"/>
          <w:szCs w:val="20"/>
          <w:color w:val="auto"/>
        </w:rPr>
      </w:pPr>
      <w:r>
        <w:rPr>
          <w:rFonts w:ascii="Arial" w:cs="Arial" w:eastAsia="Arial" w:hAnsi="Arial"/>
          <w:sz w:val="15"/>
          <w:szCs w:val="15"/>
          <w:color w:val="auto"/>
        </w:rPr>
        <w:t>PFLT’s external manager has experience with public vehicles since 2007 (PNNT’s IPO)</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8"/>
                <w:szCs w:val="18"/>
                <w:color w:val="003768"/>
              </w:rPr>
              <w:t>–</w:t>
            </w:r>
          </w:p>
        </w:tc>
        <w:tc>
          <w:tcPr>
            <w:tcW w:w="6160" w:type="dxa"/>
            <w:vAlign w:val="bottom"/>
            <w:gridSpan w:val="2"/>
          </w:tcPr>
          <w:p>
            <w:pPr>
              <w:ind w:left="140"/>
              <w:spacing w:after="0"/>
              <w:rPr>
                <w:sz w:val="20"/>
                <w:szCs w:val="20"/>
                <w:color w:val="auto"/>
              </w:rPr>
            </w:pPr>
            <w:r>
              <w:rPr>
                <w:rFonts w:ascii="Arial" w:cs="Arial" w:eastAsia="Arial" w:hAnsi="Arial"/>
                <w:sz w:val="18"/>
                <w:szCs w:val="18"/>
                <w:color w:val="auto"/>
                <w:w w:val="92"/>
              </w:rPr>
              <w:t>Funded $4.3 billion in 350 companies since inception across PennantPark entities</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0"/>
        </w:trPr>
        <w:tc>
          <w:tcPr>
            <w:tcW w:w="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0"/>
        </w:trPr>
        <w:tc>
          <w:tcPr>
            <w:tcW w:w="220" w:type="dxa"/>
            <w:vAlign w:val="bottom"/>
          </w:tcPr>
          <w:p>
            <w:pPr>
              <w:spacing w:after="0"/>
              <w:rPr>
                <w:sz w:val="20"/>
                <w:szCs w:val="20"/>
                <w:color w:val="auto"/>
              </w:rPr>
            </w:pPr>
            <w:r>
              <w:rPr>
                <w:rFonts w:ascii="Arial" w:cs="Arial" w:eastAsia="Arial" w:hAnsi="Arial"/>
                <w:sz w:val="18"/>
                <w:szCs w:val="18"/>
                <w:color w:val="003768"/>
              </w:rPr>
              <w:t>–</w:t>
            </w:r>
          </w:p>
        </w:tc>
        <w:tc>
          <w:tcPr>
            <w:tcW w:w="4900" w:type="dxa"/>
            <w:vAlign w:val="bottom"/>
          </w:tcPr>
          <w:p>
            <w:pPr>
              <w:ind w:left="140"/>
              <w:spacing w:after="0"/>
              <w:rPr>
                <w:sz w:val="20"/>
                <w:szCs w:val="20"/>
                <w:color w:val="auto"/>
              </w:rPr>
            </w:pPr>
            <w:r>
              <w:rPr>
                <w:rFonts w:ascii="Arial" w:cs="Arial" w:eastAsia="Arial" w:hAnsi="Arial"/>
                <w:sz w:val="18"/>
                <w:szCs w:val="18"/>
                <w:color w:val="auto"/>
                <w:w w:val="91"/>
              </w:rPr>
              <w:t>145 different sponsor clients since inception across PennantPark</w:t>
            </w:r>
          </w:p>
        </w:tc>
        <w:tc>
          <w:tcPr>
            <w:tcW w:w="1260" w:type="dxa"/>
            <w:vAlign w:val="bottom"/>
          </w:tcPr>
          <w:p>
            <w:pPr>
              <w:ind w:left="240"/>
              <w:spacing w:after="0"/>
              <w:rPr>
                <w:sz w:val="20"/>
                <w:szCs w:val="20"/>
                <w:color w:val="auto"/>
              </w:rPr>
            </w:pPr>
            <w:r>
              <w:rPr>
                <w:rFonts w:ascii="Arial" w:cs="Arial" w:eastAsia="Arial" w:hAnsi="Arial"/>
                <w:sz w:val="18"/>
                <w:szCs w:val="18"/>
                <w:color w:val="auto"/>
              </w:rPr>
              <w:t xml:space="preserve">entities </w:t>
            </w:r>
            <w:r>
              <w:rPr>
                <w:rFonts w:ascii="Arial" w:cs="Arial" w:eastAsia="Arial" w:hAnsi="Arial"/>
                <w:sz w:val="10"/>
                <w:szCs w:val="10"/>
                <w:color w:val="auto"/>
              </w:rPr>
              <w:t>(5)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00" w:space="720"/>
            <w:col w:w="7099"/>
          </w:cols>
          <w:pgMar w:left="540" w:top="606"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left="80" w:right="160"/>
        <w:spacing w:after="0" w:line="305" w:lineRule="auto"/>
        <w:rPr>
          <w:sz w:val="20"/>
          <w:szCs w:val="20"/>
          <w:color w:val="auto"/>
        </w:rPr>
      </w:pPr>
      <w:r>
        <w:rPr>
          <w:rFonts w:ascii="Arial" w:cs="Arial" w:eastAsia="Arial" w:hAnsi="Arial"/>
          <w:sz w:val="17"/>
          <w:szCs w:val="17"/>
          <w:b w:val="1"/>
          <w:bCs w:val="1"/>
          <w:color w:val="FFFFFF"/>
        </w:rPr>
        <w:t>Strategic Reorientation into Attractive Floating Rate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FFFFFF"/>
        </w:rPr>
        <w:t>Attractive Entry Point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into PFLT from</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Valuation Perspective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Floating rate loans help protect against inflation and rising interest rates</w:t>
      </w:r>
    </w:p>
    <w:p>
      <w:pPr>
        <w:spacing w:after="0" w:line="122" w:lineRule="exact"/>
        <w:rPr>
          <w:sz w:val="20"/>
          <w:szCs w:val="20"/>
          <w:color w:val="auto"/>
        </w:rPr>
      </w:pPr>
    </w:p>
    <w:p>
      <w:pPr>
        <w:ind w:right="1119"/>
        <w:spacing w:after="0" w:line="250" w:lineRule="auto"/>
        <w:rPr>
          <w:sz w:val="20"/>
          <w:szCs w:val="20"/>
          <w:color w:val="auto"/>
        </w:rPr>
      </w:pPr>
      <w:r>
        <w:rPr>
          <w:rFonts w:ascii="Arial" w:cs="Arial" w:eastAsia="Arial" w:hAnsi="Arial"/>
          <w:sz w:val="18"/>
          <w:szCs w:val="18"/>
          <w:color w:val="auto"/>
        </w:rPr>
        <w:t xml:space="preserve">PFLT has a diversified and defensive portfolio with a weighted average cash interest coverage of 3.2x </w:t>
      </w:r>
      <w:r>
        <w:rPr>
          <w:rFonts w:ascii="Arial" w:cs="Arial" w:eastAsia="Arial" w:hAnsi="Arial"/>
          <w:sz w:val="10"/>
          <w:szCs w:val="10"/>
          <w:color w:val="auto"/>
        </w:rPr>
        <w:t>(5)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loans have strong capital preservation attributes</w:t>
      </w:r>
    </w:p>
    <w:p>
      <w:pPr>
        <w:spacing w:after="0" w:line="122"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PFLT has a solid dividend track record, paying monthly dividends</w:t>
      </w:r>
      <w:r>
        <w:rPr>
          <w:sz w:val="20"/>
          <w:szCs w:val="20"/>
          <w:color w:val="auto"/>
        </w:rPr>
        <w:tab/>
      </w:r>
      <w:r>
        <w:rPr>
          <w:rFonts w:ascii="Arial" w:cs="Arial" w:eastAsia="Arial" w:hAnsi="Arial"/>
          <w:sz w:val="15"/>
          <w:szCs w:val="15"/>
          <w:color w:val="auto"/>
        </w:rPr>
        <w:t>of $0.095 per share</w:t>
      </w:r>
    </w:p>
    <w:p>
      <w:pPr>
        <w:spacing w:after="0" w:line="381" w:lineRule="exact"/>
        <w:rPr>
          <w:sz w:val="20"/>
          <w:szCs w:val="20"/>
          <w:color w:val="auto"/>
        </w:rPr>
      </w:pPr>
    </w:p>
    <w:p>
      <w:pPr>
        <w:ind w:right="479"/>
        <w:spacing w:after="0" w:line="264" w:lineRule="auto"/>
        <w:rPr>
          <w:sz w:val="20"/>
          <w:szCs w:val="20"/>
          <w:color w:val="auto"/>
        </w:rPr>
      </w:pPr>
      <w:r>
        <w:rPr>
          <w:rFonts w:ascii="Arial" w:cs="Arial" w:eastAsia="Arial" w:hAnsi="Arial"/>
          <w:sz w:val="18"/>
          <w:szCs w:val="18"/>
          <w:color w:val="auto"/>
        </w:rPr>
        <w:t>Receiving PFLT shares represents attractive currency as the company provides investors with capital preservation and current income</w:t>
      </w:r>
    </w:p>
    <w:p>
      <w:pPr>
        <w:spacing w:after="0" w:line="74" w:lineRule="exact"/>
        <w:rPr>
          <w:sz w:val="20"/>
          <w:szCs w:val="20"/>
          <w:color w:val="auto"/>
        </w:rPr>
      </w:pPr>
    </w:p>
    <w:p>
      <w:pPr>
        <w:ind w:right="759"/>
        <w:spacing w:after="0" w:line="250" w:lineRule="auto"/>
        <w:rPr>
          <w:sz w:val="20"/>
          <w:szCs w:val="20"/>
          <w:color w:val="auto"/>
        </w:rPr>
      </w:pPr>
      <w:r>
        <w:rPr>
          <w:rFonts w:ascii="Arial" w:cs="Arial" w:eastAsia="Arial" w:hAnsi="Arial"/>
          <w:sz w:val="18"/>
          <w:szCs w:val="18"/>
          <w:color w:val="auto"/>
        </w:rPr>
        <w:t>MCGC shareholders can benefit from appreciation of stock price and PFLT has increased dividends since inception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15.8% premium to MCGC’s stock price on April 28, 2015</w:t>
      </w:r>
    </w:p>
    <w:p>
      <w:pPr>
        <w:spacing w:after="0" w:line="200" w:lineRule="exact"/>
        <w:rPr>
          <w:sz w:val="20"/>
          <w:szCs w:val="20"/>
          <w:color w:val="auto"/>
        </w:rPr>
      </w:pPr>
    </w:p>
    <w:p>
      <w:pPr>
        <w:sectPr>
          <w:pgSz w:w="11900" w:h="16838" w:orient="portrait"/>
          <w:cols w:equalWidth="0" w:num="2">
            <w:col w:w="2120" w:space="720"/>
            <w:col w:w="7079"/>
          </w:cols>
          <w:pgMar w:left="540" w:top="606" w:right="1440" w:bottom="1440" w:gutter="0" w:footer="0" w:header="0"/>
          <w:type w:val="continuous"/>
        </w:sectPr>
      </w:pPr>
    </w:p>
    <w:p>
      <w:pPr>
        <w:spacing w:after="0" w:line="120" w:lineRule="exact"/>
        <w:rPr>
          <w:sz w:val="20"/>
          <w:szCs w:val="20"/>
          <w:color w:val="auto"/>
        </w:rPr>
      </w:pPr>
    </w:p>
    <w:p>
      <w:pPr>
        <w:ind w:left="820" w:hanging="256"/>
        <w:spacing w:after="0"/>
        <w:tabs>
          <w:tab w:leader="none" w:pos="820" w:val="left"/>
        </w:tabs>
        <w:numPr>
          <w:ilvl w:val="0"/>
          <w:numId w:val="6"/>
        </w:numPr>
        <w:rPr>
          <w:rFonts w:ascii="Arial" w:cs="Arial" w:eastAsia="Arial" w:hAnsi="Arial"/>
          <w:sz w:val="11"/>
          <w:szCs w:val="11"/>
          <w:color w:val="auto"/>
        </w:rPr>
      </w:pPr>
      <w:r>
        <w:rPr>
          <w:rFonts w:ascii="Arial" w:cs="Arial" w:eastAsia="Arial" w:hAnsi="Arial"/>
          <w:sz w:val="11"/>
          <w:szCs w:val="11"/>
          <w:color w:val="auto"/>
        </w:rPr>
        <w:t>SNL Financial as of most recent quarterly financials.</w:t>
      </w:r>
    </w:p>
    <w:p>
      <w:pPr>
        <w:spacing w:after="0" w:line="6"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2)</w:t>
            </w:r>
          </w:p>
        </w:tc>
        <w:tc>
          <w:tcPr>
            <w:tcW w:w="5280" w:type="dxa"/>
            <w:vAlign w:val="bottom"/>
          </w:tcPr>
          <w:p>
            <w:pPr>
              <w:ind w:left="80"/>
              <w:spacing w:after="0"/>
              <w:rPr>
                <w:sz w:val="20"/>
                <w:szCs w:val="20"/>
                <w:color w:val="auto"/>
              </w:rPr>
            </w:pPr>
            <w:r>
              <w:rPr>
                <w:rFonts w:ascii="Arial" w:cs="Arial" w:eastAsia="Arial" w:hAnsi="Arial"/>
                <w:sz w:val="11"/>
                <w:szCs w:val="11"/>
                <w:color w:val="auto"/>
              </w:rPr>
              <w:t>SNL Financial as of 4/24/15.</w:t>
            </w:r>
          </w:p>
        </w:tc>
        <w:tc>
          <w:tcPr>
            <w:tcW w:w="3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85"/>
        </w:trPr>
        <w:tc>
          <w:tcPr>
            <w:tcW w:w="180" w:type="dxa"/>
            <w:vAlign w:val="bottom"/>
            <w:vMerge w:val="restart"/>
          </w:tcPr>
          <w:p>
            <w:pPr>
              <w:jc w:val="right"/>
              <w:ind w:right="27"/>
              <w:spacing w:after="0"/>
              <w:rPr>
                <w:sz w:val="20"/>
                <w:szCs w:val="20"/>
                <w:color w:val="auto"/>
              </w:rPr>
            </w:pPr>
            <w:r>
              <w:rPr>
                <w:rFonts w:ascii="Arial" w:cs="Arial" w:eastAsia="Arial" w:hAnsi="Arial"/>
                <w:sz w:val="11"/>
                <w:szCs w:val="11"/>
                <w:color w:val="auto"/>
                <w:w w:val="81"/>
              </w:rPr>
              <w:t>3)</w:t>
            </w:r>
          </w:p>
        </w:tc>
        <w:tc>
          <w:tcPr>
            <w:tcW w:w="5280" w:type="dxa"/>
            <w:vAlign w:val="bottom"/>
            <w:vMerge w:val="restart"/>
          </w:tcPr>
          <w:p>
            <w:pPr>
              <w:ind w:left="80"/>
              <w:spacing w:after="0"/>
              <w:rPr>
                <w:sz w:val="20"/>
                <w:szCs w:val="20"/>
                <w:color w:val="auto"/>
              </w:rPr>
            </w:pPr>
            <w:r>
              <w:rPr>
                <w:rFonts w:ascii="Arial" w:cs="Arial" w:eastAsia="Arial" w:hAnsi="Arial"/>
                <w:sz w:val="11"/>
                <w:szCs w:val="11"/>
                <w:color w:val="auto"/>
              </w:rPr>
              <w:t>Represents 51 publicly traded BDCs.</w:t>
            </w: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0" w:type="dxa"/>
            <w:vAlign w:val="bottom"/>
            <w:vMerge w:val="continue"/>
          </w:tcPr>
          <w:p>
            <w:pPr>
              <w:spacing w:after="0"/>
              <w:rPr>
                <w:sz w:val="4"/>
                <w:szCs w:val="4"/>
                <w:color w:val="auto"/>
              </w:rPr>
            </w:pPr>
          </w:p>
        </w:tc>
        <w:tc>
          <w:tcPr>
            <w:tcW w:w="5280" w:type="dxa"/>
            <w:vAlign w:val="bottom"/>
            <w:vMerge w:val="continue"/>
          </w:tcPr>
          <w:p>
            <w:pPr>
              <w:spacing w:after="0"/>
              <w:rPr>
                <w:sz w:val="4"/>
                <w:szCs w:val="4"/>
                <w:color w:val="auto"/>
              </w:rPr>
            </w:pPr>
          </w:p>
        </w:tc>
        <w:tc>
          <w:tcPr>
            <w:tcW w:w="3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4)</w:t>
            </w:r>
          </w:p>
        </w:tc>
        <w:tc>
          <w:tcPr>
            <w:tcW w:w="5280" w:type="dxa"/>
            <w:vAlign w:val="bottom"/>
          </w:tcPr>
          <w:p>
            <w:pPr>
              <w:ind w:left="80"/>
              <w:spacing w:after="0"/>
              <w:rPr>
                <w:sz w:val="20"/>
                <w:szCs w:val="20"/>
                <w:color w:val="auto"/>
              </w:rPr>
            </w:pPr>
            <w:r>
              <w:rPr>
                <w:rFonts w:ascii="Arial" w:cs="Arial" w:eastAsia="Arial" w:hAnsi="Arial"/>
                <w:sz w:val="11"/>
                <w:szCs w:val="11"/>
                <w:color w:val="auto"/>
              </w:rPr>
              <w:t>Includes SUNS, FSFR and ACSF.</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 w:type="dxa"/>
            <w:vAlign w:val="bottom"/>
          </w:tcPr>
          <w:p>
            <w:pPr>
              <w:jc w:val="right"/>
              <w:ind w:right="27"/>
              <w:spacing w:after="0"/>
              <w:rPr>
                <w:sz w:val="20"/>
                <w:szCs w:val="20"/>
                <w:color w:val="auto"/>
              </w:rPr>
            </w:pPr>
            <w:r>
              <w:rPr>
                <w:rFonts w:ascii="Arial" w:cs="Arial" w:eastAsia="Arial" w:hAnsi="Arial"/>
                <w:sz w:val="11"/>
                <w:szCs w:val="11"/>
                <w:color w:val="auto"/>
                <w:w w:val="81"/>
              </w:rPr>
              <w:t>5)</w:t>
            </w:r>
          </w:p>
        </w:tc>
        <w:tc>
          <w:tcPr>
            <w:tcW w:w="5280" w:type="dxa"/>
            <w:vAlign w:val="bottom"/>
          </w:tcPr>
          <w:p>
            <w:pPr>
              <w:ind w:left="80"/>
              <w:spacing w:after="0"/>
              <w:rPr>
                <w:sz w:val="20"/>
                <w:szCs w:val="20"/>
                <w:color w:val="auto"/>
              </w:rPr>
            </w:pPr>
            <w:r>
              <w:rPr>
                <w:rFonts w:ascii="Arial" w:cs="Arial" w:eastAsia="Arial" w:hAnsi="Arial"/>
                <w:sz w:val="11"/>
                <w:szCs w:val="11"/>
                <w:color w:val="auto"/>
              </w:rPr>
              <w:t>As of 12/31/14.</w:t>
            </w: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919"/>
          </w:cols>
          <w:pgMar w:left="540" w:top="606"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71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4718685"/>
                    </a:xfrm>
                    <a:prstGeom prst="rect">
                      <a:avLst/>
                    </a:prstGeom>
                    <a:noFill/>
                  </pic:spPr>
                </pic:pic>
              </a:graphicData>
            </a:graphic>
          </wp:anchor>
        </w:drawing>
        <w:t>Demonstrated Ability to Deploy Capital</w:t>
      </w:r>
    </w:p>
    <w:p>
      <w:pPr>
        <w:spacing w:after="0" w:line="183" w:lineRule="exact"/>
        <w:rPr>
          <w:sz w:val="20"/>
          <w:szCs w:val="20"/>
          <w:color w:val="auto"/>
        </w:rPr>
      </w:pPr>
    </w:p>
    <w:p>
      <w:pPr>
        <w:ind w:left="280" w:right="1559"/>
        <w:spacing w:after="0" w:line="270" w:lineRule="auto"/>
        <w:rPr>
          <w:sz w:val="20"/>
          <w:szCs w:val="20"/>
          <w:color w:val="auto"/>
        </w:rPr>
      </w:pPr>
      <w:r>
        <w:rPr>
          <w:rFonts w:ascii="Arial" w:cs="Arial" w:eastAsia="Arial" w:hAnsi="Arial"/>
          <w:sz w:val="20"/>
          <w:szCs w:val="20"/>
          <w:color w:val="auto"/>
        </w:rPr>
        <w:t>PFLT has demonstrated an ability to quickly ramp assets, while maintaining strong credit quality, after equity offerings</w:t>
      </w:r>
    </w:p>
    <w:p>
      <w:pPr>
        <w:spacing w:after="0" w:line="358"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FFFFFF"/>
        </w:rPr>
        <w:t>PFLT Portfolio Size and Debt Yield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000" w:type="dxa"/>
            <w:vAlign w:val="bottom"/>
          </w:tcPr>
          <w:p>
            <w:pPr>
              <w:jc w:val="right"/>
              <w:ind w:right="4339"/>
              <w:spacing w:after="0"/>
              <w:rPr>
                <w:sz w:val="20"/>
                <w:szCs w:val="20"/>
                <w:color w:val="auto"/>
              </w:rPr>
            </w:pPr>
            <w:r>
              <w:rPr>
                <w:rFonts w:ascii="Arial" w:cs="Arial" w:eastAsia="Arial" w:hAnsi="Arial"/>
                <w:sz w:val="11"/>
                <w:szCs w:val="11"/>
                <w:color w:val="auto"/>
                <w:w w:val="89"/>
              </w:rPr>
              <w:t>($ in millions)</w:t>
            </w:r>
          </w:p>
        </w:tc>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81"/>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$450</w:t>
            </w:r>
          </w:p>
        </w:tc>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Ramp after two follow-on offerings</w:t>
            </w:r>
          </w:p>
        </w:tc>
        <w:tc>
          <w:tcPr>
            <w:tcW w:w="800" w:type="dxa"/>
            <w:vAlign w:val="bottom"/>
          </w:tcPr>
          <w:p>
            <w:pPr>
              <w:ind w:left="560"/>
              <w:spacing w:after="0"/>
              <w:rPr>
                <w:sz w:val="20"/>
                <w:szCs w:val="20"/>
                <w:color w:val="auto"/>
              </w:rPr>
            </w:pPr>
            <w:r>
              <w:rPr>
                <w:rFonts w:ascii="Arial" w:cs="Arial" w:eastAsia="Arial" w:hAnsi="Arial"/>
                <w:sz w:val="13"/>
                <w:szCs w:val="13"/>
                <w:color w:val="auto"/>
                <w:w w:val="84"/>
              </w:rPr>
              <w:t>10%</w:t>
            </w:r>
          </w:p>
        </w:tc>
      </w:tr>
      <w:tr>
        <w:trPr>
          <w:trHeight w:val="456"/>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$400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9%</w:t>
            </w:r>
          </w:p>
        </w:tc>
      </w:tr>
      <w:tr>
        <w:trPr>
          <w:trHeight w:val="423"/>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$350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8%</w:t>
            </w:r>
          </w:p>
        </w:tc>
      </w:tr>
      <w:tr>
        <w:trPr>
          <w:trHeight w:val="459"/>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$300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7%</w:t>
            </w:r>
          </w:p>
        </w:tc>
      </w:tr>
      <w:tr>
        <w:trPr>
          <w:trHeight w:val="396"/>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$250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6%</w:t>
            </w:r>
          </w:p>
        </w:tc>
      </w:tr>
      <w:tr>
        <w:trPr>
          <w:trHeight w:val="229"/>
        </w:trPr>
        <w:tc>
          <w:tcPr>
            <w:tcW w:w="5000" w:type="dxa"/>
            <w:vAlign w:val="bottom"/>
          </w:tcPr>
          <w:p>
            <w:pPr>
              <w:jc w:val="right"/>
              <w:ind w:right="1659"/>
              <w:spacing w:after="0"/>
              <w:rPr>
                <w:sz w:val="20"/>
                <w:szCs w:val="20"/>
                <w:color w:val="auto"/>
              </w:rPr>
            </w:pPr>
            <w:r>
              <w:rPr>
                <w:rFonts w:ascii="Arial" w:cs="Arial" w:eastAsia="Arial" w:hAnsi="Arial"/>
                <w:sz w:val="18"/>
                <w:szCs w:val="18"/>
                <w:b w:val="1"/>
                <w:bCs w:val="1"/>
                <w:color w:val="auto"/>
              </w:rPr>
              <w:t>Ramp after $100mm IPO</w:t>
            </w:r>
          </w:p>
        </w:tc>
        <w:tc>
          <w:tcPr>
            <w:tcW w:w="36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$200</w:t>
            </w:r>
          </w:p>
        </w:tc>
        <w:tc>
          <w:tcPr>
            <w:tcW w:w="3620" w:type="dxa"/>
            <w:vAlign w:val="bottom"/>
          </w:tcPr>
          <w:p>
            <w:pPr>
              <w:spacing w:after="0"/>
              <w:rPr>
                <w:sz w:val="20"/>
                <w:szCs w:val="20"/>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5%</w:t>
            </w:r>
          </w:p>
        </w:tc>
      </w:tr>
      <w:tr>
        <w:trPr>
          <w:trHeight w:val="447"/>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$150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4%</w:t>
            </w:r>
          </w:p>
        </w:tc>
      </w:tr>
      <w:tr>
        <w:trPr>
          <w:trHeight w:val="435"/>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$100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3%</w:t>
            </w:r>
          </w:p>
        </w:tc>
      </w:tr>
      <w:tr>
        <w:trPr>
          <w:trHeight w:val="447"/>
        </w:trPr>
        <w:tc>
          <w:tcPr>
            <w:tcW w:w="5000" w:type="dxa"/>
            <w:vAlign w:val="bottom"/>
          </w:tcPr>
          <w:p>
            <w:pPr>
              <w:jc w:val="right"/>
              <w:ind w:right="4619"/>
              <w:spacing w:after="0"/>
              <w:rPr>
                <w:sz w:val="20"/>
                <w:szCs w:val="20"/>
                <w:color w:val="auto"/>
              </w:rPr>
            </w:pPr>
            <w:r>
              <w:rPr>
                <w:rFonts w:ascii="Arial" w:cs="Arial" w:eastAsia="Arial" w:hAnsi="Arial"/>
                <w:sz w:val="13"/>
                <w:szCs w:val="13"/>
                <w:color w:val="auto"/>
              </w:rPr>
              <w:t>$50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2%</w:t>
            </w:r>
          </w:p>
        </w:tc>
      </w:tr>
      <w:tr>
        <w:trPr>
          <w:trHeight w:val="470"/>
        </w:trPr>
        <w:tc>
          <w:tcPr>
            <w:tcW w:w="5000" w:type="dxa"/>
            <w:vAlign w:val="bottom"/>
          </w:tcPr>
          <w:p>
            <w:pPr>
              <w:jc w:val="right"/>
              <w:ind w:right="4599"/>
              <w:spacing w:after="0"/>
              <w:rPr>
                <w:sz w:val="20"/>
                <w:szCs w:val="20"/>
                <w:color w:val="auto"/>
              </w:rPr>
            </w:pPr>
            <w:r>
              <w:rPr>
                <w:rFonts w:ascii="Arial" w:cs="Arial" w:eastAsia="Arial" w:hAnsi="Arial"/>
                <w:sz w:val="13"/>
                <w:szCs w:val="13"/>
                <w:color w:val="auto"/>
              </w:rPr>
              <w:t>$0</w:t>
            </w:r>
          </w:p>
        </w:tc>
        <w:tc>
          <w:tcPr>
            <w:tcW w:w="3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1%</w:t>
            </w:r>
          </w:p>
        </w:tc>
      </w:tr>
      <w:tr>
        <w:trPr>
          <w:trHeight w:val="294"/>
        </w:trPr>
        <w:tc>
          <w:tcPr>
            <w:tcW w:w="5000" w:type="dxa"/>
            <w:vAlign w:val="bottom"/>
          </w:tcPr>
          <w:p>
            <w:pPr>
              <w:jc w:val="right"/>
              <w:spacing w:after="0"/>
              <w:rPr>
                <w:sz w:val="20"/>
                <w:szCs w:val="20"/>
                <w:color w:val="auto"/>
              </w:rPr>
            </w:pPr>
            <w:r>
              <w:rPr>
                <w:rFonts w:ascii="Arial" w:cs="Arial" w:eastAsia="Arial" w:hAnsi="Arial"/>
                <w:sz w:val="13"/>
                <w:szCs w:val="13"/>
                <w:color w:val="auto"/>
              </w:rPr>
              <w:t>Jun -11    Sep-11   Dec-11   Mar-12Jun -12   Sep-12   Dec-12    Mar-13</w:t>
            </w:r>
          </w:p>
        </w:tc>
        <w:tc>
          <w:tcPr>
            <w:tcW w:w="3620" w:type="dxa"/>
            <w:vAlign w:val="bottom"/>
          </w:tcPr>
          <w:p>
            <w:pPr>
              <w:ind w:left="180"/>
              <w:spacing w:after="0"/>
              <w:rPr>
                <w:sz w:val="20"/>
                <w:szCs w:val="20"/>
                <w:color w:val="auto"/>
              </w:rPr>
            </w:pPr>
            <w:r>
              <w:rPr>
                <w:rFonts w:ascii="Arial" w:cs="Arial" w:eastAsia="Arial" w:hAnsi="Arial"/>
                <w:sz w:val="13"/>
                <w:szCs w:val="13"/>
                <w:color w:val="auto"/>
              </w:rPr>
              <w:t>Jun -13    Sep-13    Dec-13   Mar-14   Jun -14   Sep-14</w:t>
            </w:r>
          </w:p>
        </w:tc>
        <w:tc>
          <w:tcPr>
            <w:tcW w:w="800" w:type="dxa"/>
            <w:vAlign w:val="bottom"/>
          </w:tcPr>
          <w:p>
            <w:pPr>
              <w:ind w:left="120"/>
              <w:spacing w:after="0"/>
              <w:rPr>
                <w:sz w:val="20"/>
                <w:szCs w:val="20"/>
                <w:color w:val="auto"/>
              </w:rPr>
            </w:pPr>
            <w:r>
              <w:rPr>
                <w:rFonts w:ascii="Arial" w:cs="Arial" w:eastAsia="Arial" w:hAnsi="Arial"/>
                <w:sz w:val="13"/>
                <w:szCs w:val="13"/>
                <w:color w:val="auto"/>
              </w:rPr>
              <w:t>Dec-14</w:t>
            </w:r>
          </w:p>
        </w:tc>
      </w:tr>
      <w:tr>
        <w:trPr>
          <w:trHeight w:val="286"/>
        </w:trPr>
        <w:tc>
          <w:tcPr>
            <w:tcW w:w="5000" w:type="dxa"/>
            <w:vAlign w:val="bottom"/>
          </w:tcPr>
          <w:p>
            <w:pPr>
              <w:jc w:val="right"/>
              <w:ind w:right="419"/>
              <w:spacing w:after="0"/>
              <w:rPr>
                <w:sz w:val="20"/>
                <w:szCs w:val="20"/>
                <w:color w:val="auto"/>
              </w:rPr>
            </w:pPr>
            <w:r>
              <w:rPr>
                <w:rFonts w:ascii="Arial" w:cs="Arial" w:eastAsia="Arial" w:hAnsi="Arial"/>
                <w:sz w:val="11"/>
                <w:szCs w:val="11"/>
                <w:color w:val="auto"/>
              </w:rPr>
              <w:t>Total Portfolio Size</w:t>
            </w:r>
          </w:p>
        </w:tc>
        <w:tc>
          <w:tcPr>
            <w:tcW w:w="3620" w:type="dxa"/>
            <w:vAlign w:val="bottom"/>
          </w:tcPr>
          <w:p>
            <w:pPr>
              <w:ind w:left="260"/>
              <w:spacing w:after="0"/>
              <w:rPr>
                <w:sz w:val="20"/>
                <w:szCs w:val="20"/>
                <w:color w:val="auto"/>
              </w:rPr>
            </w:pPr>
            <w:r>
              <w:rPr>
                <w:rFonts w:ascii="Arial" w:cs="Arial" w:eastAsia="Arial" w:hAnsi="Arial"/>
                <w:sz w:val="11"/>
                <w:szCs w:val="11"/>
                <w:color w:val="auto"/>
              </w:rPr>
              <w:t>Yield on Portfolio</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ind w:right="299"/>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0019"/>
          </w:cols>
          <w:pgMar w:left="440" w:top="606" w:right="1440" w:bottom="1440" w:gutter="0" w:footer="0" w:header="0"/>
        </w:sectPr>
      </w:pPr>
    </w:p>
    <w:bookmarkStart w:id="9" w:name="page10"/>
    <w:bookmarkEnd w:id="9"/>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38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4838065"/>
                    </a:xfrm>
                    <a:prstGeom prst="rect">
                      <a:avLst/>
                    </a:prstGeom>
                    <a:noFill/>
                  </pic:spPr>
                </pic:pic>
              </a:graphicData>
            </a:graphic>
          </wp:anchor>
        </w:drawing>
        <w:t>Increased Relevance in Senior Secured Middle Market</w:t>
      </w:r>
    </w:p>
    <w:p>
      <w:pPr>
        <w:spacing w:after="0" w:line="300" w:lineRule="exact"/>
        <w:rPr>
          <w:sz w:val="20"/>
          <w:szCs w:val="20"/>
          <w:color w:val="auto"/>
        </w:rPr>
      </w:pPr>
    </w:p>
    <w:p>
      <w:pPr>
        <w:ind w:left="280" w:right="1479"/>
        <w:spacing w:after="0" w:line="340" w:lineRule="auto"/>
        <w:rPr>
          <w:sz w:val="20"/>
          <w:szCs w:val="20"/>
          <w:color w:val="auto"/>
        </w:rPr>
      </w:pPr>
      <w:r>
        <w:rPr>
          <w:rFonts w:ascii="Arial" w:cs="Arial" w:eastAsia="Arial" w:hAnsi="Arial"/>
          <w:sz w:val="18"/>
          <w:szCs w:val="18"/>
          <w:color w:val="auto"/>
        </w:rPr>
        <w:t>Through the proposed acquisition of MCGC, PFLT will be able to become more relevant with financial sponsors and borrowers and have a greater opportunity to identify high quality assets in a large market</w:t>
      </w:r>
    </w:p>
    <w:p>
      <w:pPr>
        <w:spacing w:after="0" w:line="200" w:lineRule="exact"/>
        <w:rPr>
          <w:sz w:val="20"/>
          <w:szCs w:val="20"/>
          <w:color w:val="auto"/>
        </w:rPr>
      </w:pPr>
    </w:p>
    <w:p>
      <w:pPr>
        <w:spacing w:after="0" w:line="313"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FFFFFF"/>
        </w:rPr>
        <w:t>Middle Market Origination Volume by Quarter vs. PFLT Portfolio Size</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94"/>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$6,000</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47"/>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$5,000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7"/>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$4,000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7"/>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$3,000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7"/>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$2,000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7"/>
        </w:trPr>
        <w:tc>
          <w:tcPr>
            <w:tcW w:w="1520" w:type="dxa"/>
            <w:vAlign w:val="bottom"/>
          </w:tcPr>
          <w:p>
            <w:pPr>
              <w:jc w:val="right"/>
              <w:ind w:right="608"/>
              <w:spacing w:after="0"/>
              <w:rPr>
                <w:sz w:val="20"/>
                <w:szCs w:val="20"/>
                <w:color w:val="auto"/>
              </w:rPr>
            </w:pPr>
            <w:r>
              <w:rPr>
                <w:rFonts w:ascii="Arial" w:cs="Arial" w:eastAsia="Arial" w:hAnsi="Arial"/>
                <w:sz w:val="15"/>
                <w:szCs w:val="15"/>
                <w:color w:val="auto"/>
              </w:rPr>
              <w:t>$1,000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7"/>
        </w:trPr>
        <w:tc>
          <w:tcPr>
            <w:tcW w:w="1520" w:type="dxa"/>
            <w:vAlign w:val="bottom"/>
          </w:tcPr>
          <w:p>
            <w:pPr>
              <w:jc w:val="right"/>
              <w:ind w:right="588"/>
              <w:spacing w:after="0"/>
              <w:rPr>
                <w:sz w:val="20"/>
                <w:szCs w:val="20"/>
                <w:color w:val="auto"/>
              </w:rPr>
            </w:pPr>
            <w:r>
              <w:rPr>
                <w:rFonts w:ascii="Arial" w:cs="Arial" w:eastAsia="Arial" w:hAnsi="Arial"/>
                <w:sz w:val="15"/>
                <w:szCs w:val="15"/>
                <w:color w:val="auto"/>
              </w:rPr>
              <w:t>$0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1520" w:type="dxa"/>
            <w:vAlign w:val="bottom"/>
          </w:tcPr>
          <w:p>
            <w:pPr>
              <w:jc w:val="right"/>
              <w:ind w:right="8"/>
              <w:spacing w:after="0"/>
              <w:rPr>
                <w:sz w:val="20"/>
                <w:szCs w:val="20"/>
                <w:color w:val="auto"/>
              </w:rPr>
            </w:pPr>
            <w:r>
              <w:rPr>
                <w:rFonts w:ascii="Arial" w:cs="Arial" w:eastAsia="Arial" w:hAnsi="Arial"/>
                <w:sz w:val="15"/>
                <w:szCs w:val="15"/>
                <w:color w:val="auto"/>
              </w:rPr>
              <w:t>2Q11</w:t>
            </w:r>
          </w:p>
        </w:tc>
        <w:tc>
          <w:tcPr>
            <w:tcW w:w="500" w:type="dxa"/>
            <w:vAlign w:val="bottom"/>
          </w:tcPr>
          <w:p>
            <w:pPr>
              <w:ind w:left="80"/>
              <w:spacing w:after="0"/>
              <w:rPr>
                <w:sz w:val="20"/>
                <w:szCs w:val="20"/>
                <w:color w:val="auto"/>
              </w:rPr>
            </w:pPr>
            <w:r>
              <w:rPr>
                <w:rFonts w:ascii="Arial" w:cs="Arial" w:eastAsia="Arial" w:hAnsi="Arial"/>
                <w:sz w:val="15"/>
                <w:szCs w:val="15"/>
                <w:color w:val="auto"/>
              </w:rPr>
              <w:t>3Q11</w:t>
            </w:r>
          </w:p>
        </w:tc>
        <w:tc>
          <w:tcPr>
            <w:tcW w:w="500" w:type="dxa"/>
            <w:vAlign w:val="bottom"/>
          </w:tcPr>
          <w:p>
            <w:pPr>
              <w:ind w:left="80"/>
              <w:spacing w:after="0"/>
              <w:rPr>
                <w:sz w:val="20"/>
                <w:szCs w:val="20"/>
                <w:color w:val="auto"/>
              </w:rPr>
            </w:pPr>
            <w:r>
              <w:rPr>
                <w:rFonts w:ascii="Arial" w:cs="Arial" w:eastAsia="Arial" w:hAnsi="Arial"/>
                <w:sz w:val="15"/>
                <w:szCs w:val="15"/>
                <w:color w:val="auto"/>
              </w:rPr>
              <w:t>4Q11</w:t>
            </w:r>
          </w:p>
        </w:tc>
        <w:tc>
          <w:tcPr>
            <w:tcW w:w="480" w:type="dxa"/>
            <w:vAlign w:val="bottom"/>
          </w:tcPr>
          <w:p>
            <w:pPr>
              <w:ind w:left="60"/>
              <w:spacing w:after="0"/>
              <w:rPr>
                <w:sz w:val="20"/>
                <w:szCs w:val="20"/>
                <w:color w:val="auto"/>
              </w:rPr>
            </w:pPr>
            <w:r>
              <w:rPr>
                <w:rFonts w:ascii="Arial" w:cs="Arial" w:eastAsia="Arial" w:hAnsi="Arial"/>
                <w:sz w:val="15"/>
                <w:szCs w:val="15"/>
                <w:color w:val="auto"/>
              </w:rPr>
              <w:t>1Q12</w:t>
            </w:r>
          </w:p>
        </w:tc>
        <w:tc>
          <w:tcPr>
            <w:tcW w:w="500" w:type="dxa"/>
            <w:vAlign w:val="bottom"/>
          </w:tcPr>
          <w:p>
            <w:pPr>
              <w:ind w:left="80"/>
              <w:spacing w:after="0"/>
              <w:rPr>
                <w:sz w:val="20"/>
                <w:szCs w:val="20"/>
                <w:color w:val="auto"/>
              </w:rPr>
            </w:pPr>
            <w:r>
              <w:rPr>
                <w:rFonts w:ascii="Arial" w:cs="Arial" w:eastAsia="Arial" w:hAnsi="Arial"/>
                <w:sz w:val="15"/>
                <w:szCs w:val="15"/>
                <w:color w:val="auto"/>
              </w:rPr>
              <w:t>2Q12</w:t>
            </w:r>
          </w:p>
        </w:tc>
        <w:tc>
          <w:tcPr>
            <w:tcW w:w="560" w:type="dxa"/>
            <w:vAlign w:val="bottom"/>
          </w:tcPr>
          <w:p>
            <w:pPr>
              <w:ind w:left="80"/>
              <w:spacing w:after="0"/>
              <w:rPr>
                <w:sz w:val="20"/>
                <w:szCs w:val="20"/>
                <w:color w:val="auto"/>
              </w:rPr>
            </w:pPr>
            <w:r>
              <w:rPr>
                <w:rFonts w:ascii="Arial" w:cs="Arial" w:eastAsia="Arial" w:hAnsi="Arial"/>
                <w:sz w:val="15"/>
                <w:szCs w:val="15"/>
                <w:color w:val="auto"/>
              </w:rPr>
              <w:t>3Q12</w:t>
            </w:r>
          </w:p>
        </w:tc>
        <w:tc>
          <w:tcPr>
            <w:tcW w:w="420" w:type="dxa"/>
            <w:vAlign w:val="bottom"/>
          </w:tcPr>
          <w:p>
            <w:pPr>
              <w:spacing w:after="0"/>
              <w:rPr>
                <w:sz w:val="20"/>
                <w:szCs w:val="20"/>
                <w:color w:val="auto"/>
              </w:rPr>
            </w:pPr>
            <w:r>
              <w:rPr>
                <w:rFonts w:ascii="Arial" w:cs="Arial" w:eastAsia="Arial" w:hAnsi="Arial"/>
                <w:sz w:val="15"/>
                <w:szCs w:val="15"/>
                <w:color w:val="auto"/>
              </w:rPr>
              <w:t>4Q12</w:t>
            </w:r>
          </w:p>
        </w:tc>
        <w:tc>
          <w:tcPr>
            <w:tcW w:w="480" w:type="dxa"/>
            <w:vAlign w:val="bottom"/>
          </w:tcPr>
          <w:p>
            <w:pPr>
              <w:ind w:left="60"/>
              <w:spacing w:after="0"/>
              <w:rPr>
                <w:sz w:val="20"/>
                <w:szCs w:val="20"/>
                <w:color w:val="auto"/>
              </w:rPr>
            </w:pPr>
            <w:r>
              <w:rPr>
                <w:rFonts w:ascii="Arial" w:cs="Arial" w:eastAsia="Arial" w:hAnsi="Arial"/>
                <w:sz w:val="15"/>
                <w:szCs w:val="15"/>
                <w:color w:val="auto"/>
              </w:rPr>
              <w:t>1Q13</w:t>
            </w:r>
          </w:p>
        </w:tc>
        <w:tc>
          <w:tcPr>
            <w:tcW w:w="500" w:type="dxa"/>
            <w:vAlign w:val="bottom"/>
          </w:tcPr>
          <w:p>
            <w:pPr>
              <w:ind w:left="80"/>
              <w:spacing w:after="0"/>
              <w:rPr>
                <w:sz w:val="20"/>
                <w:szCs w:val="20"/>
                <w:color w:val="auto"/>
              </w:rPr>
            </w:pPr>
            <w:r>
              <w:rPr>
                <w:rFonts w:ascii="Arial" w:cs="Arial" w:eastAsia="Arial" w:hAnsi="Arial"/>
                <w:sz w:val="15"/>
                <w:szCs w:val="15"/>
                <w:color w:val="auto"/>
              </w:rPr>
              <w:t>2Q13</w:t>
            </w:r>
          </w:p>
        </w:tc>
        <w:tc>
          <w:tcPr>
            <w:tcW w:w="480" w:type="dxa"/>
            <w:vAlign w:val="bottom"/>
          </w:tcPr>
          <w:p>
            <w:pPr>
              <w:ind w:left="80"/>
              <w:spacing w:after="0"/>
              <w:rPr>
                <w:sz w:val="20"/>
                <w:szCs w:val="20"/>
                <w:color w:val="auto"/>
              </w:rPr>
            </w:pPr>
            <w:r>
              <w:rPr>
                <w:rFonts w:ascii="Arial" w:cs="Arial" w:eastAsia="Arial" w:hAnsi="Arial"/>
                <w:sz w:val="15"/>
                <w:szCs w:val="15"/>
                <w:color w:val="auto"/>
              </w:rPr>
              <w:t>3Q13</w:t>
            </w:r>
          </w:p>
        </w:tc>
        <w:tc>
          <w:tcPr>
            <w:tcW w:w="500" w:type="dxa"/>
            <w:vAlign w:val="bottom"/>
          </w:tcPr>
          <w:p>
            <w:pPr>
              <w:ind w:left="80"/>
              <w:spacing w:after="0"/>
              <w:rPr>
                <w:sz w:val="20"/>
                <w:szCs w:val="20"/>
                <w:color w:val="auto"/>
              </w:rPr>
            </w:pPr>
            <w:r>
              <w:rPr>
                <w:rFonts w:ascii="Arial" w:cs="Arial" w:eastAsia="Arial" w:hAnsi="Arial"/>
                <w:sz w:val="15"/>
                <w:szCs w:val="15"/>
                <w:color w:val="auto"/>
              </w:rPr>
              <w:t>4Q13</w:t>
            </w:r>
          </w:p>
        </w:tc>
        <w:tc>
          <w:tcPr>
            <w:tcW w:w="480" w:type="dxa"/>
            <w:vAlign w:val="bottom"/>
          </w:tcPr>
          <w:p>
            <w:pPr>
              <w:ind w:left="80"/>
              <w:spacing w:after="0"/>
              <w:rPr>
                <w:sz w:val="20"/>
                <w:szCs w:val="20"/>
                <w:color w:val="auto"/>
              </w:rPr>
            </w:pPr>
            <w:r>
              <w:rPr>
                <w:rFonts w:ascii="Arial" w:cs="Arial" w:eastAsia="Arial" w:hAnsi="Arial"/>
                <w:sz w:val="15"/>
                <w:szCs w:val="15"/>
                <w:color w:val="auto"/>
              </w:rPr>
              <w:t>1Q14</w:t>
            </w:r>
          </w:p>
        </w:tc>
        <w:tc>
          <w:tcPr>
            <w:tcW w:w="500" w:type="dxa"/>
            <w:vAlign w:val="bottom"/>
          </w:tcPr>
          <w:p>
            <w:pPr>
              <w:ind w:left="80"/>
              <w:spacing w:after="0"/>
              <w:rPr>
                <w:sz w:val="20"/>
                <w:szCs w:val="20"/>
                <w:color w:val="auto"/>
              </w:rPr>
            </w:pPr>
            <w:r>
              <w:rPr>
                <w:rFonts w:ascii="Arial" w:cs="Arial" w:eastAsia="Arial" w:hAnsi="Arial"/>
                <w:sz w:val="15"/>
                <w:szCs w:val="15"/>
                <w:color w:val="auto"/>
              </w:rPr>
              <w:t>2Q14</w:t>
            </w:r>
          </w:p>
        </w:tc>
        <w:tc>
          <w:tcPr>
            <w:tcW w:w="500" w:type="dxa"/>
            <w:vAlign w:val="bottom"/>
          </w:tcPr>
          <w:p>
            <w:pPr>
              <w:ind w:left="60"/>
              <w:spacing w:after="0"/>
              <w:rPr>
                <w:sz w:val="20"/>
                <w:szCs w:val="20"/>
                <w:color w:val="auto"/>
              </w:rPr>
            </w:pPr>
            <w:r>
              <w:rPr>
                <w:rFonts w:ascii="Arial" w:cs="Arial" w:eastAsia="Arial" w:hAnsi="Arial"/>
                <w:sz w:val="15"/>
                <w:szCs w:val="15"/>
                <w:color w:val="auto"/>
              </w:rPr>
              <w:t>3Q14</w:t>
            </w:r>
          </w:p>
        </w:tc>
        <w:tc>
          <w:tcPr>
            <w:tcW w:w="1240" w:type="dxa"/>
            <w:vAlign w:val="bottom"/>
          </w:tcPr>
          <w:p>
            <w:pPr>
              <w:jc w:val="right"/>
              <w:ind w:right="747"/>
              <w:spacing w:after="0"/>
              <w:rPr>
                <w:sz w:val="20"/>
                <w:szCs w:val="20"/>
                <w:color w:val="auto"/>
              </w:rPr>
            </w:pPr>
            <w:r>
              <w:rPr>
                <w:rFonts w:ascii="Arial" w:cs="Arial" w:eastAsia="Arial" w:hAnsi="Arial"/>
                <w:sz w:val="15"/>
                <w:szCs w:val="15"/>
                <w:color w:val="auto"/>
              </w:rPr>
              <w:t>4Q14</w:t>
            </w:r>
          </w:p>
        </w:tc>
      </w:tr>
      <w:tr>
        <w:trPr>
          <w:trHeight w:val="423"/>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gridSpan w:val="3"/>
          </w:tcPr>
          <w:p>
            <w:pPr>
              <w:ind w:left="260"/>
              <w:spacing w:after="0"/>
              <w:rPr>
                <w:sz w:val="20"/>
                <w:szCs w:val="20"/>
                <w:color w:val="auto"/>
              </w:rPr>
            </w:pPr>
            <w:r>
              <w:rPr>
                <w:rFonts w:ascii="Arial" w:cs="Arial" w:eastAsia="Arial" w:hAnsi="Arial"/>
                <w:sz w:val="15"/>
                <w:szCs w:val="15"/>
                <w:color w:val="auto"/>
                <w:w w:val="96"/>
              </w:rPr>
              <w:t>Mid-Market Volume</w:t>
            </w:r>
          </w:p>
        </w:tc>
        <w:tc>
          <w:tcPr>
            <w:tcW w:w="420" w:type="dxa"/>
            <w:vAlign w:val="bottom"/>
          </w:tcPr>
          <w:p>
            <w:pPr>
              <w:spacing w:after="0"/>
              <w:rPr>
                <w:sz w:val="24"/>
                <w:szCs w:val="24"/>
                <w:color w:val="auto"/>
              </w:rPr>
            </w:pPr>
          </w:p>
        </w:tc>
        <w:tc>
          <w:tcPr>
            <w:tcW w:w="1460" w:type="dxa"/>
            <w:vAlign w:val="bottom"/>
            <w:gridSpan w:val="3"/>
          </w:tcPr>
          <w:p>
            <w:pPr>
              <w:ind w:left="160"/>
              <w:spacing w:after="0"/>
              <w:rPr>
                <w:sz w:val="20"/>
                <w:szCs w:val="20"/>
                <w:color w:val="auto"/>
              </w:rPr>
            </w:pPr>
            <w:r>
              <w:rPr>
                <w:rFonts w:ascii="Arial" w:cs="Arial" w:eastAsia="Arial" w:hAnsi="Arial"/>
                <w:sz w:val="15"/>
                <w:szCs w:val="15"/>
                <w:color w:val="auto"/>
                <w:w w:val="99"/>
              </w:rPr>
              <w:t>PFLT Portfolio Size</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6"/>
        </w:trPr>
        <w:tc>
          <w:tcPr>
            <w:tcW w:w="3500" w:type="dxa"/>
            <w:vAlign w:val="bottom"/>
            <w:gridSpan w:val="5"/>
          </w:tcPr>
          <w:p>
            <w:pPr>
              <w:spacing w:after="0"/>
              <w:rPr>
                <w:sz w:val="20"/>
                <w:szCs w:val="20"/>
                <w:color w:val="auto"/>
              </w:rPr>
            </w:pPr>
            <w:r>
              <w:rPr>
                <w:rFonts w:ascii="Arial" w:cs="Arial" w:eastAsia="Arial" w:hAnsi="Arial"/>
                <w:sz w:val="11"/>
                <w:szCs w:val="11"/>
                <w:color w:val="auto"/>
              </w:rPr>
              <w:t>Note: Mid-market defined as issuers with EBITDA of $50 million or less.</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132"/>
        </w:trPr>
        <w:tc>
          <w:tcPr>
            <w:tcW w:w="2020" w:type="dxa"/>
            <w:vAlign w:val="bottom"/>
            <w:gridSpan w:val="2"/>
          </w:tcPr>
          <w:p>
            <w:pPr>
              <w:spacing w:after="0"/>
              <w:rPr>
                <w:sz w:val="20"/>
                <w:szCs w:val="20"/>
                <w:color w:val="auto"/>
              </w:rPr>
            </w:pPr>
            <w:r>
              <w:rPr>
                <w:rFonts w:ascii="Arial" w:cs="Arial" w:eastAsia="Arial" w:hAnsi="Arial"/>
                <w:sz w:val="11"/>
                <w:szCs w:val="11"/>
                <w:color w:val="auto"/>
                <w:w w:val="87"/>
              </w:rPr>
              <w:t>Source: S&amp;P, represents senior secured loans.</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ectPr>
          <w:pgSz w:w="11900" w:h="16838" w:orient="portrait"/>
          <w:cols w:equalWidth="0" w:num="1">
            <w:col w:w="10019"/>
          </w:cols>
          <w:pgMar w:left="440" w:top="606" w:right="1440" w:bottom="1440" w:gutter="0" w:footer="0" w:header="0"/>
        </w:sectPr>
      </w:pPr>
    </w:p>
    <w:bookmarkStart w:id="10" w:name="page11"/>
    <w:bookmarkEnd w:id="10"/>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45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4845685"/>
                    </a:xfrm>
                    <a:prstGeom prst="rect">
                      <a:avLst/>
                    </a:prstGeom>
                    <a:noFill/>
                  </pic:spPr>
                </pic:pic>
              </a:graphicData>
            </a:graphic>
          </wp:anchor>
        </w:drawing>
        <w:t>Expense Ratio Comparisons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PFLT offers current MCGC shareholders a friendly expense structure</w:t>
      </w:r>
    </w:p>
    <w:p>
      <w:pPr>
        <w:spacing w:after="0" w:line="146" w:lineRule="exact"/>
        <w:rPr>
          <w:sz w:val="20"/>
          <w:szCs w:val="20"/>
          <w:color w:val="auto"/>
        </w:rPr>
      </w:pPr>
    </w:p>
    <w:p>
      <w:pPr>
        <w:ind w:left="240" w:right="1439"/>
        <w:spacing w:after="0" w:line="282" w:lineRule="auto"/>
        <w:rPr>
          <w:sz w:val="20"/>
          <w:szCs w:val="20"/>
          <w:color w:val="auto"/>
        </w:rPr>
      </w:pPr>
      <w:r>
        <w:rPr>
          <w:rFonts w:ascii="Arial" w:cs="Arial" w:eastAsia="Arial" w:hAnsi="Arial"/>
          <w:sz w:val="20"/>
          <w:szCs w:val="20"/>
          <w:color w:val="auto"/>
        </w:rPr>
        <w:t>In terms of non-interest expense efficiencies, PFLT is a leader in the externally managed BDC space as measured by expense ratio and efficiency ratio</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260"/>
        </w:trPr>
        <w:tc>
          <w:tcPr>
            <w:tcW w:w="3520" w:type="dxa"/>
            <w:vAlign w:val="bottom"/>
            <w:gridSpan w:val="3"/>
          </w:tcPr>
          <w:p>
            <w:pPr>
              <w:ind w:left="100"/>
              <w:spacing w:after="0"/>
              <w:rPr>
                <w:sz w:val="20"/>
                <w:szCs w:val="20"/>
                <w:color w:val="auto"/>
              </w:rPr>
            </w:pPr>
            <w:r>
              <w:rPr>
                <w:rFonts w:ascii="Arial" w:cs="Arial" w:eastAsia="Arial" w:hAnsi="Arial"/>
                <w:sz w:val="20"/>
                <w:szCs w:val="20"/>
                <w:b w:val="1"/>
                <w:bCs w:val="1"/>
                <w:color w:val="FFFFFF"/>
              </w:rPr>
              <w:t>Expense Ratio</w:t>
            </w:r>
          </w:p>
        </w:tc>
        <w:tc>
          <w:tcPr>
            <w:tcW w:w="3220" w:type="dxa"/>
            <w:vAlign w:val="bottom"/>
            <w:gridSpan w:val="3"/>
          </w:tcPr>
          <w:p>
            <w:pPr>
              <w:ind w:left="1500"/>
              <w:spacing w:after="0"/>
              <w:rPr>
                <w:sz w:val="20"/>
                <w:szCs w:val="20"/>
                <w:color w:val="auto"/>
              </w:rPr>
            </w:pPr>
            <w:r>
              <w:rPr>
                <w:rFonts w:ascii="Arial" w:cs="Arial" w:eastAsia="Arial" w:hAnsi="Arial"/>
                <w:sz w:val="20"/>
                <w:szCs w:val="20"/>
                <w:b w:val="1"/>
                <w:bCs w:val="1"/>
                <w:color w:val="FFFFFF"/>
              </w:rPr>
              <w:t>Efficiency Ratio</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580" w:type="dxa"/>
            <w:vAlign w:val="bottom"/>
            <w:vMerge w:val="restart"/>
          </w:tcPr>
          <w:p>
            <w:pPr>
              <w:spacing w:after="0"/>
              <w:rPr>
                <w:sz w:val="20"/>
                <w:szCs w:val="20"/>
                <w:color w:val="auto"/>
              </w:rPr>
            </w:pPr>
            <w:r>
              <w:rPr>
                <w:rFonts w:ascii="Arial" w:cs="Arial" w:eastAsia="Arial" w:hAnsi="Arial"/>
                <w:sz w:val="14"/>
                <w:szCs w:val="14"/>
                <w:i w:val="1"/>
                <w:iCs w:val="1"/>
                <w:color w:val="auto"/>
              </w:rPr>
              <w:t>Expense</w:t>
            </w:r>
          </w:p>
        </w:tc>
        <w:tc>
          <w:tcPr>
            <w:tcW w:w="2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w:t>
            </w:r>
          </w:p>
        </w:tc>
        <w:tc>
          <w:tcPr>
            <w:tcW w:w="2680" w:type="dxa"/>
            <w:vAlign w:val="bottom"/>
            <w:vMerge w:val="restart"/>
          </w:tcPr>
          <w:p>
            <w:pPr>
              <w:jc w:val="center"/>
              <w:ind w:right="1229"/>
              <w:spacing w:after="0"/>
              <w:rPr>
                <w:sz w:val="20"/>
                <w:szCs w:val="20"/>
                <w:color w:val="auto"/>
              </w:rPr>
            </w:pPr>
            <w:r>
              <w:rPr>
                <w:rFonts w:ascii="Arial" w:cs="Arial" w:eastAsia="Arial" w:hAnsi="Arial"/>
                <w:sz w:val="14"/>
                <w:szCs w:val="14"/>
                <w:i w:val="1"/>
                <w:iCs w:val="1"/>
                <w:color w:val="auto"/>
                <w:w w:val="88"/>
              </w:rPr>
              <w:t>Non-Interest Expenses</w:t>
            </w:r>
          </w:p>
        </w:tc>
        <w:tc>
          <w:tcPr>
            <w:tcW w:w="2000" w:type="dxa"/>
            <w:vAlign w:val="bottom"/>
            <w:vMerge w:val="restart"/>
          </w:tcPr>
          <w:p>
            <w:pPr>
              <w:jc w:val="center"/>
              <w:ind w:left="1160"/>
              <w:spacing w:after="0"/>
              <w:rPr>
                <w:sz w:val="20"/>
                <w:szCs w:val="20"/>
                <w:color w:val="auto"/>
              </w:rPr>
            </w:pPr>
            <w:r>
              <w:rPr>
                <w:rFonts w:ascii="Arial" w:cs="Arial" w:eastAsia="Arial" w:hAnsi="Arial"/>
                <w:sz w:val="14"/>
                <w:szCs w:val="14"/>
                <w:i w:val="1"/>
                <w:iCs w:val="1"/>
                <w:color w:val="auto"/>
                <w:w w:val="93"/>
              </w:rPr>
              <w:t>Efficiency</w:t>
            </w:r>
          </w:p>
        </w:tc>
        <w:tc>
          <w:tcPr>
            <w:tcW w:w="300" w:type="dxa"/>
            <w:vAlign w:val="bottom"/>
            <w:vMerge w:val="restart"/>
          </w:tcPr>
          <w:p>
            <w:pPr>
              <w:jc w:val="right"/>
              <w:ind w:right="49"/>
              <w:spacing w:after="0"/>
              <w:rPr>
                <w:sz w:val="20"/>
                <w:szCs w:val="20"/>
                <w:color w:val="auto"/>
              </w:rPr>
            </w:pPr>
            <w:r>
              <w:rPr>
                <w:rFonts w:ascii="Arial" w:cs="Arial" w:eastAsia="Arial" w:hAnsi="Arial"/>
                <w:sz w:val="14"/>
                <w:szCs w:val="14"/>
                <w:i w:val="1"/>
                <w:iCs w:val="1"/>
                <w:color w:val="auto"/>
              </w:rPr>
              <w:t>=</w:t>
            </w:r>
          </w:p>
        </w:tc>
        <w:tc>
          <w:tcPr>
            <w:tcW w:w="2060" w:type="dxa"/>
            <w:vAlign w:val="bottom"/>
            <w:gridSpan w:val="3"/>
          </w:tcPr>
          <w:p>
            <w:pPr>
              <w:ind w:left="400"/>
              <w:spacing w:after="0"/>
              <w:rPr>
                <w:sz w:val="20"/>
                <w:szCs w:val="20"/>
                <w:color w:val="auto"/>
              </w:rPr>
            </w:pPr>
            <w:r>
              <w:rPr>
                <w:rFonts w:ascii="Arial" w:cs="Arial" w:eastAsia="Arial" w:hAnsi="Arial"/>
                <w:sz w:val="14"/>
                <w:szCs w:val="14"/>
                <w:i w:val="1"/>
                <w:iCs w:val="1"/>
                <w:color w:val="auto"/>
              </w:rPr>
              <w:t>Non-Interest Expenses</w:t>
            </w:r>
          </w:p>
        </w:tc>
        <w:tc>
          <w:tcPr>
            <w:tcW w:w="0" w:type="dxa"/>
            <w:vAlign w:val="bottom"/>
          </w:tcPr>
          <w:p>
            <w:pPr>
              <w:spacing w:after="0"/>
              <w:rPr>
                <w:sz w:val="1"/>
                <w:szCs w:val="1"/>
                <w:color w:val="auto"/>
              </w:rPr>
            </w:pPr>
          </w:p>
        </w:tc>
      </w:tr>
      <w:tr>
        <w:trPr>
          <w:trHeight w:val="44"/>
        </w:trPr>
        <w:tc>
          <w:tcPr>
            <w:tcW w:w="5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68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1"/>
              </w:rPr>
              <w:t>Net Interest</w:t>
            </w:r>
          </w:p>
        </w:tc>
        <w:tc>
          <w:tcPr>
            <w:tcW w:w="340" w:type="dxa"/>
            <w:vAlign w:val="bottom"/>
          </w:tcPr>
          <w:p>
            <w:pPr>
              <w:spacing w:after="0"/>
              <w:rPr>
                <w:sz w:val="3"/>
                <w:szCs w:val="3"/>
                <w:color w:val="auto"/>
              </w:rPr>
            </w:pPr>
          </w:p>
        </w:tc>
        <w:tc>
          <w:tcPr>
            <w:tcW w:w="800" w:type="dxa"/>
            <w:vAlign w:val="bottom"/>
            <w:vMerge w:val="restart"/>
          </w:tcPr>
          <w:p>
            <w:pPr>
              <w:jc w:val="center"/>
              <w:ind w:left="29"/>
              <w:spacing w:after="0"/>
              <w:rPr>
                <w:sz w:val="20"/>
                <w:szCs w:val="20"/>
                <w:color w:val="auto"/>
              </w:rPr>
            </w:pPr>
            <w:r>
              <w:rPr>
                <w:rFonts w:ascii="Arial" w:cs="Arial" w:eastAsia="Arial" w:hAnsi="Arial"/>
                <w:sz w:val="14"/>
                <w:szCs w:val="14"/>
                <w:i w:val="1"/>
                <w:iCs w:val="1"/>
                <w:color w:val="auto"/>
                <w:w w:val="90"/>
              </w:rPr>
              <w:t>Non-Interest</w:t>
            </w:r>
          </w:p>
        </w:tc>
        <w:tc>
          <w:tcPr>
            <w:tcW w:w="0" w:type="dxa"/>
            <w:vAlign w:val="bottom"/>
          </w:tcPr>
          <w:p>
            <w:pPr>
              <w:spacing w:after="0"/>
              <w:rPr>
                <w:sz w:val="1"/>
                <w:szCs w:val="1"/>
                <w:color w:val="auto"/>
              </w:rPr>
            </w:pPr>
          </w:p>
        </w:tc>
      </w:tr>
      <w:tr>
        <w:trPr>
          <w:trHeight w:val="173"/>
        </w:trPr>
        <w:tc>
          <w:tcPr>
            <w:tcW w:w="580" w:type="dxa"/>
            <w:vAlign w:val="bottom"/>
          </w:tcPr>
          <w:p>
            <w:pPr>
              <w:ind w:left="120"/>
              <w:spacing w:after="0"/>
              <w:rPr>
                <w:sz w:val="20"/>
                <w:szCs w:val="20"/>
                <w:color w:val="auto"/>
              </w:rPr>
            </w:pPr>
            <w:r>
              <w:rPr>
                <w:rFonts w:ascii="Arial" w:cs="Arial" w:eastAsia="Arial" w:hAnsi="Arial"/>
                <w:sz w:val="14"/>
                <w:szCs w:val="14"/>
                <w:i w:val="1"/>
                <w:iCs w:val="1"/>
                <w:color w:val="auto"/>
              </w:rPr>
              <w:t>Ratio</w:t>
            </w:r>
          </w:p>
        </w:tc>
        <w:tc>
          <w:tcPr>
            <w:tcW w:w="260" w:type="dxa"/>
            <w:vAlign w:val="bottom"/>
          </w:tcPr>
          <w:p>
            <w:pPr>
              <w:spacing w:after="0"/>
              <w:rPr>
                <w:sz w:val="15"/>
                <w:szCs w:val="15"/>
                <w:color w:val="auto"/>
              </w:rPr>
            </w:pPr>
          </w:p>
        </w:tc>
        <w:tc>
          <w:tcPr>
            <w:tcW w:w="2680" w:type="dxa"/>
            <w:vAlign w:val="bottom"/>
          </w:tcPr>
          <w:p>
            <w:pPr>
              <w:jc w:val="center"/>
              <w:ind w:right="1189"/>
              <w:spacing w:after="0"/>
              <w:rPr>
                <w:sz w:val="20"/>
                <w:szCs w:val="20"/>
                <w:color w:val="auto"/>
              </w:rPr>
            </w:pPr>
            <w:r>
              <w:rPr>
                <w:rFonts w:ascii="Arial" w:cs="Arial" w:eastAsia="Arial" w:hAnsi="Arial"/>
                <w:sz w:val="14"/>
                <w:szCs w:val="14"/>
                <w:i w:val="1"/>
                <w:iCs w:val="1"/>
                <w:color w:val="auto"/>
                <w:w w:val="87"/>
              </w:rPr>
              <w:t>Average Assets</w:t>
            </w:r>
          </w:p>
        </w:tc>
        <w:tc>
          <w:tcPr>
            <w:tcW w:w="2000" w:type="dxa"/>
            <w:vAlign w:val="bottom"/>
          </w:tcPr>
          <w:p>
            <w:pPr>
              <w:jc w:val="center"/>
              <w:ind w:left="1160"/>
              <w:spacing w:after="0"/>
              <w:rPr>
                <w:sz w:val="20"/>
                <w:szCs w:val="20"/>
                <w:color w:val="auto"/>
              </w:rPr>
            </w:pPr>
            <w:r>
              <w:rPr>
                <w:rFonts w:ascii="Arial" w:cs="Arial" w:eastAsia="Arial" w:hAnsi="Arial"/>
                <w:sz w:val="14"/>
                <w:szCs w:val="14"/>
                <w:i w:val="1"/>
                <w:iCs w:val="1"/>
                <w:color w:val="auto"/>
                <w:w w:val="97"/>
              </w:rPr>
              <w:t>Ratio</w:t>
            </w:r>
          </w:p>
        </w:tc>
        <w:tc>
          <w:tcPr>
            <w:tcW w:w="3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jc w:val="right"/>
              <w:ind w:right="29"/>
              <w:spacing w:after="0"/>
              <w:rPr>
                <w:sz w:val="20"/>
                <w:szCs w:val="20"/>
                <w:color w:val="auto"/>
              </w:rPr>
            </w:pPr>
            <w:r>
              <w:rPr>
                <w:rFonts w:ascii="Arial" w:cs="Arial" w:eastAsia="Arial" w:hAnsi="Arial"/>
                <w:sz w:val="14"/>
                <w:szCs w:val="14"/>
                <w:i w:val="1"/>
                <w:iCs w:val="1"/>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i w:val="1"/>
                <w:iCs w:val="1"/>
                <w:color w:val="auto"/>
                <w:w w:val="87"/>
              </w:rPr>
              <w:t>Income</w:t>
            </w:r>
          </w:p>
        </w:tc>
        <w:tc>
          <w:tcPr>
            <w:tcW w:w="340" w:type="dxa"/>
            <w:vAlign w:val="bottom"/>
          </w:tcPr>
          <w:p>
            <w:pPr>
              <w:spacing w:after="0"/>
              <w:rPr>
                <w:sz w:val="15"/>
                <w:szCs w:val="15"/>
                <w:color w:val="auto"/>
              </w:rPr>
            </w:pPr>
          </w:p>
        </w:tc>
        <w:tc>
          <w:tcPr>
            <w:tcW w:w="800" w:type="dxa"/>
            <w:vAlign w:val="bottom"/>
          </w:tcPr>
          <w:p>
            <w:pPr>
              <w:jc w:val="center"/>
              <w:ind w:left="29"/>
              <w:spacing w:after="0"/>
              <w:rPr>
                <w:sz w:val="20"/>
                <w:szCs w:val="20"/>
                <w:color w:val="auto"/>
              </w:rPr>
            </w:pPr>
            <w:r>
              <w:rPr>
                <w:rFonts w:ascii="Arial" w:cs="Arial" w:eastAsia="Arial" w:hAnsi="Arial"/>
                <w:sz w:val="14"/>
                <w:szCs w:val="14"/>
                <w:i w:val="1"/>
                <w:iCs w:val="1"/>
                <w:color w:val="auto"/>
                <w:w w:val="91"/>
              </w:rPr>
              <w:t>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920" w:type="dxa"/>
        <w:tblCellMar>
          <w:top w:w="0" w:type="dxa"/>
          <w:left w:w="0" w:type="dxa"/>
          <w:bottom w:w="0" w:type="dxa"/>
          <w:right w:w="0" w:type="dxa"/>
        </w:tblCellMar>
      </w:tblPr>
      <w:tr>
        <w:trPr>
          <w:trHeight w:val="176"/>
        </w:trPr>
        <w:tc>
          <w:tcPr>
            <w:tcW w:w="3120" w:type="dxa"/>
            <w:vAlign w:val="bottom"/>
          </w:tcPr>
          <w:p>
            <w:pPr>
              <w:jc w:val="center"/>
              <w:ind w:right="2309"/>
              <w:spacing w:after="0"/>
              <w:rPr>
                <w:sz w:val="20"/>
                <w:szCs w:val="20"/>
                <w:color w:val="auto"/>
              </w:rPr>
            </w:pPr>
            <w:r>
              <w:rPr>
                <w:rFonts w:ascii="Arial" w:cs="Arial" w:eastAsia="Arial" w:hAnsi="Arial"/>
                <w:sz w:val="14"/>
                <w:szCs w:val="14"/>
                <w:b w:val="1"/>
                <w:bCs w:val="1"/>
                <w:i w:val="1"/>
                <w:iCs w:val="1"/>
                <w:color w:val="7F7F7F"/>
              </w:rPr>
              <w:t>Higher</w:t>
            </w:r>
          </w:p>
        </w:tc>
        <w:tc>
          <w:tcPr>
            <w:tcW w:w="3100" w:type="dxa"/>
            <w:vAlign w:val="bottom"/>
          </w:tcPr>
          <w:p>
            <w:pPr>
              <w:jc w:val="center"/>
              <w:ind w:left="2349"/>
              <w:spacing w:after="0"/>
              <w:rPr>
                <w:sz w:val="20"/>
                <w:szCs w:val="20"/>
                <w:color w:val="auto"/>
              </w:rPr>
            </w:pPr>
            <w:r>
              <w:rPr>
                <w:rFonts w:ascii="Arial" w:cs="Arial" w:eastAsia="Arial" w:hAnsi="Arial"/>
                <w:sz w:val="14"/>
                <w:szCs w:val="14"/>
                <w:b w:val="1"/>
                <w:bCs w:val="1"/>
                <w:i w:val="1"/>
                <w:iCs w:val="1"/>
                <w:color w:val="7F7F7F"/>
                <w:w w:val="99"/>
              </w:rPr>
              <w:t>Higher</w:t>
            </w:r>
          </w:p>
        </w:tc>
      </w:tr>
      <w:tr>
        <w:trPr>
          <w:trHeight w:val="165"/>
        </w:trPr>
        <w:tc>
          <w:tcPr>
            <w:tcW w:w="3120" w:type="dxa"/>
            <w:vAlign w:val="bottom"/>
          </w:tcPr>
          <w:p>
            <w:pPr>
              <w:jc w:val="center"/>
              <w:ind w:right="2329"/>
              <w:spacing w:after="0"/>
              <w:rPr>
                <w:sz w:val="20"/>
                <w:szCs w:val="20"/>
                <w:color w:val="auto"/>
              </w:rPr>
            </w:pPr>
            <w:r>
              <w:rPr>
                <w:rFonts w:ascii="Arial" w:cs="Arial" w:eastAsia="Arial" w:hAnsi="Arial"/>
                <w:sz w:val="14"/>
                <w:szCs w:val="14"/>
                <w:b w:val="1"/>
                <w:bCs w:val="1"/>
                <w:i w:val="1"/>
                <w:iCs w:val="1"/>
                <w:color w:val="7F7F7F"/>
              </w:rPr>
              <w:t>Cost</w:t>
            </w:r>
          </w:p>
        </w:tc>
        <w:tc>
          <w:tcPr>
            <w:tcW w:w="3100" w:type="dxa"/>
            <w:vAlign w:val="bottom"/>
          </w:tcPr>
          <w:p>
            <w:pPr>
              <w:jc w:val="center"/>
              <w:ind w:left="2309"/>
              <w:spacing w:after="0"/>
              <w:rPr>
                <w:sz w:val="20"/>
                <w:szCs w:val="20"/>
                <w:color w:val="auto"/>
              </w:rPr>
            </w:pPr>
            <w:r>
              <w:rPr>
                <w:rFonts w:ascii="Arial" w:cs="Arial" w:eastAsia="Arial" w:hAnsi="Arial"/>
                <w:sz w:val="14"/>
                <w:szCs w:val="14"/>
                <w:b w:val="1"/>
                <w:bCs w:val="1"/>
                <w:i w:val="1"/>
                <w:iCs w:val="1"/>
                <w:color w:val="7F7F7F"/>
              </w:rPr>
              <w:t>Cost</w:t>
            </w:r>
          </w:p>
        </w:tc>
      </w:tr>
      <w:tr>
        <w:trPr>
          <w:trHeight w:val="186"/>
        </w:trPr>
        <w:tc>
          <w:tcPr>
            <w:tcW w:w="3120" w:type="dxa"/>
            <w:vAlign w:val="bottom"/>
          </w:tcPr>
          <w:p>
            <w:pPr>
              <w:jc w:val="center"/>
              <w:ind w:right="2329"/>
              <w:spacing w:after="0"/>
              <w:rPr>
                <w:sz w:val="20"/>
                <w:szCs w:val="20"/>
                <w:color w:val="auto"/>
              </w:rPr>
            </w:pPr>
            <w:r>
              <w:rPr>
                <w:rFonts w:ascii="Arial" w:cs="Arial" w:eastAsia="Arial" w:hAnsi="Arial"/>
                <w:sz w:val="14"/>
                <w:szCs w:val="14"/>
                <w:b w:val="1"/>
                <w:bCs w:val="1"/>
                <w:i w:val="1"/>
                <w:iCs w:val="1"/>
                <w:color w:val="7F7F7F"/>
              </w:rPr>
              <w:t>Structures</w:t>
            </w:r>
          </w:p>
        </w:tc>
        <w:tc>
          <w:tcPr>
            <w:tcW w:w="3100" w:type="dxa"/>
            <w:vAlign w:val="bottom"/>
          </w:tcPr>
          <w:p>
            <w:pPr>
              <w:jc w:val="center"/>
              <w:ind w:left="2309"/>
              <w:spacing w:after="0"/>
              <w:rPr>
                <w:sz w:val="20"/>
                <w:szCs w:val="20"/>
                <w:color w:val="auto"/>
              </w:rPr>
            </w:pPr>
            <w:r>
              <w:rPr>
                <w:rFonts w:ascii="Arial" w:cs="Arial" w:eastAsia="Arial" w:hAnsi="Arial"/>
                <w:sz w:val="14"/>
                <w:szCs w:val="14"/>
                <w:b w:val="1"/>
                <w:bCs w:val="1"/>
                <w:i w:val="1"/>
                <w:iCs w:val="1"/>
                <w:color w:val="7F7F7F"/>
              </w:rPr>
              <w:t>Structures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32"/>
        </w:trPr>
        <w:tc>
          <w:tcPr>
            <w:tcW w:w="320" w:type="dxa"/>
            <w:vAlign w:val="bottom"/>
          </w:tcPr>
          <w:p>
            <w:pPr>
              <w:jc w:val="right"/>
              <w:ind w:right="67"/>
              <w:spacing w:after="0"/>
              <w:rPr>
                <w:sz w:val="20"/>
                <w:szCs w:val="20"/>
                <w:color w:val="auto"/>
              </w:rPr>
            </w:pPr>
            <w:r>
              <w:rPr>
                <w:rFonts w:ascii="Arial" w:cs="Arial" w:eastAsia="Arial" w:hAnsi="Arial"/>
                <w:sz w:val="11"/>
                <w:szCs w:val="11"/>
                <w:color w:val="auto"/>
              </w:rPr>
              <w:t>0%</w:t>
            </w: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80" w:type="dxa"/>
            <w:vAlign w:val="bottom"/>
          </w:tcPr>
          <w:p>
            <w:pPr>
              <w:jc w:val="right"/>
              <w:ind w:right="167"/>
              <w:spacing w:after="0"/>
              <w:rPr>
                <w:sz w:val="20"/>
                <w:szCs w:val="20"/>
                <w:color w:val="auto"/>
              </w:rPr>
            </w:pPr>
            <w:r>
              <w:rPr>
                <w:rFonts w:ascii="Arial" w:cs="Arial" w:eastAsia="Arial" w:hAnsi="Arial"/>
                <w:sz w:val="11"/>
                <w:szCs w:val="11"/>
                <w:color w:val="auto"/>
              </w:rPr>
              <w:t>3%</w:t>
            </w:r>
          </w:p>
        </w:tc>
        <w:tc>
          <w:tcPr>
            <w:tcW w:w="30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780" w:type="dxa"/>
            <w:vAlign w:val="bottom"/>
          </w:tcPr>
          <w:p>
            <w:pPr>
              <w:jc w:val="right"/>
              <w:ind w:right="427"/>
              <w:spacing w:after="0"/>
              <w:rPr>
                <w:sz w:val="20"/>
                <w:szCs w:val="20"/>
                <w:color w:val="auto"/>
              </w:rPr>
            </w:pPr>
            <w:r>
              <w:rPr>
                <w:rFonts w:ascii="Arial" w:cs="Arial" w:eastAsia="Arial" w:hAnsi="Arial"/>
                <w:sz w:val="11"/>
                <w:szCs w:val="11"/>
                <w:color w:val="auto"/>
              </w:rPr>
              <w:t>10%</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47"/>
              <w:spacing w:after="0"/>
              <w:rPr>
                <w:sz w:val="20"/>
                <w:szCs w:val="20"/>
                <w:color w:val="auto"/>
              </w:rPr>
            </w:pPr>
            <w:r>
              <w:rPr>
                <w:rFonts w:ascii="Arial" w:cs="Arial" w:eastAsia="Arial" w:hAnsi="Arial"/>
                <w:sz w:val="11"/>
                <w:szCs w:val="11"/>
                <w:color w:val="auto"/>
              </w:rPr>
              <w:t>10%</w:t>
            </w:r>
          </w:p>
        </w:tc>
        <w:tc>
          <w:tcPr>
            <w:tcW w:w="380" w:type="dxa"/>
            <w:vAlign w:val="bottom"/>
          </w:tcPr>
          <w:p>
            <w:pPr>
              <w:jc w:val="right"/>
              <w:ind w:right="47"/>
              <w:spacing w:after="0"/>
              <w:rPr>
                <w:sz w:val="20"/>
                <w:szCs w:val="20"/>
                <w:color w:val="auto"/>
              </w:rPr>
            </w:pPr>
            <w:r>
              <w:rPr>
                <w:rFonts w:ascii="Arial" w:cs="Arial" w:eastAsia="Arial" w:hAnsi="Arial"/>
                <w:sz w:val="11"/>
                <w:szCs w:val="11"/>
                <w:color w:val="auto"/>
              </w:rPr>
              <w:t>20%</w:t>
            </w:r>
          </w:p>
        </w:tc>
        <w:tc>
          <w:tcPr>
            <w:tcW w:w="460" w:type="dxa"/>
            <w:vAlign w:val="bottom"/>
          </w:tcPr>
          <w:p>
            <w:pPr>
              <w:jc w:val="right"/>
              <w:ind w:right="127"/>
              <w:spacing w:after="0"/>
              <w:rPr>
                <w:sz w:val="20"/>
                <w:szCs w:val="20"/>
                <w:color w:val="auto"/>
              </w:rPr>
            </w:pPr>
            <w:r>
              <w:rPr>
                <w:rFonts w:ascii="Arial" w:cs="Arial" w:eastAsia="Arial" w:hAnsi="Arial"/>
                <w:sz w:val="11"/>
                <w:szCs w:val="11"/>
                <w:color w:val="auto"/>
              </w:rPr>
              <w:t>30%</w:t>
            </w:r>
          </w:p>
        </w:tc>
        <w:tc>
          <w:tcPr>
            <w:tcW w:w="300" w:type="dxa"/>
            <w:vAlign w:val="bottom"/>
          </w:tcPr>
          <w:p>
            <w:pPr>
              <w:jc w:val="right"/>
              <w:ind w:right="27"/>
              <w:spacing w:after="0"/>
              <w:rPr>
                <w:sz w:val="20"/>
                <w:szCs w:val="20"/>
                <w:color w:val="auto"/>
              </w:rPr>
            </w:pPr>
            <w:r>
              <w:rPr>
                <w:rFonts w:ascii="Arial" w:cs="Arial" w:eastAsia="Arial" w:hAnsi="Arial"/>
                <w:sz w:val="11"/>
                <w:szCs w:val="11"/>
                <w:color w:val="auto"/>
                <w:w w:val="90"/>
              </w:rPr>
              <w:t>40%</w:t>
            </w:r>
          </w:p>
        </w:tc>
        <w:tc>
          <w:tcPr>
            <w:tcW w:w="400" w:type="dxa"/>
            <w:vAlign w:val="bottom"/>
          </w:tcPr>
          <w:p>
            <w:pPr>
              <w:jc w:val="right"/>
              <w:ind w:right="47"/>
              <w:spacing w:after="0"/>
              <w:rPr>
                <w:sz w:val="20"/>
                <w:szCs w:val="20"/>
                <w:color w:val="auto"/>
              </w:rPr>
            </w:pPr>
            <w:r>
              <w:rPr>
                <w:rFonts w:ascii="Arial" w:cs="Arial" w:eastAsia="Arial" w:hAnsi="Arial"/>
                <w:sz w:val="11"/>
                <w:szCs w:val="11"/>
                <w:color w:val="auto"/>
              </w:rPr>
              <w:t>50%</w:t>
            </w:r>
          </w:p>
        </w:tc>
        <w:tc>
          <w:tcPr>
            <w:tcW w:w="380" w:type="dxa"/>
            <w:vAlign w:val="bottom"/>
          </w:tcPr>
          <w:p>
            <w:pPr>
              <w:jc w:val="right"/>
              <w:ind w:right="47"/>
              <w:spacing w:after="0"/>
              <w:rPr>
                <w:sz w:val="20"/>
                <w:szCs w:val="20"/>
                <w:color w:val="auto"/>
              </w:rPr>
            </w:pPr>
            <w:r>
              <w:rPr>
                <w:rFonts w:ascii="Arial" w:cs="Arial" w:eastAsia="Arial" w:hAnsi="Arial"/>
                <w:sz w:val="11"/>
                <w:szCs w:val="11"/>
                <w:color w:val="auto"/>
              </w:rPr>
              <w:t>60%</w:t>
            </w:r>
          </w:p>
        </w:tc>
        <w:tc>
          <w:tcPr>
            <w:tcW w:w="400" w:type="dxa"/>
            <w:vAlign w:val="bottom"/>
          </w:tcPr>
          <w:p>
            <w:pPr>
              <w:jc w:val="right"/>
              <w:ind w:right="47"/>
              <w:spacing w:after="0"/>
              <w:rPr>
                <w:sz w:val="20"/>
                <w:szCs w:val="20"/>
                <w:color w:val="auto"/>
              </w:rPr>
            </w:pPr>
            <w:r>
              <w:rPr>
                <w:rFonts w:ascii="Arial" w:cs="Arial" w:eastAsia="Arial" w:hAnsi="Arial"/>
                <w:sz w:val="11"/>
                <w:szCs w:val="11"/>
                <w:color w:val="auto"/>
              </w:rPr>
              <w:t>70%</w:t>
            </w:r>
          </w:p>
        </w:tc>
        <w:tc>
          <w:tcPr>
            <w:tcW w:w="380" w:type="dxa"/>
            <w:vAlign w:val="bottom"/>
          </w:tcPr>
          <w:p>
            <w:pPr>
              <w:jc w:val="right"/>
              <w:ind w:right="47"/>
              <w:spacing w:after="0"/>
              <w:rPr>
                <w:sz w:val="20"/>
                <w:szCs w:val="20"/>
                <w:color w:val="auto"/>
              </w:rPr>
            </w:pPr>
            <w:r>
              <w:rPr>
                <w:rFonts w:ascii="Arial" w:cs="Arial" w:eastAsia="Arial" w:hAnsi="Arial"/>
                <w:sz w:val="11"/>
                <w:szCs w:val="11"/>
                <w:color w:val="auto"/>
              </w:rPr>
              <w:t>80%</w:t>
            </w:r>
          </w:p>
        </w:tc>
        <w:tc>
          <w:tcPr>
            <w:tcW w:w="400" w:type="dxa"/>
            <w:vAlign w:val="bottom"/>
          </w:tcPr>
          <w:p>
            <w:pPr>
              <w:jc w:val="right"/>
              <w:ind w:right="67"/>
              <w:spacing w:after="0"/>
              <w:rPr>
                <w:sz w:val="20"/>
                <w:szCs w:val="20"/>
                <w:color w:val="auto"/>
              </w:rPr>
            </w:pPr>
            <w:r>
              <w:rPr>
                <w:rFonts w:ascii="Arial" w:cs="Arial" w:eastAsia="Arial" w:hAnsi="Arial"/>
                <w:sz w:val="11"/>
                <w:szCs w:val="11"/>
                <w:color w:val="auto"/>
              </w:rPr>
              <w:t>90%</w:t>
            </w:r>
          </w:p>
        </w:tc>
        <w:tc>
          <w:tcPr>
            <w:tcW w:w="300" w:type="dxa"/>
            <w:vAlign w:val="bottom"/>
          </w:tcPr>
          <w:p>
            <w:pPr>
              <w:jc w:val="right"/>
              <w:spacing w:after="0"/>
              <w:rPr>
                <w:sz w:val="20"/>
                <w:szCs w:val="20"/>
                <w:color w:val="auto"/>
              </w:rPr>
            </w:pPr>
            <w:r>
              <w:rPr>
                <w:rFonts w:ascii="Arial" w:cs="Arial" w:eastAsia="Arial" w:hAnsi="Arial"/>
                <w:sz w:val="11"/>
                <w:szCs w:val="11"/>
                <w:color w:val="auto"/>
                <w:w w:val="99"/>
              </w:rPr>
              <w:t>100%</w:t>
            </w:r>
          </w:p>
        </w:tc>
      </w:tr>
      <w:tr>
        <w:trPr>
          <w:trHeight w:val="270"/>
        </w:trPr>
        <w:tc>
          <w:tcPr>
            <w:tcW w:w="1580" w:type="dxa"/>
            <w:vAlign w:val="bottom"/>
            <w:gridSpan w:val="4"/>
          </w:tcPr>
          <w:p>
            <w:pPr>
              <w:spacing w:after="0"/>
              <w:rPr>
                <w:sz w:val="20"/>
                <w:szCs w:val="20"/>
                <w:color w:val="auto"/>
              </w:rPr>
            </w:pPr>
            <w:r>
              <w:rPr>
                <w:rFonts w:ascii="Arial" w:cs="Arial" w:eastAsia="Arial" w:hAnsi="Arial"/>
                <w:sz w:val="11"/>
                <w:szCs w:val="11"/>
                <w:color w:val="auto"/>
                <w:w w:val="89"/>
              </w:rPr>
              <w:t>Mkt. Cap. Between $500M and $1B</w:t>
            </w:r>
          </w:p>
        </w:tc>
        <w:tc>
          <w:tcPr>
            <w:tcW w:w="300" w:type="dxa"/>
            <w:vAlign w:val="bottom"/>
          </w:tcPr>
          <w:p>
            <w:pPr>
              <w:spacing w:after="0"/>
              <w:rPr>
                <w:sz w:val="23"/>
                <w:szCs w:val="23"/>
                <w:color w:val="auto"/>
              </w:rPr>
            </w:pPr>
          </w:p>
        </w:tc>
        <w:tc>
          <w:tcPr>
            <w:tcW w:w="1940" w:type="dxa"/>
            <w:vAlign w:val="bottom"/>
            <w:gridSpan w:val="5"/>
          </w:tcPr>
          <w:p>
            <w:pPr>
              <w:ind w:left="200"/>
              <w:spacing w:after="0"/>
              <w:rPr>
                <w:sz w:val="20"/>
                <w:szCs w:val="20"/>
                <w:color w:val="auto"/>
              </w:rPr>
            </w:pPr>
            <w:r>
              <w:rPr>
                <w:rFonts w:ascii="Arial" w:cs="Arial" w:eastAsia="Arial" w:hAnsi="Arial"/>
                <w:sz w:val="11"/>
                <w:szCs w:val="11"/>
                <w:color w:val="auto"/>
                <w:w w:val="91"/>
              </w:rPr>
              <w:t>Mkt. Cap. Between $200M and $500M</w:t>
            </w:r>
          </w:p>
        </w:tc>
        <w:tc>
          <w:tcPr>
            <w:tcW w:w="780" w:type="dxa"/>
            <w:vAlign w:val="bottom"/>
          </w:tcPr>
          <w:p>
            <w:pPr>
              <w:spacing w:after="0"/>
              <w:rPr>
                <w:sz w:val="23"/>
                <w:szCs w:val="23"/>
                <w:color w:val="auto"/>
              </w:rPr>
            </w:pPr>
          </w:p>
        </w:tc>
        <w:tc>
          <w:tcPr>
            <w:tcW w:w="2040" w:type="dxa"/>
            <w:vAlign w:val="bottom"/>
            <w:gridSpan w:val="4"/>
          </w:tcPr>
          <w:p>
            <w:pPr>
              <w:ind w:left="500"/>
              <w:spacing w:after="0"/>
              <w:rPr>
                <w:sz w:val="20"/>
                <w:szCs w:val="20"/>
                <w:color w:val="auto"/>
              </w:rPr>
            </w:pPr>
            <w:r>
              <w:rPr>
                <w:rFonts w:ascii="Arial" w:cs="Arial" w:eastAsia="Arial" w:hAnsi="Arial"/>
                <w:sz w:val="11"/>
                <w:szCs w:val="11"/>
                <w:color w:val="auto"/>
                <w:w w:val="87"/>
              </w:rPr>
              <w:t>Mkt. Cap. Between $500M and $1B</w:t>
            </w:r>
          </w:p>
        </w:tc>
        <w:tc>
          <w:tcPr>
            <w:tcW w:w="300" w:type="dxa"/>
            <w:vAlign w:val="bottom"/>
          </w:tcPr>
          <w:p>
            <w:pPr>
              <w:spacing w:after="0"/>
              <w:rPr>
                <w:sz w:val="23"/>
                <w:szCs w:val="23"/>
                <w:color w:val="auto"/>
              </w:rPr>
            </w:pPr>
          </w:p>
        </w:tc>
        <w:tc>
          <w:tcPr>
            <w:tcW w:w="1960" w:type="dxa"/>
            <w:vAlign w:val="bottom"/>
            <w:gridSpan w:val="5"/>
          </w:tcPr>
          <w:p>
            <w:pPr>
              <w:ind w:left="220"/>
              <w:spacing w:after="0"/>
              <w:rPr>
                <w:sz w:val="20"/>
                <w:szCs w:val="20"/>
                <w:color w:val="auto"/>
              </w:rPr>
            </w:pPr>
            <w:r>
              <w:rPr>
                <w:rFonts w:ascii="Arial" w:cs="Arial" w:eastAsia="Arial" w:hAnsi="Arial"/>
                <w:sz w:val="11"/>
                <w:szCs w:val="11"/>
                <w:color w:val="auto"/>
                <w:w w:val="91"/>
              </w:rPr>
              <w:t>Mkt. Cap. Between $200M and $500M</w:t>
            </w:r>
          </w:p>
        </w:tc>
        <w:tc>
          <w:tcPr>
            <w:tcW w:w="300" w:type="dxa"/>
            <w:vAlign w:val="bottom"/>
          </w:tcPr>
          <w:p>
            <w:pPr>
              <w:spacing w:after="0"/>
              <w:rPr>
                <w:sz w:val="23"/>
                <w:szCs w:val="23"/>
                <w:color w:val="auto"/>
              </w:rPr>
            </w:pPr>
          </w:p>
        </w:tc>
      </w:tr>
      <w:tr>
        <w:trPr>
          <w:trHeight w:val="223"/>
        </w:trPr>
        <w:tc>
          <w:tcPr>
            <w:tcW w:w="1580" w:type="dxa"/>
            <w:vAlign w:val="bottom"/>
            <w:gridSpan w:val="4"/>
          </w:tcPr>
          <w:p>
            <w:pPr>
              <w:spacing w:after="0"/>
              <w:rPr>
                <w:sz w:val="20"/>
                <w:szCs w:val="20"/>
                <w:color w:val="auto"/>
              </w:rPr>
            </w:pPr>
            <w:r>
              <w:rPr>
                <w:rFonts w:ascii="Arial" w:cs="Arial" w:eastAsia="Arial" w:hAnsi="Arial"/>
                <w:sz w:val="11"/>
                <w:szCs w:val="11"/>
                <w:color w:val="auto"/>
              </w:rPr>
              <w:t>Mkt. Cap. Less Than $200M</w:t>
            </w:r>
          </w:p>
        </w:tc>
        <w:tc>
          <w:tcPr>
            <w:tcW w:w="300" w:type="dxa"/>
            <w:vAlign w:val="bottom"/>
          </w:tcPr>
          <w:p>
            <w:pPr>
              <w:spacing w:after="0"/>
              <w:rPr>
                <w:sz w:val="19"/>
                <w:szCs w:val="19"/>
                <w:color w:val="auto"/>
              </w:rPr>
            </w:pPr>
          </w:p>
        </w:tc>
        <w:tc>
          <w:tcPr>
            <w:tcW w:w="1940" w:type="dxa"/>
            <w:vAlign w:val="bottom"/>
            <w:gridSpan w:val="5"/>
          </w:tcPr>
          <w:p>
            <w:pPr>
              <w:ind w:left="200"/>
              <w:spacing w:after="0"/>
              <w:rPr>
                <w:sz w:val="20"/>
                <w:szCs w:val="20"/>
                <w:color w:val="auto"/>
              </w:rPr>
            </w:pPr>
            <w:r>
              <w:rPr>
                <w:rFonts w:ascii="Arial" w:cs="Arial" w:eastAsia="Arial" w:hAnsi="Arial"/>
                <w:sz w:val="11"/>
                <w:szCs w:val="11"/>
                <w:color w:val="auto"/>
                <w:w w:val="96"/>
              </w:rPr>
              <w:t>Floating Rate Snr. Secured Vehicles</w:t>
            </w:r>
          </w:p>
        </w:tc>
        <w:tc>
          <w:tcPr>
            <w:tcW w:w="780" w:type="dxa"/>
            <w:vAlign w:val="bottom"/>
          </w:tcPr>
          <w:p>
            <w:pPr>
              <w:spacing w:after="0"/>
              <w:rPr>
                <w:sz w:val="19"/>
                <w:szCs w:val="19"/>
                <w:color w:val="auto"/>
              </w:rPr>
            </w:pPr>
          </w:p>
        </w:tc>
        <w:tc>
          <w:tcPr>
            <w:tcW w:w="2040" w:type="dxa"/>
            <w:vAlign w:val="bottom"/>
            <w:gridSpan w:val="4"/>
          </w:tcPr>
          <w:p>
            <w:pPr>
              <w:ind w:left="500"/>
              <w:spacing w:after="0"/>
              <w:rPr>
                <w:sz w:val="20"/>
                <w:szCs w:val="20"/>
                <w:color w:val="auto"/>
              </w:rPr>
            </w:pPr>
            <w:r>
              <w:rPr>
                <w:rFonts w:ascii="Arial" w:cs="Arial" w:eastAsia="Arial" w:hAnsi="Arial"/>
                <w:sz w:val="11"/>
                <w:szCs w:val="11"/>
                <w:color w:val="auto"/>
              </w:rPr>
              <w:t>Mkt. Cap. Less Than $200M</w:t>
            </w:r>
          </w:p>
        </w:tc>
        <w:tc>
          <w:tcPr>
            <w:tcW w:w="300" w:type="dxa"/>
            <w:vAlign w:val="bottom"/>
          </w:tcPr>
          <w:p>
            <w:pPr>
              <w:spacing w:after="0"/>
              <w:rPr>
                <w:sz w:val="19"/>
                <w:szCs w:val="19"/>
                <w:color w:val="auto"/>
              </w:rPr>
            </w:pPr>
          </w:p>
        </w:tc>
        <w:tc>
          <w:tcPr>
            <w:tcW w:w="1960" w:type="dxa"/>
            <w:vAlign w:val="bottom"/>
            <w:gridSpan w:val="5"/>
          </w:tcPr>
          <w:p>
            <w:pPr>
              <w:ind w:left="220"/>
              <w:spacing w:after="0"/>
              <w:rPr>
                <w:sz w:val="20"/>
                <w:szCs w:val="20"/>
                <w:color w:val="auto"/>
              </w:rPr>
            </w:pPr>
            <w:r>
              <w:rPr>
                <w:rFonts w:ascii="Arial" w:cs="Arial" w:eastAsia="Arial" w:hAnsi="Arial"/>
                <w:sz w:val="11"/>
                <w:szCs w:val="11"/>
                <w:color w:val="auto"/>
                <w:w w:val="96"/>
              </w:rPr>
              <w:t>Floating Rate Snr. Secured Vehicles</w:t>
            </w:r>
          </w:p>
        </w:tc>
        <w:tc>
          <w:tcPr>
            <w:tcW w:w="300" w:type="dxa"/>
            <w:vAlign w:val="bottom"/>
          </w:tcPr>
          <w:p>
            <w:pPr>
              <w:spacing w:after="0"/>
              <w:rPr>
                <w:sz w:val="19"/>
                <w:szCs w:val="19"/>
                <w:color w:val="auto"/>
              </w:rPr>
            </w:pPr>
          </w:p>
        </w:tc>
      </w:tr>
    </w:tbl>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7680" w:type="dxa"/>
            <w:vAlign w:val="bottom"/>
          </w:tcPr>
          <w:p>
            <w:pPr>
              <w:spacing w:after="0"/>
              <w:rPr>
                <w:sz w:val="20"/>
                <w:szCs w:val="20"/>
                <w:color w:val="auto"/>
              </w:rPr>
            </w:pPr>
            <w:r>
              <w:rPr>
                <w:rFonts w:ascii="Arial" w:cs="Arial" w:eastAsia="Arial" w:hAnsi="Arial"/>
                <w:sz w:val="9"/>
                <w:szCs w:val="9"/>
                <w:color w:val="auto"/>
              </w:rPr>
              <w:t>Note: Includes all externally-managed BDCs that are paying a regular cash dividend. Excludes BDCs that have not filed quarterly financials since Q3'14.</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680" w:type="dxa"/>
            <w:vAlign w:val="bottom"/>
          </w:tcPr>
          <w:p>
            <w:pPr>
              <w:spacing w:after="0"/>
              <w:rPr>
                <w:sz w:val="20"/>
                <w:szCs w:val="20"/>
                <w:color w:val="auto"/>
              </w:rPr>
            </w:pPr>
            <w:r>
              <w:rPr>
                <w:rFonts w:ascii="Arial" w:cs="Arial" w:eastAsia="Arial" w:hAnsi="Arial"/>
                <w:sz w:val="9"/>
                <w:szCs w:val="9"/>
                <w:color w:val="auto"/>
              </w:rPr>
              <w:t>Source: SNL Financial as of most recent quarterly financials.</w:t>
            </w: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73"/>
        </w:trPr>
        <w:tc>
          <w:tcPr>
            <w:tcW w:w="768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919"/>
          </w:cols>
          <w:pgMar w:left="540" w:top="606"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2620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9"/>
          <w:szCs w:val="39"/>
          <w:color w:val="FFFFFF"/>
        </w:rPr>
        <w:t xml:space="preserve">Section II.  </w:t>
      </w:r>
      <w:r>
        <w:rPr>
          <w:rFonts w:ascii="Arial" w:cs="Arial" w:eastAsia="Arial" w:hAnsi="Arial"/>
          <w:sz w:val="39"/>
          <w:szCs w:val="39"/>
          <w:b w:val="1"/>
          <w:bCs w:val="1"/>
          <w:color w:val="FFFFFF"/>
        </w:rPr>
        <w:t>PFLT’s Value Proposition</w:t>
      </w: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600"/>
        <w:spacing w:after="0"/>
        <w:rPr>
          <w:sz w:val="20"/>
          <w:szCs w:val="20"/>
          <w:color w:val="auto"/>
        </w:rPr>
      </w:pPr>
      <w:r>
        <w:rPr>
          <w:rFonts w:ascii="Arial" w:cs="Arial" w:eastAsia="Arial" w:hAnsi="Arial"/>
          <w:sz w:val="12"/>
          <w:szCs w:val="12"/>
          <w:b w:val="1"/>
          <w:bCs w:val="1"/>
          <w:color w:val="auto"/>
        </w:rPr>
        <w:t>11</w:t>
      </w:r>
    </w:p>
    <w:p>
      <w:pPr>
        <w:sectPr>
          <w:pgSz w:w="11900" w:h="16838" w:orient="portrait"/>
          <w:cols w:equalWidth="0" w:num="1">
            <w:col w:w="10039"/>
          </w:cols>
          <w:pgMar w:left="420" w:top="1440" w:right="1440" w:bottom="1440" w:gutter="0" w:footer="0" w:header="0"/>
          <w:type w:val="continuous"/>
        </w:sectPr>
      </w:pPr>
    </w:p>
    <w:bookmarkStart w:id="12" w:name="page13"/>
    <w:bookmarkEnd w:id="12"/>
    <w:p>
      <w:pPr>
        <w:ind w:left="240"/>
        <w:spacing w:after="0"/>
        <w:rPr>
          <w:sz w:val="20"/>
          <w:szCs w:val="20"/>
          <w:color w:val="auto"/>
        </w:rPr>
      </w:pPr>
      <w:r>
        <w:rPr>
          <w:rFonts w:ascii="Arial" w:cs="Arial" w:eastAsia="Arial" w:hAnsi="Arial"/>
          <w:sz w:val="31"/>
          <w:szCs w:val="31"/>
          <w:color w:val="auto"/>
        </w:rPr>
        <w:t>Established Credit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FFFFFF"/>
        </w:rPr>
        <w:t>Established Investment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-1160145</wp:posOffset>
            </wp:positionV>
            <wp:extent cx="7304405" cy="4965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496506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Adviser founded in 2007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Deep expertise in the middle market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Longer investment horizon with attractive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model</w:t>
      </w:r>
    </w:p>
    <w:p>
      <w:pPr>
        <w:spacing w:after="0" w:line="200" w:lineRule="exact"/>
        <w:rPr>
          <w:sz w:val="20"/>
          <w:szCs w:val="20"/>
          <w:color w:val="auto"/>
        </w:rPr>
      </w:pPr>
    </w:p>
    <w:p>
      <w:pPr>
        <w:sectPr>
          <w:pgSz w:w="11900" w:h="16838" w:orient="portrait"/>
          <w:cols w:equalWidth="0" w:num="2">
            <w:col w:w="5380" w:space="720"/>
            <w:col w:w="3880"/>
          </w:cols>
          <w:pgMar w:left="580" w:top="606"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00" w:type="dxa"/>
            <w:vAlign w:val="bottom"/>
          </w:tcPr>
          <w:p>
            <w:pPr>
              <w:ind w:left="100"/>
              <w:spacing w:after="0"/>
              <w:rPr>
                <w:sz w:val="20"/>
                <w:szCs w:val="20"/>
                <w:color w:val="auto"/>
              </w:rPr>
            </w:pPr>
            <w:r>
              <w:rPr>
                <w:rFonts w:ascii="Arial" w:cs="Arial" w:eastAsia="Arial" w:hAnsi="Arial"/>
                <w:sz w:val="13"/>
                <w:szCs w:val="13"/>
                <w:color w:val="auto"/>
              </w:rPr>
              <w:t>NASDAQ: “PNNT”</w:t>
            </w:r>
          </w:p>
        </w:tc>
        <w:tc>
          <w:tcPr>
            <w:tcW w:w="920" w:type="dxa"/>
            <w:vAlign w:val="bottom"/>
          </w:tcPr>
          <w:p>
            <w:pPr>
              <w:spacing w:after="0"/>
              <w:rPr>
                <w:sz w:val="13"/>
                <w:szCs w:val="13"/>
                <w:color w:val="auto"/>
              </w:rPr>
            </w:pPr>
          </w:p>
        </w:tc>
        <w:tc>
          <w:tcPr>
            <w:tcW w:w="3140" w:type="dxa"/>
            <w:vAlign w:val="bottom"/>
            <w:gridSpan w:val="2"/>
          </w:tcPr>
          <w:p>
            <w:pPr>
              <w:ind w:left="500"/>
              <w:spacing w:after="0"/>
              <w:rPr>
                <w:sz w:val="20"/>
                <w:szCs w:val="20"/>
                <w:color w:val="auto"/>
              </w:rPr>
            </w:pPr>
            <w:r>
              <w:rPr>
                <w:rFonts w:ascii="Arial" w:cs="Arial" w:eastAsia="Arial" w:hAnsi="Arial"/>
                <w:sz w:val="13"/>
                <w:szCs w:val="13"/>
                <w:color w:val="auto"/>
              </w:rPr>
              <w:t>NASDAQ: “PFLT”</w:t>
            </w:r>
          </w:p>
        </w:tc>
        <w:tc>
          <w:tcPr>
            <w:tcW w:w="0" w:type="dxa"/>
            <w:vAlign w:val="bottom"/>
          </w:tcPr>
          <w:p>
            <w:pPr>
              <w:spacing w:after="0"/>
              <w:rPr>
                <w:sz w:val="1"/>
                <w:szCs w:val="1"/>
                <w:color w:val="auto"/>
              </w:rPr>
            </w:pPr>
          </w:p>
        </w:tc>
      </w:tr>
      <w:tr>
        <w:trPr>
          <w:trHeight w:val="163"/>
        </w:trPr>
        <w:tc>
          <w:tcPr>
            <w:tcW w:w="1300" w:type="dxa"/>
            <w:vAlign w:val="bottom"/>
          </w:tcPr>
          <w:p>
            <w:pPr>
              <w:ind w:left="100"/>
              <w:spacing w:after="0"/>
              <w:rPr>
                <w:sz w:val="20"/>
                <w:szCs w:val="20"/>
                <w:color w:val="auto"/>
              </w:rPr>
            </w:pPr>
            <w:r>
              <w:rPr>
                <w:rFonts w:ascii="Arial" w:cs="Arial" w:eastAsia="Arial" w:hAnsi="Arial"/>
                <w:sz w:val="13"/>
                <w:szCs w:val="13"/>
                <w:color w:val="auto"/>
                <w:w w:val="98"/>
              </w:rPr>
              <w:t>IPO Date: April 2007</w:t>
            </w:r>
          </w:p>
        </w:tc>
        <w:tc>
          <w:tcPr>
            <w:tcW w:w="920" w:type="dxa"/>
            <w:vAlign w:val="bottom"/>
          </w:tcPr>
          <w:p>
            <w:pPr>
              <w:spacing w:after="0"/>
              <w:rPr>
                <w:sz w:val="14"/>
                <w:szCs w:val="14"/>
                <w:color w:val="auto"/>
              </w:rPr>
            </w:pPr>
          </w:p>
        </w:tc>
        <w:tc>
          <w:tcPr>
            <w:tcW w:w="3140" w:type="dxa"/>
            <w:vAlign w:val="bottom"/>
            <w:gridSpan w:val="2"/>
          </w:tcPr>
          <w:p>
            <w:pPr>
              <w:ind w:left="500"/>
              <w:spacing w:after="0"/>
              <w:rPr>
                <w:sz w:val="20"/>
                <w:szCs w:val="20"/>
                <w:color w:val="auto"/>
              </w:rPr>
            </w:pPr>
            <w:r>
              <w:rPr>
                <w:rFonts w:ascii="Arial" w:cs="Arial" w:eastAsia="Arial" w:hAnsi="Arial"/>
                <w:sz w:val="13"/>
                <w:szCs w:val="13"/>
                <w:color w:val="auto"/>
              </w:rPr>
              <w:t>IPO Date: April 2011</w:t>
            </w:r>
          </w:p>
        </w:tc>
        <w:tc>
          <w:tcPr>
            <w:tcW w:w="0" w:type="dxa"/>
            <w:vAlign w:val="bottom"/>
          </w:tcPr>
          <w:p>
            <w:pPr>
              <w:spacing w:after="0"/>
              <w:rPr>
                <w:sz w:val="1"/>
                <w:szCs w:val="1"/>
                <w:color w:val="auto"/>
              </w:rPr>
            </w:pPr>
          </w:p>
        </w:tc>
      </w:tr>
      <w:tr>
        <w:trPr>
          <w:trHeight w:val="306"/>
        </w:trPr>
        <w:tc>
          <w:tcPr>
            <w:tcW w:w="130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2"/>
              </w:rPr>
              <w:t>Common and</w:t>
            </w: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Subordinated</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1"/>
              </w:rPr>
              <w:t>Debt, Common</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30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Preferred</w:t>
            </w:r>
          </w:p>
        </w:tc>
        <w:tc>
          <w:tcPr>
            <w:tcW w:w="1060" w:type="dxa"/>
            <w:vAlign w:val="bottom"/>
            <w:vMerge w:val="continue"/>
          </w:tcPr>
          <w:p>
            <w:pPr>
              <w:spacing w:after="0"/>
              <w:rPr>
                <w:sz w:val="6"/>
                <w:szCs w:val="6"/>
                <w:color w:val="auto"/>
              </w:rPr>
            </w:pPr>
          </w:p>
        </w:tc>
        <w:tc>
          <w:tcPr>
            <w:tcW w:w="2080" w:type="dxa"/>
            <w:vAlign w:val="bottom"/>
            <w:vMerge w:val="restart"/>
          </w:tcPr>
          <w:p>
            <w:pPr>
              <w:jc w:val="center"/>
              <w:ind w:left="1315"/>
              <w:spacing w:after="0"/>
              <w:rPr>
                <w:sz w:val="20"/>
                <w:szCs w:val="20"/>
                <w:color w:val="auto"/>
              </w:rPr>
            </w:pPr>
            <w:r>
              <w:rPr>
                <w:rFonts w:ascii="Arial" w:cs="Arial" w:eastAsia="Arial" w:hAnsi="Arial"/>
                <w:sz w:val="13"/>
                <w:szCs w:val="13"/>
                <w:color w:val="auto"/>
                <w:w w:val="92"/>
              </w:rPr>
              <w:t>2nd Lien</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8"/>
              </w:rPr>
              <w:t>and Perferred</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3"/>
              </w:rPr>
              <w:t>Equity</w:t>
            </w:r>
          </w:p>
        </w:tc>
        <w:tc>
          <w:tcPr>
            <w:tcW w:w="106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3"/>
              </w:rPr>
              <w:t>Equity</w:t>
            </w:r>
          </w:p>
        </w:tc>
        <w:tc>
          <w:tcPr>
            <w:tcW w:w="2080" w:type="dxa"/>
            <w:vAlign w:val="bottom"/>
            <w:vMerge w:val="restart"/>
          </w:tcPr>
          <w:p>
            <w:pPr>
              <w:jc w:val="center"/>
              <w:ind w:left="1315"/>
              <w:spacing w:after="0"/>
              <w:rPr>
                <w:sz w:val="20"/>
                <w:szCs w:val="20"/>
                <w:color w:val="auto"/>
              </w:rPr>
            </w:pPr>
            <w:r>
              <w:rPr>
                <w:rFonts w:ascii="Arial" w:cs="Arial" w:eastAsia="Arial" w:hAnsi="Arial"/>
                <w:sz w:val="13"/>
                <w:szCs w:val="13"/>
                <w:color w:val="auto"/>
                <w:w w:val="88"/>
              </w:rPr>
              <w:t>Secured Debt</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3"/>
                <w:szCs w:val="13"/>
                <w:color w:val="auto"/>
              </w:rPr>
              <w:t>8%</w:t>
            </w:r>
          </w:p>
        </w:tc>
        <w:tc>
          <w:tcPr>
            <w:tcW w:w="106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jc w:val="right"/>
              <w:ind w:right="355"/>
              <w:spacing w:after="0"/>
              <w:rPr>
                <w:sz w:val="20"/>
                <w:szCs w:val="20"/>
                <w:color w:val="auto"/>
              </w:rPr>
            </w:pPr>
            <w:r>
              <w:rPr>
                <w:rFonts w:ascii="Arial" w:cs="Arial" w:eastAsia="Arial" w:hAnsi="Arial"/>
                <w:sz w:val="13"/>
                <w:szCs w:val="13"/>
                <w:color w:val="auto"/>
              </w:rPr>
              <w:t>3%</w:t>
            </w:r>
          </w:p>
        </w:tc>
        <w:tc>
          <w:tcPr>
            <w:tcW w:w="2080" w:type="dxa"/>
            <w:vAlign w:val="bottom"/>
            <w:vMerge w:val="restart"/>
          </w:tcPr>
          <w:p>
            <w:pPr>
              <w:jc w:val="center"/>
              <w:ind w:left="1335"/>
              <w:spacing w:after="0"/>
              <w:rPr>
                <w:sz w:val="20"/>
                <w:szCs w:val="20"/>
                <w:color w:val="auto"/>
              </w:rPr>
            </w:pPr>
            <w:r>
              <w:rPr>
                <w:rFonts w:ascii="Arial" w:cs="Arial" w:eastAsia="Arial" w:hAnsi="Arial"/>
                <w:sz w:val="13"/>
                <w:szCs w:val="13"/>
                <w:color w:val="auto"/>
                <w:w w:val="92"/>
              </w:rPr>
              <w:t>13%</w:t>
            </w:r>
          </w:p>
        </w:tc>
        <w:tc>
          <w:tcPr>
            <w:tcW w:w="0" w:type="dxa"/>
            <w:vAlign w:val="bottom"/>
          </w:tcPr>
          <w:p>
            <w:pPr>
              <w:spacing w:after="0"/>
              <w:rPr>
                <w:sz w:val="1"/>
                <w:szCs w:val="1"/>
                <w:color w:val="auto"/>
              </w:rPr>
            </w:pPr>
          </w:p>
        </w:tc>
      </w:tr>
      <w:tr>
        <w:trPr>
          <w:trHeight w:val="71"/>
        </w:trPr>
        <w:tc>
          <w:tcPr>
            <w:tcW w:w="1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0"/>
        </w:trPr>
        <w:tc>
          <w:tcPr>
            <w:tcW w:w="1300" w:type="dxa"/>
            <w:vAlign w:val="bottom"/>
          </w:tcPr>
          <w:p>
            <w:pPr>
              <w:jc w:val="center"/>
              <w:ind w:right="755"/>
              <w:spacing w:after="0"/>
              <w:rPr>
                <w:sz w:val="20"/>
                <w:szCs w:val="20"/>
                <w:color w:val="auto"/>
              </w:rPr>
            </w:pPr>
            <w:r>
              <w:rPr>
                <w:rFonts w:ascii="Arial" w:cs="Arial" w:eastAsia="Arial" w:hAnsi="Arial"/>
                <w:sz w:val="13"/>
                <w:szCs w:val="13"/>
                <w:color w:val="auto"/>
                <w:w w:val="96"/>
              </w:rPr>
              <w:t>2nd Lien</w:t>
            </w:r>
          </w:p>
        </w:tc>
        <w:tc>
          <w:tcPr>
            <w:tcW w:w="920" w:type="dxa"/>
            <w:vAlign w:val="bottom"/>
          </w:tcPr>
          <w:p>
            <w:pPr>
              <w:jc w:val="center"/>
              <w:ind w:right="35"/>
              <w:spacing w:after="0"/>
              <w:rPr>
                <w:sz w:val="20"/>
                <w:szCs w:val="20"/>
                <w:color w:val="auto"/>
              </w:rPr>
            </w:pPr>
            <w:r>
              <w:rPr>
                <w:rFonts w:ascii="Arial" w:cs="Arial" w:eastAsia="Arial" w:hAnsi="Arial"/>
                <w:sz w:val="13"/>
                <w:szCs w:val="13"/>
                <w:color w:val="FFFFFF"/>
                <w:w w:val="92"/>
              </w:rPr>
              <w:t>1st Lien</w:t>
            </w: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300" w:type="dxa"/>
            <w:vAlign w:val="bottom"/>
          </w:tcPr>
          <w:p>
            <w:pPr>
              <w:jc w:val="center"/>
              <w:ind w:right="775"/>
              <w:spacing w:after="0"/>
              <w:rPr>
                <w:sz w:val="20"/>
                <w:szCs w:val="20"/>
                <w:color w:val="auto"/>
              </w:rPr>
            </w:pPr>
            <w:r>
              <w:rPr>
                <w:rFonts w:ascii="Arial" w:cs="Arial" w:eastAsia="Arial" w:hAnsi="Arial"/>
                <w:sz w:val="13"/>
                <w:szCs w:val="13"/>
                <w:color w:val="auto"/>
                <w:w w:val="86"/>
              </w:rPr>
              <w:t>Secured</w:t>
            </w:r>
          </w:p>
        </w:tc>
        <w:tc>
          <w:tcPr>
            <w:tcW w:w="920" w:type="dxa"/>
            <w:vAlign w:val="bottom"/>
          </w:tcPr>
          <w:p>
            <w:pPr>
              <w:jc w:val="center"/>
              <w:ind w:right="35"/>
              <w:spacing w:after="0"/>
              <w:rPr>
                <w:sz w:val="20"/>
                <w:szCs w:val="20"/>
                <w:color w:val="auto"/>
              </w:rPr>
            </w:pPr>
            <w:r>
              <w:rPr>
                <w:rFonts w:ascii="Arial" w:cs="Arial" w:eastAsia="Arial" w:hAnsi="Arial"/>
                <w:sz w:val="13"/>
                <w:szCs w:val="13"/>
                <w:color w:val="FFFFFF"/>
                <w:w w:val="90"/>
              </w:rPr>
              <w:t>Senior</w:t>
            </w: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00" w:type="dxa"/>
            <w:vAlign w:val="bottom"/>
          </w:tcPr>
          <w:p>
            <w:pPr>
              <w:jc w:val="center"/>
              <w:ind w:right="755"/>
              <w:spacing w:after="0"/>
              <w:rPr>
                <w:sz w:val="20"/>
                <w:szCs w:val="20"/>
                <w:color w:val="auto"/>
              </w:rPr>
            </w:pPr>
            <w:r>
              <w:rPr>
                <w:rFonts w:ascii="Arial" w:cs="Arial" w:eastAsia="Arial" w:hAnsi="Arial"/>
                <w:sz w:val="13"/>
                <w:szCs w:val="13"/>
                <w:color w:val="auto"/>
                <w:w w:val="87"/>
              </w:rPr>
              <w:t>Debt</w:t>
            </w:r>
          </w:p>
        </w:tc>
        <w:tc>
          <w:tcPr>
            <w:tcW w:w="920" w:type="dxa"/>
            <w:vAlign w:val="bottom"/>
          </w:tcPr>
          <w:p>
            <w:pPr>
              <w:jc w:val="center"/>
              <w:ind w:right="35"/>
              <w:spacing w:after="0"/>
              <w:rPr>
                <w:sz w:val="20"/>
                <w:szCs w:val="20"/>
                <w:color w:val="auto"/>
              </w:rPr>
            </w:pPr>
            <w:r>
              <w:rPr>
                <w:rFonts w:ascii="Arial" w:cs="Arial" w:eastAsia="Arial" w:hAnsi="Arial"/>
                <w:sz w:val="13"/>
                <w:szCs w:val="13"/>
                <w:color w:val="FFFFFF"/>
                <w:w w:val="86"/>
              </w:rPr>
              <w:t>Secured</w:t>
            </w: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tcPr>
          <w:p>
            <w:pPr>
              <w:jc w:val="center"/>
              <w:ind w:right="755"/>
              <w:spacing w:after="0"/>
              <w:rPr>
                <w:sz w:val="20"/>
                <w:szCs w:val="20"/>
                <w:color w:val="auto"/>
              </w:rPr>
            </w:pPr>
            <w:r>
              <w:rPr>
                <w:rFonts w:ascii="Arial" w:cs="Arial" w:eastAsia="Arial" w:hAnsi="Arial"/>
                <w:sz w:val="13"/>
                <w:szCs w:val="13"/>
                <w:color w:val="auto"/>
                <w:w w:val="92"/>
              </w:rPr>
              <w:t>44%</w:t>
            </w:r>
          </w:p>
        </w:tc>
        <w:tc>
          <w:tcPr>
            <w:tcW w:w="920" w:type="dxa"/>
            <w:vAlign w:val="bottom"/>
          </w:tcPr>
          <w:p>
            <w:pPr>
              <w:jc w:val="center"/>
              <w:ind w:right="35"/>
              <w:spacing w:after="0"/>
              <w:rPr>
                <w:sz w:val="20"/>
                <w:szCs w:val="20"/>
                <w:color w:val="auto"/>
              </w:rPr>
            </w:pPr>
            <w:r>
              <w:rPr>
                <w:rFonts w:ascii="Arial" w:cs="Arial" w:eastAsia="Arial" w:hAnsi="Arial"/>
                <w:sz w:val="13"/>
                <w:szCs w:val="13"/>
                <w:color w:val="FFFFFF"/>
                <w:w w:val="94"/>
              </w:rPr>
              <w:t>Debt</w:t>
            </w:r>
          </w:p>
        </w:tc>
        <w:tc>
          <w:tcPr>
            <w:tcW w:w="1060" w:type="dxa"/>
            <w:vAlign w:val="bottom"/>
          </w:tcPr>
          <w:p>
            <w:pPr>
              <w:spacing w:after="0"/>
              <w:rPr>
                <w:sz w:val="15"/>
                <w:szCs w:val="15"/>
                <w:color w:val="auto"/>
              </w:rPr>
            </w:pPr>
          </w:p>
        </w:tc>
        <w:tc>
          <w:tcPr>
            <w:tcW w:w="2080" w:type="dxa"/>
            <w:vAlign w:val="bottom"/>
          </w:tcPr>
          <w:p>
            <w:pPr>
              <w:jc w:val="center"/>
              <w:ind w:right="935"/>
              <w:spacing w:after="0"/>
              <w:rPr>
                <w:sz w:val="20"/>
                <w:szCs w:val="20"/>
                <w:color w:val="auto"/>
              </w:rPr>
            </w:pPr>
            <w:r>
              <w:rPr>
                <w:rFonts w:ascii="Arial" w:cs="Arial" w:eastAsia="Arial" w:hAnsi="Arial"/>
                <w:sz w:val="13"/>
                <w:szCs w:val="13"/>
                <w:color w:val="auto"/>
                <w:w w:val="92"/>
              </w:rPr>
              <w:t>1st Lien Senior</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Arial" w:cs="Arial" w:eastAsia="Arial" w:hAnsi="Arial"/>
                <w:sz w:val="13"/>
                <w:szCs w:val="13"/>
                <w:color w:val="FFFFFF"/>
                <w:w w:val="92"/>
              </w:rPr>
              <w:t>32%</w:t>
            </w:r>
          </w:p>
        </w:tc>
        <w:tc>
          <w:tcPr>
            <w:tcW w:w="1060" w:type="dxa"/>
            <w:vAlign w:val="bottom"/>
          </w:tcPr>
          <w:p>
            <w:pPr>
              <w:spacing w:after="0"/>
              <w:rPr>
                <w:sz w:val="15"/>
                <w:szCs w:val="15"/>
                <w:color w:val="auto"/>
              </w:rPr>
            </w:pPr>
          </w:p>
        </w:tc>
        <w:tc>
          <w:tcPr>
            <w:tcW w:w="2080" w:type="dxa"/>
            <w:vAlign w:val="bottom"/>
          </w:tcPr>
          <w:p>
            <w:pPr>
              <w:jc w:val="center"/>
              <w:ind w:right="955"/>
              <w:spacing w:after="0"/>
              <w:rPr>
                <w:sz w:val="20"/>
                <w:szCs w:val="20"/>
                <w:color w:val="auto"/>
              </w:rPr>
            </w:pPr>
            <w:r>
              <w:rPr>
                <w:rFonts w:ascii="Arial" w:cs="Arial" w:eastAsia="Arial" w:hAnsi="Arial"/>
                <w:sz w:val="13"/>
                <w:szCs w:val="13"/>
                <w:color w:val="auto"/>
                <w:w w:val="88"/>
              </w:rPr>
              <w:t>Secured Debt</w:t>
            </w:r>
          </w:p>
        </w:tc>
        <w:tc>
          <w:tcPr>
            <w:tcW w:w="0" w:type="dxa"/>
            <w:vAlign w:val="bottom"/>
          </w:tcPr>
          <w:p>
            <w:pPr>
              <w:spacing w:after="0"/>
              <w:rPr>
                <w:sz w:val="1"/>
                <w:szCs w:val="1"/>
                <w:color w:val="auto"/>
              </w:rPr>
            </w:pPr>
          </w:p>
        </w:tc>
      </w:tr>
      <w:tr>
        <w:trPr>
          <w:trHeight w:val="165"/>
        </w:trPr>
        <w:tc>
          <w:tcPr>
            <w:tcW w:w="2220" w:type="dxa"/>
            <w:vAlign w:val="bottom"/>
            <w:gridSpan w:val="2"/>
            <w:vMerge w:val="restart"/>
          </w:tcPr>
          <w:p>
            <w:pPr>
              <w:ind w:left="720"/>
              <w:spacing w:after="0"/>
              <w:rPr>
                <w:sz w:val="20"/>
                <w:szCs w:val="20"/>
                <w:color w:val="auto"/>
              </w:rPr>
            </w:pPr>
            <w:r>
              <w:rPr>
                <w:rFonts w:ascii="Arial" w:cs="Arial" w:eastAsia="Arial" w:hAnsi="Arial"/>
                <w:sz w:val="13"/>
                <w:szCs w:val="13"/>
                <w:color w:val="FFFFFF"/>
              </w:rPr>
              <w:t>Subordinated</w:t>
            </w:r>
          </w:p>
        </w:tc>
        <w:tc>
          <w:tcPr>
            <w:tcW w:w="1060" w:type="dxa"/>
            <w:vAlign w:val="bottom"/>
          </w:tcPr>
          <w:p>
            <w:pPr>
              <w:spacing w:after="0"/>
              <w:rPr>
                <w:sz w:val="14"/>
                <w:szCs w:val="14"/>
                <w:color w:val="auto"/>
              </w:rPr>
            </w:pPr>
          </w:p>
        </w:tc>
        <w:tc>
          <w:tcPr>
            <w:tcW w:w="2080" w:type="dxa"/>
            <w:vAlign w:val="bottom"/>
          </w:tcPr>
          <w:p>
            <w:pPr>
              <w:jc w:val="center"/>
              <w:ind w:right="895"/>
              <w:spacing w:after="0"/>
              <w:rPr>
                <w:sz w:val="20"/>
                <w:szCs w:val="20"/>
                <w:color w:val="auto"/>
              </w:rPr>
            </w:pPr>
            <w:r>
              <w:rPr>
                <w:rFonts w:ascii="Arial" w:cs="Arial" w:eastAsia="Arial" w:hAnsi="Arial"/>
                <w:sz w:val="13"/>
                <w:szCs w:val="13"/>
                <w:color w:val="auto"/>
                <w:w w:val="92"/>
              </w:rPr>
              <w:t>84%</w:t>
            </w:r>
          </w:p>
        </w:tc>
        <w:tc>
          <w:tcPr>
            <w:tcW w:w="0" w:type="dxa"/>
            <w:vAlign w:val="bottom"/>
          </w:tcPr>
          <w:p>
            <w:pPr>
              <w:spacing w:after="0"/>
              <w:rPr>
                <w:sz w:val="1"/>
                <w:szCs w:val="1"/>
                <w:color w:val="auto"/>
              </w:rPr>
            </w:pPr>
          </w:p>
        </w:tc>
      </w:tr>
      <w:tr>
        <w:trPr>
          <w:trHeight w:val="59"/>
        </w:trPr>
        <w:tc>
          <w:tcPr>
            <w:tcW w:w="22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40"/>
        <w:spacing w:after="0"/>
        <w:rPr>
          <w:sz w:val="20"/>
          <w:szCs w:val="20"/>
          <w:color w:val="auto"/>
        </w:rPr>
      </w:pPr>
      <w:r>
        <w:rPr>
          <w:rFonts w:ascii="Arial" w:cs="Arial" w:eastAsia="Arial" w:hAnsi="Arial"/>
          <w:sz w:val="13"/>
          <w:szCs w:val="13"/>
          <w:color w:val="FFFFFF"/>
        </w:rPr>
        <w:t>Debt</w:t>
      </w:r>
    </w:p>
    <w:p>
      <w:pPr>
        <w:spacing w:after="0" w:line="13" w:lineRule="exact"/>
        <w:rPr>
          <w:sz w:val="20"/>
          <w:szCs w:val="20"/>
          <w:color w:val="auto"/>
        </w:rPr>
      </w:pPr>
    </w:p>
    <w:p>
      <w:pPr>
        <w:ind w:left="880"/>
        <w:spacing w:after="0"/>
        <w:rPr>
          <w:sz w:val="20"/>
          <w:szCs w:val="20"/>
          <w:color w:val="auto"/>
        </w:rPr>
      </w:pPr>
      <w:r>
        <w:rPr>
          <w:rFonts w:ascii="Arial" w:cs="Arial" w:eastAsia="Arial" w:hAnsi="Arial"/>
          <w:sz w:val="13"/>
          <w:szCs w:val="13"/>
          <w:color w:val="FFFFFF"/>
        </w:rPr>
        <w:t>16%</w:t>
      </w:r>
    </w:p>
    <w:p>
      <w:pPr>
        <w:spacing w:after="0" w:line="83"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As of 12/31/14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Value Oriented Investment Philosophy</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Value oriented with a focus on capital preservation</w:t>
      </w:r>
    </w:p>
    <w:p>
      <w:pPr>
        <w:spacing w:after="0" w:line="24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Disciplined investment approach with strong credit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Proprietary origination, research and evaluation</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Team approach – institutionalized investment process and relationships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Established long-term trust with clients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2">
            <w:col w:w="5360" w:space="720"/>
            <w:col w:w="3900"/>
          </w:cols>
          <w:pgMar w:left="580" w:top="606" w:right="1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9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099050"/>
                    </a:xfrm>
                    <a:prstGeom prst="rect">
                      <a:avLst/>
                    </a:prstGeom>
                    <a:noFill/>
                  </pic:spPr>
                </pic:pic>
              </a:graphicData>
            </a:graphic>
          </wp:anchor>
        </w:drawing>
        <w:t>PFLT has a Compelling Track Record</w:t>
      </w:r>
    </w:p>
    <w:p>
      <w:pPr>
        <w:sectPr>
          <w:pgSz w:w="11900" w:h="16838" w:orient="portrait"/>
          <w:cols w:equalWidth="0" w:num="1">
            <w:col w:w="10019"/>
          </w:cols>
          <w:pgMar w:left="440" w:top="606" w:right="1440" w:bottom="1440" w:gutter="0" w:footer="0" w:header="0"/>
        </w:sectPr>
      </w:pPr>
    </w:p>
    <w:p>
      <w:pPr>
        <w:spacing w:after="0" w:line="346" w:lineRule="exact"/>
        <w:rPr>
          <w:sz w:val="20"/>
          <w:szCs w:val="20"/>
          <w:color w:val="auto"/>
        </w:rPr>
      </w:pPr>
    </w:p>
    <w:p>
      <w:pPr>
        <w:ind w:left="260" w:right="380"/>
        <w:spacing w:after="0" w:line="282" w:lineRule="auto"/>
        <w:rPr>
          <w:sz w:val="20"/>
          <w:szCs w:val="20"/>
          <w:color w:val="auto"/>
        </w:rPr>
      </w:pPr>
      <w:r>
        <w:rPr>
          <w:rFonts w:ascii="Arial" w:cs="Arial" w:eastAsia="Arial" w:hAnsi="Arial"/>
          <w:sz w:val="20"/>
          <w:szCs w:val="20"/>
          <w:color w:val="auto"/>
        </w:rPr>
        <w:t>Shareholders will continue to benefit from a proven credit manager that has had consistent and growing dividends</w:t>
      </w:r>
    </w:p>
    <w:p>
      <w:pPr>
        <w:spacing w:after="0" w:line="135"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FFFFFF"/>
        </w:rPr>
        <w:t>Portfolio Size ($ in millions) and Debt Yield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$450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$400</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$350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$250</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$200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$150</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$50</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$0</w:t>
      </w:r>
    </w:p>
    <w:p>
      <w:pPr>
        <w:spacing w:after="0" w:line="357" w:lineRule="exact"/>
        <w:rPr>
          <w:sz w:val="20"/>
          <w:szCs w:val="20"/>
          <w:color w:val="auto"/>
        </w:rPr>
      </w:pPr>
    </w:p>
    <w:p>
      <w:pPr>
        <w:ind w:left="3700"/>
        <w:spacing w:after="0"/>
        <w:tabs>
          <w:tab w:leader="none" w:pos="5500" w:val="left"/>
        </w:tabs>
        <w:rPr>
          <w:sz w:val="20"/>
          <w:szCs w:val="20"/>
          <w:color w:val="auto"/>
        </w:rPr>
      </w:pPr>
      <w:r>
        <w:rPr>
          <w:rFonts w:ascii="Arial" w:cs="Arial" w:eastAsia="Arial" w:hAnsi="Arial"/>
          <w:sz w:val="15"/>
          <w:szCs w:val="15"/>
          <w:color w:val="auto"/>
        </w:rPr>
        <w:t>Total Portfolio Size</w:t>
      </w:r>
      <w:r>
        <w:rPr>
          <w:sz w:val="20"/>
          <w:szCs w:val="20"/>
          <w:color w:val="auto"/>
        </w:rPr>
        <w:tab/>
      </w:r>
      <w:r>
        <w:rPr>
          <w:rFonts w:ascii="Arial" w:cs="Arial" w:eastAsia="Arial" w:hAnsi="Arial"/>
          <w:sz w:val="14"/>
          <w:szCs w:val="14"/>
          <w:color w:val="auto"/>
        </w:rPr>
        <w:t>Yield on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10%</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9%</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52" w:lineRule="exact"/>
        <w:rPr>
          <w:sz w:val="20"/>
          <w:szCs w:val="20"/>
          <w:color w:val="auto"/>
        </w:rPr>
      </w:pPr>
    </w:p>
    <w:p>
      <w:pPr>
        <w:sectPr>
          <w:pgSz w:w="11900" w:h="16838" w:orient="portrait"/>
          <w:cols w:equalWidth="0" w:num="2">
            <w:col w:w="8200" w:space="720"/>
            <w:col w:w="1099"/>
          </w:cols>
          <w:pgMar w:left="440" w:top="606" w:right="1440" w:bottom="1440" w:gutter="0" w:footer="0" w:header="0"/>
          <w:type w:val="continuous"/>
        </w:sectPr>
      </w:pPr>
    </w:p>
    <w:p>
      <w:pPr>
        <w:spacing w:after="0" w:line="58"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FFFFFF"/>
        </w:rPr>
        <w:t>Monthly Dividends (cents per share)</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60" w:type="dxa"/>
            <w:vAlign w:val="bottom"/>
            <w:vMerge w:val="restart"/>
          </w:tcPr>
          <w:p>
            <w:pPr>
              <w:jc w:val="right"/>
              <w:ind w:right="177"/>
              <w:spacing w:after="0"/>
              <w:rPr>
                <w:sz w:val="20"/>
                <w:szCs w:val="20"/>
                <w:color w:val="auto"/>
              </w:rPr>
            </w:pPr>
            <w:r>
              <w:rPr>
                <w:rFonts w:ascii="Arial" w:cs="Arial" w:eastAsia="Arial" w:hAnsi="Arial"/>
                <w:sz w:val="12"/>
                <w:szCs w:val="12"/>
                <w:color w:val="auto"/>
                <w:w w:val="74"/>
              </w:rPr>
              <w:t>10</w:t>
            </w: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40" w:type="dxa"/>
            <w:vAlign w:val="bottom"/>
          </w:tcPr>
          <w:p>
            <w:pPr>
              <w:jc w:val="right"/>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97"/>
        </w:trPr>
        <w:tc>
          <w:tcPr>
            <w:tcW w:w="3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vMerge w:val="restart"/>
          </w:tcPr>
          <w:p>
            <w:pPr>
              <w:jc w:val="right"/>
              <w:ind w:right="555"/>
              <w:spacing w:after="0"/>
              <w:rPr>
                <w:sz w:val="20"/>
                <w:szCs w:val="20"/>
                <w:color w:val="auto"/>
              </w:rPr>
            </w:pPr>
            <w:r>
              <w:rPr>
                <w:rFonts w:ascii="Arial" w:cs="Arial" w:eastAsia="Arial" w:hAnsi="Arial"/>
                <w:sz w:val="13"/>
                <w:szCs w:val="13"/>
                <w:color w:val="auto"/>
              </w:rPr>
              <w:t>8.75</w:t>
            </w:r>
          </w:p>
        </w:tc>
        <w:tc>
          <w:tcPr>
            <w:tcW w:w="3840" w:type="dxa"/>
            <w:vAlign w:val="bottom"/>
            <w:vMerge w:val="restart"/>
          </w:tcPr>
          <w:p>
            <w:pPr>
              <w:jc w:val="right"/>
              <w:ind w:right="2935"/>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68"/>
        </w:trPr>
        <w:tc>
          <w:tcPr>
            <w:tcW w:w="360" w:type="dxa"/>
            <w:vAlign w:val="bottom"/>
            <w:vMerge w:val="restart"/>
          </w:tcPr>
          <w:p>
            <w:pPr>
              <w:jc w:val="right"/>
              <w:ind w:right="177"/>
              <w:spacing w:after="0"/>
              <w:rPr>
                <w:sz w:val="20"/>
                <w:szCs w:val="20"/>
                <w:color w:val="auto"/>
              </w:rPr>
            </w:pPr>
            <w:r>
              <w:rPr>
                <w:rFonts w:ascii="Arial" w:cs="Arial" w:eastAsia="Arial" w:hAnsi="Arial"/>
                <w:sz w:val="13"/>
                <w:szCs w:val="13"/>
                <w:color w:val="auto"/>
              </w:rPr>
              <w:t>9</w:t>
            </w:r>
          </w:p>
        </w:tc>
        <w:tc>
          <w:tcPr>
            <w:tcW w:w="8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660" w:type="dxa"/>
            <w:vAlign w:val="bottom"/>
            <w:vMerge w:val="restart"/>
          </w:tcPr>
          <w:p>
            <w:pPr>
              <w:jc w:val="right"/>
              <w:ind w:right="275"/>
              <w:spacing w:after="0"/>
              <w:rPr>
                <w:sz w:val="20"/>
                <w:szCs w:val="20"/>
                <w:color w:val="auto"/>
              </w:rPr>
            </w:pPr>
            <w:r>
              <w:rPr>
                <w:rFonts w:ascii="Arial" w:cs="Arial" w:eastAsia="Arial" w:hAnsi="Arial"/>
                <w:sz w:val="13"/>
                <w:szCs w:val="13"/>
                <w:color w:val="auto"/>
              </w:rPr>
              <w:t>8.00</w:t>
            </w:r>
          </w:p>
        </w:tc>
        <w:tc>
          <w:tcPr>
            <w:tcW w:w="820" w:type="dxa"/>
            <w:vAlign w:val="bottom"/>
            <w:vMerge w:val="restart"/>
          </w:tcPr>
          <w:p>
            <w:pPr>
              <w:jc w:val="right"/>
              <w:ind w:right="175"/>
              <w:spacing w:after="0"/>
              <w:rPr>
                <w:sz w:val="20"/>
                <w:szCs w:val="20"/>
                <w:color w:val="auto"/>
              </w:rPr>
            </w:pPr>
            <w:r>
              <w:rPr>
                <w:rFonts w:ascii="Arial" w:cs="Arial" w:eastAsia="Arial" w:hAnsi="Arial"/>
                <w:sz w:val="13"/>
                <w:szCs w:val="13"/>
                <w:color w:val="auto"/>
              </w:rPr>
              <w:t>8.25</w:t>
            </w:r>
          </w:p>
        </w:tc>
        <w:tc>
          <w:tcPr>
            <w:tcW w:w="1360" w:type="dxa"/>
            <w:vAlign w:val="bottom"/>
            <w:vMerge w:val="restart"/>
          </w:tcPr>
          <w:p>
            <w:pPr>
              <w:jc w:val="right"/>
              <w:ind w:right="835"/>
              <w:spacing w:after="0"/>
              <w:rPr>
                <w:sz w:val="20"/>
                <w:szCs w:val="20"/>
                <w:color w:val="auto"/>
              </w:rPr>
            </w:pPr>
            <w:r>
              <w:rPr>
                <w:rFonts w:ascii="Arial" w:cs="Arial" w:eastAsia="Arial" w:hAnsi="Arial"/>
                <w:sz w:val="13"/>
                <w:szCs w:val="13"/>
                <w:color w:val="auto"/>
              </w:rPr>
              <w:t>8.50</w:t>
            </w: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60" w:type="dxa"/>
            <w:vAlign w:val="bottom"/>
            <w:vMerge w:val="restart"/>
          </w:tcPr>
          <w:p>
            <w:pPr>
              <w:jc w:val="right"/>
              <w:ind w:right="177"/>
              <w:spacing w:after="0"/>
              <w:rPr>
                <w:sz w:val="20"/>
                <w:szCs w:val="20"/>
                <w:color w:val="auto"/>
              </w:rPr>
            </w:pPr>
            <w:r>
              <w:rPr>
                <w:rFonts w:ascii="Arial" w:cs="Arial" w:eastAsia="Arial" w:hAnsi="Arial"/>
                <w:sz w:val="13"/>
                <w:szCs w:val="13"/>
                <w:color w:val="auto"/>
              </w:rPr>
              <w:t>8</w:t>
            </w:r>
          </w:p>
        </w:tc>
        <w:tc>
          <w:tcPr>
            <w:tcW w:w="86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60" w:type="dxa"/>
            <w:vAlign w:val="bottom"/>
            <w:vMerge w:val="continue"/>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3"/>
                <w:szCs w:val="13"/>
                <w:color w:val="auto"/>
              </w:rPr>
              <w:t>7.00</w:t>
            </w:r>
          </w:p>
        </w:tc>
        <w:tc>
          <w:tcPr>
            <w:tcW w:w="1660" w:type="dxa"/>
            <w:vAlign w:val="bottom"/>
          </w:tcPr>
          <w:p>
            <w:pPr>
              <w:jc w:val="right"/>
              <w:ind w:right="975"/>
              <w:spacing w:after="0"/>
              <w:rPr>
                <w:sz w:val="20"/>
                <w:szCs w:val="20"/>
                <w:color w:val="auto"/>
              </w:rPr>
            </w:pPr>
            <w:r>
              <w:rPr>
                <w:rFonts w:ascii="Arial" w:cs="Arial" w:eastAsia="Arial" w:hAnsi="Arial"/>
                <w:sz w:val="13"/>
                <w:szCs w:val="13"/>
                <w:color w:val="auto"/>
              </w:rPr>
              <w:t>7.50</w:t>
            </w: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00" w:hanging="359"/>
        <w:spacing w:after="0" w:line="181" w:lineRule="auto"/>
        <w:tabs>
          <w:tab w:leader="none" w:pos="800" w:val="left"/>
        </w:tabs>
        <w:numPr>
          <w:ilvl w:val="0"/>
          <w:numId w:val="7"/>
        </w:numPr>
        <w:rPr>
          <w:rFonts w:ascii="Arial" w:cs="Arial" w:eastAsia="Arial" w:hAnsi="Arial"/>
          <w:sz w:val="23"/>
          <w:szCs w:val="23"/>
          <w:color w:val="auto"/>
          <w:vertAlign w:val="superscript"/>
        </w:rPr>
      </w:pPr>
      <w:r>
        <w:rPr>
          <w:rFonts w:ascii="Arial" w:cs="Arial" w:eastAsia="Arial" w:hAnsi="Arial"/>
          <w:sz w:val="12"/>
          <w:szCs w:val="12"/>
          <w:color w:val="auto"/>
        </w:rPr>
        <w:t>6.00</w:t>
      </w:r>
    </w:p>
    <w:p>
      <w:pPr>
        <w:ind w:left="620" w:hanging="179"/>
        <w:spacing w:after="0" w:line="187" w:lineRule="auto"/>
        <w:tabs>
          <w:tab w:leader="none" w:pos="620" w:val="left"/>
        </w:tabs>
        <w:numPr>
          <w:ilvl w:val="0"/>
          <w:numId w:val="8"/>
        </w:numPr>
        <w:rPr>
          <w:rFonts w:ascii="Arial" w:cs="Arial" w:eastAsia="Arial" w:hAnsi="Arial"/>
          <w:sz w:val="21"/>
          <w:szCs w:val="21"/>
          <w:color w:val="auto"/>
          <w:vertAlign w:val="superscript"/>
        </w:rPr>
      </w:pPr>
      <w:r>
        <w:rPr>
          <w:rFonts w:ascii="Arial" w:cs="Arial" w:eastAsia="Arial" w:hAnsi="Arial"/>
          <w:sz w:val="11"/>
          <w:szCs w:val="11"/>
          <w:color w:val="auto"/>
        </w:rPr>
        <w:t>5.00</w:t>
      </w:r>
    </w:p>
    <w:p>
      <w:pPr>
        <w:ind w:left="440"/>
        <w:spacing w:after="0"/>
        <w:rPr>
          <w:rFonts w:ascii="Arial" w:cs="Arial" w:eastAsia="Arial" w:hAnsi="Arial"/>
          <w:sz w:val="21"/>
          <w:szCs w:val="21"/>
          <w:color w:val="auto"/>
          <w:vertAlign w:val="superscript"/>
        </w:rPr>
      </w:pPr>
      <w:r>
        <w:rPr>
          <w:rFonts w:ascii="Arial" w:cs="Arial" w:eastAsia="Arial" w:hAnsi="Arial"/>
          <w:sz w:val="13"/>
          <w:szCs w:val="13"/>
          <w:color w:val="auto"/>
        </w:rPr>
        <w:t>5</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4</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3</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2</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1</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0</w:t>
      </w:r>
    </w:p>
    <w:p>
      <w:pPr>
        <w:spacing w:after="0" w:line="199" w:lineRule="exact"/>
        <w:rPr>
          <w:sz w:val="20"/>
          <w:szCs w:val="20"/>
          <w:color w:val="auto"/>
        </w:rPr>
      </w:pPr>
    </w:p>
    <w:p>
      <w:pPr>
        <w:jc w:val="right"/>
        <w:ind w:right="29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0019"/>
          </w:cols>
          <w:pgMar w:left="440" w:top="606"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187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187700"/>
                    </a:xfrm>
                    <a:prstGeom prst="rect">
                      <a:avLst/>
                    </a:prstGeom>
                    <a:noFill/>
                  </pic:spPr>
                </pic:pic>
              </a:graphicData>
            </a:graphic>
          </wp:anchor>
        </w:drawing>
        <w:t>The PFLT Advantage</w:t>
      </w:r>
    </w:p>
    <w:p>
      <w:pPr>
        <w:spacing w:after="0" w:line="200" w:lineRule="exact"/>
        <w:rPr>
          <w:sz w:val="20"/>
          <w:szCs w:val="20"/>
          <w:color w:val="auto"/>
        </w:rPr>
      </w:pPr>
    </w:p>
    <w:p>
      <w:pPr>
        <w:spacing w:after="0" w:line="330"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FFFFFF"/>
        </w:rPr>
        <w:t>Conservative Risk Management</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Weighed  Average  cash interest  coverage  of 3.2x</w:t>
      </w:r>
      <w:r>
        <w:rPr>
          <w:rFonts w:ascii="Arial" w:cs="Arial" w:eastAsia="Arial" w:hAnsi="Arial"/>
          <w:sz w:val="28"/>
          <w:szCs w:val="28"/>
          <w:color w:val="auto"/>
          <w:vertAlign w:val="superscript"/>
        </w:rPr>
        <w:t>(1)</w:t>
      </w:r>
    </w:p>
    <w:p>
      <w:pPr>
        <w:spacing w:after="0" w:line="336" w:lineRule="exact"/>
        <w:rPr>
          <w:sz w:val="20"/>
          <w:szCs w:val="20"/>
          <w:color w:val="auto"/>
        </w:rPr>
      </w:pPr>
    </w:p>
    <w:p>
      <w:pPr>
        <w:ind w:left="220"/>
        <w:spacing w:after="0"/>
        <w:tabs>
          <w:tab w:leader="none" w:pos="1140" w:val="left"/>
          <w:tab w:leader="none" w:pos="1960" w:val="left"/>
          <w:tab w:leader="none" w:pos="4120" w:val="left"/>
        </w:tabs>
        <w:rPr>
          <w:sz w:val="20"/>
          <w:szCs w:val="20"/>
          <w:color w:val="auto"/>
        </w:rPr>
      </w:pPr>
      <w:r>
        <w:rPr>
          <w:rFonts w:ascii="Arial" w:cs="Arial" w:eastAsia="Arial" w:hAnsi="Arial"/>
          <w:sz w:val="20"/>
          <w:szCs w:val="20"/>
          <w:color w:val="auto"/>
        </w:rPr>
        <w:t>Weighted</w:t>
        <w:tab/>
        <w:t>Average</w:t>
        <w:tab/>
        <w:t>debt / EBITDA through</w:t>
      </w:r>
      <w:r>
        <w:rPr>
          <w:sz w:val="20"/>
          <w:szCs w:val="20"/>
          <w:color w:val="auto"/>
        </w:rPr>
        <w:tab/>
      </w:r>
      <w:r>
        <w:rPr>
          <w:rFonts w:ascii="Arial" w:cs="Arial" w:eastAsia="Arial" w:hAnsi="Arial"/>
          <w:sz w:val="18"/>
          <w:szCs w:val="18"/>
          <w:color w:val="auto"/>
        </w:rPr>
        <w:t>PFLT security  of 3.8x</w:t>
      </w:r>
      <w:r>
        <w:rPr>
          <w:rFonts w:ascii="Arial" w:cs="Arial" w:eastAsia="Arial" w:hAnsi="Arial"/>
          <w:sz w:val="25"/>
          <w:szCs w:val="25"/>
          <w:color w:val="auto"/>
          <w:vertAlign w:val="superscript"/>
        </w:rPr>
        <w:t>(1)</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xml:space="preserve">84% of PFLT portfolio  is 1st Lien Senior Secured  Debt </w:t>
      </w:r>
      <w:r>
        <w:rPr>
          <w:rFonts w:ascii="Arial" w:cs="Arial" w:eastAsia="Arial" w:hAnsi="Arial"/>
          <w:sz w:val="28"/>
          <w:szCs w:val="28"/>
          <w:color w:val="auto"/>
          <w:vertAlign w:val="superscript"/>
        </w:rPr>
        <w:t>(1)</w:t>
      </w:r>
    </w:p>
    <w:p>
      <w:pPr>
        <w:spacing w:after="0" w:line="348" w:lineRule="exact"/>
        <w:rPr>
          <w:sz w:val="20"/>
          <w:szCs w:val="20"/>
          <w:color w:val="auto"/>
        </w:rPr>
      </w:pPr>
    </w:p>
    <w:p>
      <w:pPr>
        <w:ind w:left="220" w:right="1319"/>
        <w:spacing w:after="0" w:line="282" w:lineRule="auto"/>
        <w:rPr>
          <w:sz w:val="20"/>
          <w:szCs w:val="20"/>
          <w:color w:val="auto"/>
        </w:rPr>
      </w:pPr>
      <w:r>
        <w:rPr>
          <w:rFonts w:ascii="Arial" w:cs="Arial" w:eastAsia="Arial" w:hAnsi="Arial"/>
          <w:sz w:val="20"/>
          <w:szCs w:val="20"/>
          <w:color w:val="auto"/>
        </w:rPr>
        <w:t>Since inception four years ago, PFLT has had only one non-accrual at a cost of $2.2 million. So far, PFLT has recovered 97 cents on the dollar on this investment</w:t>
      </w:r>
    </w:p>
    <w:p>
      <w:pPr>
        <w:spacing w:after="0" w:line="365" w:lineRule="exact"/>
        <w:rPr>
          <w:sz w:val="20"/>
          <w:szCs w:val="20"/>
          <w:color w:val="auto"/>
        </w:rPr>
      </w:pPr>
    </w:p>
    <w:p>
      <w:pPr>
        <w:ind w:left="220" w:right="1339"/>
        <w:spacing w:after="0" w:line="282" w:lineRule="auto"/>
        <w:rPr>
          <w:sz w:val="20"/>
          <w:szCs w:val="20"/>
          <w:color w:val="auto"/>
        </w:rPr>
      </w:pPr>
      <w:r>
        <w:rPr>
          <w:rFonts w:ascii="Arial" w:cs="Arial" w:eastAsia="Arial" w:hAnsi="Arial"/>
          <w:sz w:val="20"/>
          <w:szCs w:val="20"/>
          <w:color w:val="auto"/>
        </w:rPr>
        <w:t>PennantPark entities have had only 9 non-accruals out of 350 investments since inception eight years ago despite the recession and credit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hanging="257"/>
        <w:spacing w:after="0"/>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As of 12/31/14.</w:t>
      </w:r>
    </w:p>
    <w:p>
      <w:pPr>
        <w:jc w:val="right"/>
        <w:ind w:right="239"/>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9979"/>
          </w:cols>
          <w:pgMar w:left="480" w:top="606" w:right="1440" w:bottom="1440" w:gutter="0" w:footer="0" w:header="0"/>
        </w:sectPr>
      </w:pPr>
    </w:p>
    <w:bookmarkStart w:id="15" w:name="page16"/>
    <w:bookmarkEnd w:id="15"/>
    <w:p>
      <w:pPr>
        <w:ind w:left="62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4875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4875530"/>
                    </a:xfrm>
                    <a:prstGeom prst="rect">
                      <a:avLst/>
                    </a:prstGeom>
                    <a:noFill/>
                  </pic:spPr>
                </pic:pic>
              </a:graphicData>
            </a:graphic>
          </wp:anchor>
        </w:drawing>
        <w:t>Pro-Forma Overall Portfolio as of 12/31/2014</w:t>
      </w:r>
    </w:p>
    <w:p>
      <w:pPr>
        <w:sectPr>
          <w:pgSz w:w="11900" w:h="16838" w:orient="portrait"/>
          <w:cols w:equalWidth="0" w:num="1">
            <w:col w:w="10360"/>
          </w:cols>
          <w:pgMar w:left="360" w:top="618" w:right="1179" w:bottom="1440" w:gutter="0" w:footer="0" w:header="0"/>
        </w:sect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340" w:type="dxa"/>
            <w:vAlign w:val="bottom"/>
          </w:tcPr>
          <w:p>
            <w:pPr>
              <w:ind w:left="1640"/>
              <w:spacing w:after="0"/>
              <w:rPr>
                <w:sz w:val="20"/>
                <w:szCs w:val="20"/>
                <w:color w:val="auto"/>
              </w:rPr>
            </w:pPr>
            <w:r>
              <w:rPr>
                <w:rFonts w:ascii="Arial" w:cs="Arial" w:eastAsia="Arial" w:hAnsi="Arial"/>
                <w:sz w:val="22"/>
                <w:szCs w:val="22"/>
                <w:b w:val="1"/>
                <w:bCs w:val="1"/>
                <w:color w:val="FFFFFF"/>
              </w:rPr>
              <w:t>Highly</w:t>
            </w:r>
          </w:p>
        </w:tc>
        <w:tc>
          <w:tcPr>
            <w:tcW w:w="1180" w:type="dxa"/>
            <w:vAlign w:val="bottom"/>
            <w:gridSpan w:val="2"/>
          </w:tcPr>
          <w:p>
            <w:pPr>
              <w:jc w:val="right"/>
              <w:ind w:right="33"/>
              <w:spacing w:after="0"/>
              <w:rPr>
                <w:sz w:val="20"/>
                <w:szCs w:val="20"/>
                <w:color w:val="auto"/>
              </w:rPr>
            </w:pPr>
            <w:r>
              <w:rPr>
                <w:rFonts w:ascii="Arial" w:cs="Arial" w:eastAsia="Arial" w:hAnsi="Arial"/>
                <w:sz w:val="22"/>
                <w:szCs w:val="22"/>
                <w:b w:val="1"/>
                <w:bCs w:val="1"/>
                <w:color w:val="FFFFFF"/>
                <w:w w:val="95"/>
              </w:rPr>
              <w:t>Diversified</w:t>
            </w:r>
          </w:p>
        </w:tc>
        <w:tc>
          <w:tcPr>
            <w:tcW w:w="1640" w:type="dxa"/>
            <w:vAlign w:val="bottom"/>
            <w:gridSpan w:val="5"/>
          </w:tcPr>
          <w:p>
            <w:pPr>
              <w:jc w:val="center"/>
              <w:spacing w:after="0"/>
              <w:rPr>
                <w:sz w:val="20"/>
                <w:szCs w:val="20"/>
                <w:color w:val="auto"/>
              </w:rPr>
            </w:pPr>
            <w:r>
              <w:rPr>
                <w:rFonts w:ascii="Arial" w:cs="Arial" w:eastAsia="Arial" w:hAnsi="Arial"/>
                <w:sz w:val="22"/>
                <w:szCs w:val="22"/>
                <w:b w:val="1"/>
                <w:bCs w:val="1"/>
                <w:color w:val="FFFFFF"/>
                <w:w w:val="98"/>
              </w:rPr>
              <w:t xml:space="preserve">Industry Mix </w:t>
            </w:r>
            <w:r>
              <w:rPr>
                <w:rFonts w:ascii="Arial" w:cs="Arial" w:eastAsia="Arial" w:hAnsi="Arial"/>
                <w:sz w:val="14"/>
                <w:szCs w:val="14"/>
                <w:b w:val="1"/>
                <w:bCs w:val="1"/>
                <w:color w:val="FFFFFF"/>
                <w:w w:val="98"/>
              </w:rPr>
              <w:t>(1)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20" w:type="dxa"/>
            <w:vAlign w:val="bottom"/>
            <w:gridSpan w:val="3"/>
          </w:tcPr>
          <w:p>
            <w:pPr>
              <w:jc w:val="right"/>
              <w:ind w:right="93"/>
              <w:spacing w:after="0"/>
              <w:rPr>
                <w:sz w:val="20"/>
                <w:szCs w:val="20"/>
                <w:color w:val="auto"/>
              </w:rPr>
            </w:pPr>
            <w:r>
              <w:rPr>
                <w:rFonts w:ascii="Arial" w:cs="Arial" w:eastAsia="Arial" w:hAnsi="Arial"/>
                <w:sz w:val="9"/>
                <w:szCs w:val="9"/>
                <w:color w:val="auto"/>
              </w:rPr>
              <w:t>CHEMICALS, PLASTICS AND</w:t>
            </w:r>
          </w:p>
        </w:tc>
        <w:tc>
          <w:tcPr>
            <w:tcW w:w="120" w:type="dxa"/>
            <w:vAlign w:val="bottom"/>
          </w:tcPr>
          <w:p>
            <w:pPr>
              <w:spacing w:after="0"/>
              <w:rPr>
                <w:sz w:val="15"/>
                <w:szCs w:val="15"/>
                <w:color w:val="auto"/>
              </w:rPr>
            </w:pPr>
          </w:p>
        </w:tc>
        <w:tc>
          <w:tcPr>
            <w:tcW w:w="1200" w:type="dxa"/>
            <w:vAlign w:val="bottom"/>
            <w:gridSpan w:val="3"/>
            <w:vMerge w:val="restart"/>
          </w:tcPr>
          <w:p>
            <w:pPr>
              <w:jc w:val="right"/>
              <w:ind w:right="73"/>
              <w:spacing w:after="0"/>
              <w:rPr>
                <w:sz w:val="20"/>
                <w:szCs w:val="20"/>
                <w:color w:val="auto"/>
              </w:rPr>
            </w:pPr>
            <w:r>
              <w:rPr>
                <w:rFonts w:ascii="Arial" w:cs="Arial" w:eastAsia="Arial" w:hAnsi="Arial"/>
                <w:sz w:val="9"/>
                <w:szCs w:val="9"/>
                <w:color w:val="auto"/>
              </w:rPr>
              <w:t>ENERGY: OIL AND GAS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340" w:type="dxa"/>
            <w:vAlign w:val="bottom"/>
            <w:vMerge w:val="restart"/>
          </w:tcPr>
          <w:p>
            <w:pPr>
              <w:jc w:val="center"/>
              <w:ind w:left="208"/>
              <w:spacing w:after="0"/>
              <w:rPr>
                <w:sz w:val="20"/>
                <w:szCs w:val="20"/>
                <w:color w:val="auto"/>
              </w:rPr>
            </w:pPr>
            <w:r>
              <w:rPr>
                <w:rFonts w:ascii="Arial" w:cs="Arial" w:eastAsia="Arial" w:hAnsi="Arial"/>
                <w:sz w:val="9"/>
                <w:szCs w:val="9"/>
                <w:color w:val="auto"/>
              </w:rPr>
              <w:t>MEDIA: DIVERSIFIED AND</w:t>
            </w:r>
          </w:p>
        </w:tc>
        <w:tc>
          <w:tcPr>
            <w:tcW w:w="620" w:type="dxa"/>
            <w:vAlign w:val="bottom"/>
            <w:vMerge w:val="restart"/>
          </w:tcPr>
          <w:p>
            <w:pPr>
              <w:jc w:val="center"/>
              <w:ind w:left="180"/>
              <w:spacing w:after="0"/>
              <w:rPr>
                <w:sz w:val="20"/>
                <w:szCs w:val="20"/>
                <w:color w:val="auto"/>
              </w:rPr>
            </w:pPr>
            <w:r>
              <w:rPr>
                <w:rFonts w:ascii="Arial" w:cs="Arial" w:eastAsia="Arial" w:hAnsi="Arial"/>
                <w:sz w:val="9"/>
                <w:szCs w:val="9"/>
                <w:color w:val="auto"/>
              </w:rPr>
              <w:t>RUBBER</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9"/>
                <w:szCs w:val="9"/>
                <w:color w:val="auto"/>
              </w:rPr>
              <w:t>CONSTRUCTION AND</w:t>
            </w:r>
          </w:p>
        </w:tc>
        <w:tc>
          <w:tcPr>
            <w:tcW w:w="0" w:type="dxa"/>
            <w:vAlign w:val="bottom"/>
          </w:tcPr>
          <w:p>
            <w:pPr>
              <w:spacing w:after="0" w:line="20" w:lineRule="exact"/>
              <w:rPr>
                <w:sz w:val="1"/>
                <w:szCs w:val="1"/>
                <w:color w:val="auto"/>
              </w:rPr>
            </w:pPr>
          </w:p>
        </w:tc>
      </w:tr>
      <w:tr>
        <w:trPr>
          <w:trHeight w:val="85"/>
        </w:trPr>
        <w:tc>
          <w:tcPr>
            <w:tcW w:w="23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jc w:val="right"/>
              <w:spacing w:after="0" w:line="85" w:lineRule="exact"/>
              <w:rPr>
                <w:sz w:val="20"/>
                <w:szCs w:val="20"/>
                <w:color w:val="auto"/>
              </w:rPr>
            </w:pPr>
            <w:r>
              <w:rPr>
                <w:rFonts w:ascii="Arial" w:cs="Arial" w:eastAsia="Arial" w:hAnsi="Arial"/>
                <w:sz w:val="9"/>
                <w:szCs w:val="9"/>
                <w:color w:val="auto"/>
              </w:rPr>
              <w:t>2%</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340" w:type="dxa"/>
            <w:vAlign w:val="bottom"/>
          </w:tcPr>
          <w:p>
            <w:pPr>
              <w:jc w:val="center"/>
              <w:ind w:left="128"/>
              <w:spacing w:after="0"/>
              <w:rPr>
                <w:sz w:val="20"/>
                <w:szCs w:val="20"/>
                <w:color w:val="auto"/>
              </w:rPr>
            </w:pPr>
            <w:r>
              <w:rPr>
                <w:rFonts w:ascii="Arial" w:cs="Arial" w:eastAsia="Arial" w:hAnsi="Arial"/>
                <w:sz w:val="9"/>
                <w:szCs w:val="9"/>
                <w:color w:val="auto"/>
                <w:w w:val="99"/>
              </w:rPr>
              <w:t>PRODUCTION</w:t>
            </w:r>
          </w:p>
        </w:tc>
        <w:tc>
          <w:tcPr>
            <w:tcW w:w="620" w:type="dxa"/>
            <w:vAlign w:val="bottom"/>
          </w:tcPr>
          <w:p>
            <w:pPr>
              <w:jc w:val="right"/>
              <w:ind w:right="80"/>
              <w:spacing w:after="0"/>
              <w:rPr>
                <w:sz w:val="20"/>
                <w:szCs w:val="20"/>
                <w:color w:val="auto"/>
              </w:rPr>
            </w:pPr>
            <w:r>
              <w:rPr>
                <w:rFonts w:ascii="Arial" w:cs="Arial" w:eastAsia="Arial" w:hAnsi="Arial"/>
                <w:sz w:val="9"/>
                <w:szCs w:val="9"/>
                <w:color w:val="auto"/>
              </w:rPr>
              <w:t>1%</w:t>
            </w:r>
          </w:p>
        </w:tc>
        <w:tc>
          <w:tcPr>
            <w:tcW w:w="560" w:type="dxa"/>
            <w:vAlign w:val="bottom"/>
          </w:tcPr>
          <w:p>
            <w:pPr>
              <w:jc w:val="right"/>
              <w:ind w:right="13"/>
              <w:spacing w:after="0"/>
              <w:rPr>
                <w:sz w:val="20"/>
                <w:szCs w:val="20"/>
                <w:color w:val="auto"/>
              </w:rPr>
            </w:pPr>
            <w:r>
              <w:rPr>
                <w:rFonts w:ascii="Arial" w:cs="Arial" w:eastAsia="Arial" w:hAnsi="Arial"/>
                <w:sz w:val="9"/>
                <w:szCs w:val="9"/>
                <w:color w:val="auto"/>
              </w:rPr>
              <w:t>OTHER</w:t>
            </w:r>
          </w:p>
        </w:tc>
        <w:tc>
          <w:tcPr>
            <w:tcW w:w="12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Arial" w:cs="Arial" w:eastAsia="Arial" w:hAnsi="Arial"/>
                <w:sz w:val="9"/>
                <w:szCs w:val="9"/>
                <w:color w:val="auto"/>
                <w:w w:val="99"/>
              </w:rPr>
              <w:t>WHOLESALE</w:t>
            </w:r>
          </w:p>
        </w:tc>
        <w:tc>
          <w:tcPr>
            <w:tcW w:w="860" w:type="dxa"/>
            <w:vAlign w:val="bottom"/>
            <w:gridSpan w:val="2"/>
            <w:vMerge w:val="restart"/>
          </w:tcPr>
          <w:p>
            <w:pPr>
              <w:ind w:left="80"/>
              <w:spacing w:after="0"/>
              <w:rPr>
                <w:sz w:val="20"/>
                <w:szCs w:val="20"/>
                <w:color w:val="auto"/>
              </w:rPr>
            </w:pPr>
            <w:r>
              <w:rPr>
                <w:rFonts w:ascii="Arial" w:cs="Arial" w:eastAsia="Arial" w:hAnsi="Arial"/>
                <w:sz w:val="9"/>
                <w:szCs w:val="9"/>
                <w:color w:val="auto"/>
              </w:rPr>
              <w:t>AUTOMOTIVE</w:t>
            </w:r>
          </w:p>
        </w:tc>
        <w:tc>
          <w:tcPr>
            <w:tcW w:w="1160" w:type="dxa"/>
            <w:vAlign w:val="bottom"/>
          </w:tcPr>
          <w:p>
            <w:pPr>
              <w:jc w:val="center"/>
              <w:spacing w:after="0"/>
              <w:rPr>
                <w:sz w:val="20"/>
                <w:szCs w:val="20"/>
                <w:color w:val="auto"/>
              </w:rPr>
            </w:pPr>
            <w:r>
              <w:rPr>
                <w:rFonts w:ascii="Arial" w:cs="Arial" w:eastAsia="Arial" w:hAnsi="Arial"/>
                <w:sz w:val="9"/>
                <w:szCs w:val="9"/>
                <w:color w:val="auto"/>
              </w:rPr>
              <w:t>BUILDING</w:t>
            </w:r>
          </w:p>
        </w:tc>
        <w:tc>
          <w:tcPr>
            <w:tcW w:w="0" w:type="dxa"/>
            <w:vAlign w:val="bottom"/>
          </w:tcPr>
          <w:p>
            <w:pPr>
              <w:spacing w:after="0"/>
              <w:rPr>
                <w:sz w:val="1"/>
                <w:szCs w:val="1"/>
                <w:color w:val="auto"/>
              </w:rPr>
            </w:pPr>
          </w:p>
        </w:tc>
      </w:tr>
      <w:tr>
        <w:trPr>
          <w:trHeight w:val="85"/>
        </w:trPr>
        <w:tc>
          <w:tcPr>
            <w:tcW w:w="2340" w:type="dxa"/>
            <w:vAlign w:val="bottom"/>
          </w:tcPr>
          <w:p>
            <w:pPr>
              <w:ind w:left="1220"/>
              <w:spacing w:after="0" w:line="85" w:lineRule="exact"/>
              <w:rPr>
                <w:sz w:val="20"/>
                <w:szCs w:val="20"/>
                <w:color w:val="auto"/>
              </w:rPr>
            </w:pPr>
            <w:r>
              <w:rPr>
                <w:rFonts w:ascii="Arial" w:cs="Arial" w:eastAsia="Arial" w:hAnsi="Arial"/>
                <w:sz w:val="9"/>
                <w:szCs w:val="9"/>
                <w:color w:val="auto"/>
              </w:rPr>
              <w:t>1%</w:t>
            </w:r>
          </w:p>
        </w:tc>
        <w:tc>
          <w:tcPr>
            <w:tcW w:w="620" w:type="dxa"/>
            <w:vAlign w:val="bottom"/>
          </w:tcPr>
          <w:p>
            <w:pPr>
              <w:spacing w:after="0"/>
              <w:rPr>
                <w:sz w:val="7"/>
                <w:szCs w:val="7"/>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160" w:type="dxa"/>
            <w:vAlign w:val="bottom"/>
            <w:vMerge w:val="restart"/>
          </w:tcPr>
          <w:p>
            <w:pPr>
              <w:jc w:val="center"/>
              <w:ind w:left="13"/>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1"/>
        </w:trPr>
        <w:tc>
          <w:tcPr>
            <w:tcW w:w="2340" w:type="dxa"/>
            <w:vAlign w:val="bottom"/>
            <w:vMerge w:val="restart"/>
          </w:tcPr>
          <w:p>
            <w:pPr>
              <w:jc w:val="center"/>
              <w:ind w:left="168"/>
              <w:spacing w:after="0"/>
              <w:rPr>
                <w:sz w:val="20"/>
                <w:szCs w:val="20"/>
                <w:color w:val="auto"/>
              </w:rPr>
            </w:pPr>
            <w:r>
              <w:rPr>
                <w:rFonts w:ascii="Arial" w:cs="Arial" w:eastAsia="Arial" w:hAnsi="Arial"/>
                <w:sz w:val="9"/>
                <w:szCs w:val="9"/>
                <w:color w:val="auto"/>
              </w:rPr>
              <w:t>HEALTHCARE AND</w:t>
            </w:r>
          </w:p>
        </w:tc>
        <w:tc>
          <w:tcPr>
            <w:tcW w:w="6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9"/>
                <w:szCs w:val="9"/>
                <w:color w:val="auto"/>
              </w:rPr>
              <w:t>3%</w:t>
            </w: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340" w:type="dxa"/>
            <w:vAlign w:val="bottom"/>
            <w:vMerge w:val="continue"/>
          </w:tcPr>
          <w:p>
            <w:pPr>
              <w:spacing w:after="0"/>
              <w:rPr>
                <w:sz w:val="3"/>
                <w:szCs w:val="3"/>
                <w:color w:val="auto"/>
              </w:rPr>
            </w:pPr>
          </w:p>
        </w:tc>
        <w:tc>
          <w:tcPr>
            <w:tcW w:w="620" w:type="dxa"/>
            <w:vAlign w:val="bottom"/>
            <w:vMerge w:val="restart"/>
          </w:tcPr>
          <w:p>
            <w:pPr>
              <w:jc w:val="right"/>
              <w:ind w:right="20"/>
              <w:spacing w:after="0"/>
              <w:rPr>
                <w:sz w:val="20"/>
                <w:szCs w:val="20"/>
                <w:color w:val="auto"/>
              </w:rPr>
            </w:pPr>
            <w:r>
              <w:rPr>
                <w:rFonts w:ascii="Arial" w:cs="Arial" w:eastAsia="Arial" w:hAnsi="Arial"/>
                <w:sz w:val="9"/>
                <w:szCs w:val="9"/>
                <w:color w:val="auto"/>
              </w:rPr>
              <w:t>0</w:t>
            </w: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80" w:type="dxa"/>
            <w:vAlign w:val="bottom"/>
            <w:gridSpan w:val="2"/>
            <w:vMerge w:val="restart"/>
          </w:tcPr>
          <w:p>
            <w:pPr>
              <w:jc w:val="right"/>
              <w:ind w:right="93"/>
              <w:spacing w:after="0"/>
              <w:rPr>
                <w:sz w:val="20"/>
                <w:szCs w:val="20"/>
                <w:color w:val="auto"/>
              </w:rPr>
            </w:pPr>
            <w:r>
              <w:rPr>
                <w:rFonts w:ascii="Arial" w:cs="Arial" w:eastAsia="Arial" w:hAnsi="Arial"/>
                <w:sz w:val="9"/>
                <w:szCs w:val="9"/>
                <w:color w:val="auto"/>
              </w:rPr>
              <w:t>AEROSPACE AND DEFENSE</w:t>
            </w:r>
          </w:p>
        </w:tc>
        <w:tc>
          <w:tcPr>
            <w:tcW w:w="0" w:type="dxa"/>
            <w:vAlign w:val="bottom"/>
          </w:tcPr>
          <w:p>
            <w:pPr>
              <w:spacing w:after="0" w:line="20" w:lineRule="exact"/>
              <w:rPr>
                <w:sz w:val="1"/>
                <w:szCs w:val="1"/>
                <w:color w:val="auto"/>
              </w:rPr>
            </w:pPr>
          </w:p>
        </w:tc>
      </w:tr>
      <w:tr>
        <w:trPr>
          <w:trHeight w:val="85"/>
        </w:trPr>
        <w:tc>
          <w:tcPr>
            <w:tcW w:w="2340" w:type="dxa"/>
            <w:vAlign w:val="bottom"/>
            <w:vMerge w:val="restart"/>
          </w:tcPr>
          <w:p>
            <w:pPr>
              <w:jc w:val="center"/>
              <w:ind w:left="168"/>
              <w:spacing w:after="0"/>
              <w:rPr>
                <w:sz w:val="20"/>
                <w:szCs w:val="20"/>
                <w:color w:val="auto"/>
              </w:rPr>
            </w:pPr>
            <w:r>
              <w:rPr>
                <w:rFonts w:ascii="Arial" w:cs="Arial" w:eastAsia="Arial" w:hAnsi="Arial"/>
                <w:sz w:val="9"/>
                <w:szCs w:val="9"/>
                <w:color w:val="auto"/>
              </w:rPr>
              <w:t>PHARMACEUTICALS</w:t>
            </w: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3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vMerge w:val="restart"/>
          </w:tcPr>
          <w:p>
            <w:pPr>
              <w:jc w:val="center"/>
              <w:ind w:right="73"/>
              <w:spacing w:after="0"/>
              <w:rPr>
                <w:sz w:val="20"/>
                <w:szCs w:val="20"/>
                <w:color w:val="auto"/>
              </w:rPr>
            </w:pPr>
            <w:r>
              <w:rPr>
                <w:rFonts w:ascii="Arial" w:cs="Arial" w:eastAsia="Arial" w:hAnsi="Arial"/>
                <w:sz w:val="9"/>
                <w:szCs w:val="9"/>
                <w:color w:val="auto"/>
                <w:w w:val="91"/>
              </w:rPr>
              <w:t>3%</w:t>
            </w:r>
          </w:p>
        </w:tc>
        <w:tc>
          <w:tcPr>
            <w:tcW w:w="0" w:type="dxa"/>
            <w:vAlign w:val="bottom"/>
          </w:tcPr>
          <w:p>
            <w:pPr>
              <w:spacing w:after="0" w:line="20" w:lineRule="exact"/>
              <w:rPr>
                <w:sz w:val="1"/>
                <w:szCs w:val="1"/>
                <w:color w:val="auto"/>
              </w:rPr>
            </w:pPr>
          </w:p>
        </w:tc>
      </w:tr>
      <w:tr>
        <w:trPr>
          <w:trHeight w:val="104"/>
        </w:trPr>
        <w:tc>
          <w:tcPr>
            <w:tcW w:w="2340" w:type="dxa"/>
            <w:vAlign w:val="bottom"/>
          </w:tcPr>
          <w:p>
            <w:pPr>
              <w:ind w:left="1220"/>
              <w:spacing w:after="0"/>
              <w:rPr>
                <w:sz w:val="20"/>
                <w:szCs w:val="20"/>
                <w:color w:val="auto"/>
              </w:rPr>
            </w:pPr>
            <w:r>
              <w:rPr>
                <w:rFonts w:ascii="Arial" w:cs="Arial" w:eastAsia="Arial" w:hAnsi="Arial"/>
                <w:sz w:val="9"/>
                <w:szCs w:val="9"/>
                <w:color w:val="auto"/>
              </w:rPr>
              <w:t>15%</w:t>
            </w: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340" w:type="dxa"/>
            <w:vAlign w:val="bottom"/>
          </w:tcPr>
          <w:p>
            <w:pPr>
              <w:spacing w:after="0"/>
              <w:rPr>
                <w:sz w:val="20"/>
                <w:szCs w:val="20"/>
                <w:color w:val="auto"/>
              </w:rPr>
            </w:pPr>
            <w:r>
              <w:rPr>
                <w:rFonts w:ascii="Arial" w:cs="Arial" w:eastAsia="Arial" w:hAnsi="Arial"/>
                <w:sz w:val="9"/>
                <w:szCs w:val="9"/>
                <w:color w:val="auto"/>
              </w:rPr>
              <w:t>HIGH TECH INDUSTRIES</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9"/>
                <w:szCs w:val="9"/>
                <w:color w:val="auto"/>
              </w:rPr>
              <w:t>CONSUMER GOODS:  NON -</w:t>
            </w:r>
          </w:p>
        </w:tc>
        <w:tc>
          <w:tcPr>
            <w:tcW w:w="0" w:type="dxa"/>
            <w:vAlign w:val="bottom"/>
          </w:tcPr>
          <w:p>
            <w:pPr>
              <w:spacing w:after="0"/>
              <w:rPr>
                <w:sz w:val="1"/>
                <w:szCs w:val="1"/>
                <w:color w:val="auto"/>
              </w:rPr>
            </w:pPr>
          </w:p>
        </w:tc>
      </w:tr>
      <w:tr>
        <w:trPr>
          <w:trHeight w:val="115"/>
        </w:trPr>
        <w:tc>
          <w:tcPr>
            <w:tcW w:w="2340" w:type="dxa"/>
            <w:vAlign w:val="bottom"/>
          </w:tcPr>
          <w:p>
            <w:pPr>
              <w:ind w:left="500"/>
              <w:spacing w:after="0"/>
              <w:rPr>
                <w:sz w:val="20"/>
                <w:szCs w:val="20"/>
                <w:color w:val="auto"/>
              </w:rPr>
            </w:pPr>
            <w:r>
              <w:rPr>
                <w:rFonts w:ascii="Arial" w:cs="Arial" w:eastAsia="Arial" w:hAnsi="Arial"/>
                <w:sz w:val="9"/>
                <w:szCs w:val="9"/>
                <w:color w:val="auto"/>
              </w:rPr>
              <w:t>13%</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right"/>
              <w:ind w:right="273"/>
              <w:spacing w:after="0"/>
              <w:rPr>
                <w:sz w:val="20"/>
                <w:szCs w:val="20"/>
                <w:color w:val="auto"/>
              </w:rPr>
            </w:pPr>
            <w:r>
              <w:rPr>
                <w:rFonts w:ascii="Arial" w:cs="Arial" w:eastAsia="Arial" w:hAnsi="Arial"/>
                <w:sz w:val="9"/>
                <w:szCs w:val="9"/>
                <w:color w:val="auto"/>
              </w:rPr>
              <w:t>DURABLE</w:t>
            </w:r>
          </w:p>
        </w:tc>
        <w:tc>
          <w:tcPr>
            <w:tcW w:w="0" w:type="dxa"/>
            <w:vAlign w:val="bottom"/>
          </w:tcPr>
          <w:p>
            <w:pPr>
              <w:spacing w:after="0"/>
              <w:rPr>
                <w:sz w:val="1"/>
                <w:szCs w:val="1"/>
                <w:color w:val="auto"/>
              </w:rPr>
            </w:pPr>
          </w:p>
        </w:tc>
      </w:tr>
      <w:tr>
        <w:trPr>
          <w:trHeight w:val="120"/>
        </w:trPr>
        <w:tc>
          <w:tcPr>
            <w:tcW w:w="2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9"/>
                <w:szCs w:val="9"/>
                <w:color w:val="auto"/>
                <w:w w:val="91"/>
              </w:rPr>
              <w:t>3%</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ind w:left="13"/>
              <w:spacing w:after="0"/>
              <w:rPr>
                <w:sz w:val="20"/>
                <w:szCs w:val="20"/>
                <w:color w:val="auto"/>
              </w:rPr>
            </w:pPr>
            <w:r>
              <w:rPr>
                <w:rFonts w:ascii="Arial" w:cs="Arial" w:eastAsia="Arial" w:hAnsi="Arial"/>
                <w:sz w:val="9"/>
                <w:szCs w:val="9"/>
                <w:color w:val="auto"/>
              </w:rPr>
              <w:t>MEDIA: BROADCASTING</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left="13"/>
              <w:spacing w:after="0"/>
              <w:rPr>
                <w:sz w:val="20"/>
                <w:szCs w:val="20"/>
                <w:color w:val="auto"/>
              </w:rPr>
            </w:pPr>
            <w:r>
              <w:rPr>
                <w:rFonts w:ascii="Arial" w:cs="Arial" w:eastAsia="Arial" w:hAnsi="Arial"/>
                <w:sz w:val="9"/>
                <w:szCs w:val="9"/>
                <w:color w:val="auto"/>
              </w:rPr>
              <w:t>AND SUBSCRIPTION</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413"/>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20"/>
        </w:trPr>
        <w:tc>
          <w:tcPr>
            <w:tcW w:w="2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9"/>
                <w:szCs w:val="9"/>
                <w:color w:val="auto"/>
              </w:rPr>
              <w:t>BANKING, FINANCE,</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9"/>
                <w:szCs w:val="9"/>
                <w:color w:val="auto"/>
              </w:rPr>
              <w:t>INSURANCE &amp; REAL</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253"/>
              <w:spacing w:after="0"/>
              <w:rPr>
                <w:sz w:val="20"/>
                <w:szCs w:val="20"/>
                <w:color w:val="auto"/>
              </w:rPr>
            </w:pPr>
            <w:r>
              <w:rPr>
                <w:rFonts w:ascii="Arial" w:cs="Arial" w:eastAsia="Arial" w:hAnsi="Arial"/>
                <w:sz w:val="9"/>
                <w:szCs w:val="9"/>
                <w:color w:val="auto"/>
              </w:rPr>
              <w:t>ESTATE</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353"/>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12"/>
        </w:trPr>
        <w:tc>
          <w:tcPr>
            <w:tcW w:w="2340" w:type="dxa"/>
            <w:vAlign w:val="bottom"/>
            <w:vMerge w:val="restart"/>
          </w:tcPr>
          <w:p>
            <w:pPr>
              <w:jc w:val="center"/>
              <w:ind w:right="988"/>
              <w:spacing w:after="0"/>
              <w:rPr>
                <w:sz w:val="20"/>
                <w:szCs w:val="20"/>
                <w:color w:val="auto"/>
              </w:rPr>
            </w:pPr>
            <w:r>
              <w:rPr>
                <w:rFonts w:ascii="Arial" w:cs="Arial" w:eastAsia="Arial" w:hAnsi="Arial"/>
                <w:sz w:val="9"/>
                <w:szCs w:val="9"/>
                <w:color w:val="auto"/>
                <w:w w:val="96"/>
              </w:rPr>
              <w:t>BUSINESS SERVICES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9"/>
                <w:szCs w:val="9"/>
                <w:color w:val="auto"/>
                <w:w w:val="98"/>
              </w:rPr>
              <w:t>CONSUMER GOODS:</w:t>
            </w:r>
          </w:p>
        </w:tc>
        <w:tc>
          <w:tcPr>
            <w:tcW w:w="0" w:type="dxa"/>
            <w:vAlign w:val="bottom"/>
          </w:tcPr>
          <w:p>
            <w:pPr>
              <w:spacing w:after="0"/>
              <w:rPr>
                <w:sz w:val="1"/>
                <w:szCs w:val="1"/>
                <w:color w:val="auto"/>
              </w:rPr>
            </w:pPr>
          </w:p>
        </w:tc>
      </w:tr>
      <w:tr>
        <w:trPr>
          <w:trHeight w:val="59"/>
        </w:trPr>
        <w:tc>
          <w:tcPr>
            <w:tcW w:w="2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gridSpan w:val="2"/>
            <w:vMerge w:val="restart"/>
          </w:tcPr>
          <w:p>
            <w:pPr>
              <w:jc w:val="center"/>
              <w:ind w:left="293"/>
              <w:spacing w:after="0"/>
              <w:rPr>
                <w:sz w:val="20"/>
                <w:szCs w:val="20"/>
                <w:color w:val="auto"/>
              </w:rPr>
            </w:pPr>
            <w:r>
              <w:rPr>
                <w:rFonts w:ascii="Arial" w:cs="Arial" w:eastAsia="Arial" w:hAnsi="Arial"/>
                <w:sz w:val="9"/>
                <w:szCs w:val="9"/>
                <w:color w:val="auto"/>
              </w:rPr>
              <w:t>RETAIL</w:t>
            </w:r>
          </w:p>
        </w:tc>
        <w:tc>
          <w:tcPr>
            <w:tcW w:w="1160" w:type="dxa"/>
            <w:vAlign w:val="bottom"/>
            <w:vMerge w:val="restart"/>
          </w:tcPr>
          <w:p>
            <w:pPr>
              <w:jc w:val="center"/>
              <w:ind w:right="33"/>
              <w:spacing w:after="0"/>
              <w:rPr>
                <w:sz w:val="20"/>
                <w:szCs w:val="20"/>
                <w:color w:val="auto"/>
              </w:rPr>
            </w:pPr>
            <w:r>
              <w:rPr>
                <w:rFonts w:ascii="Arial" w:cs="Arial" w:eastAsia="Arial" w:hAnsi="Arial"/>
                <w:sz w:val="9"/>
                <w:szCs w:val="9"/>
                <w:color w:val="auto"/>
              </w:rPr>
              <w:t>DURABLE</w:t>
            </w:r>
          </w:p>
        </w:tc>
        <w:tc>
          <w:tcPr>
            <w:tcW w:w="0" w:type="dxa"/>
            <w:vAlign w:val="bottom"/>
          </w:tcPr>
          <w:p>
            <w:pPr>
              <w:spacing w:after="0"/>
              <w:rPr>
                <w:sz w:val="1"/>
                <w:szCs w:val="1"/>
                <w:color w:val="auto"/>
              </w:rPr>
            </w:pPr>
          </w:p>
        </w:tc>
      </w:tr>
      <w:tr>
        <w:trPr>
          <w:trHeight w:val="71"/>
        </w:trPr>
        <w:tc>
          <w:tcPr>
            <w:tcW w:w="2340" w:type="dxa"/>
            <w:vAlign w:val="bottom"/>
            <w:vMerge w:val="restart"/>
          </w:tcPr>
          <w:p>
            <w:pPr>
              <w:jc w:val="right"/>
              <w:ind w:right="1548"/>
              <w:spacing w:after="0"/>
              <w:rPr>
                <w:sz w:val="20"/>
                <w:szCs w:val="20"/>
                <w:color w:val="auto"/>
              </w:rPr>
            </w:pPr>
            <w:r>
              <w:rPr>
                <w:rFonts w:ascii="Arial" w:cs="Arial" w:eastAsia="Arial" w:hAnsi="Arial"/>
                <w:sz w:val="9"/>
                <w:szCs w:val="9"/>
                <w:color w:val="auto"/>
              </w:rPr>
              <w:t>13%</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vMerge w:val="restart"/>
          </w:tcPr>
          <w:p>
            <w:pPr>
              <w:jc w:val="right"/>
              <w:ind w:right="133"/>
              <w:spacing w:after="0"/>
              <w:rPr>
                <w:sz w:val="20"/>
                <w:szCs w:val="20"/>
                <w:color w:val="auto"/>
              </w:rPr>
            </w:pPr>
            <w:r>
              <w:rPr>
                <w:rFonts w:ascii="Arial" w:cs="Arial" w:eastAsia="Arial" w:hAnsi="Arial"/>
                <w:sz w:val="9"/>
                <w:szCs w:val="9"/>
                <w:color w:val="auto"/>
                <w:w w:val="91"/>
              </w:rPr>
              <w:t>5%</w:t>
            </w:r>
          </w:p>
        </w:tc>
        <w:tc>
          <w:tcPr>
            <w:tcW w:w="1160" w:type="dxa"/>
            <w:vAlign w:val="bottom"/>
            <w:vMerge w:val="restart"/>
          </w:tcPr>
          <w:p>
            <w:pPr>
              <w:jc w:val="center"/>
              <w:ind w:right="33"/>
              <w:spacing w:after="0"/>
              <w:rPr>
                <w:sz w:val="20"/>
                <w:szCs w:val="20"/>
                <w:color w:val="auto"/>
              </w:rPr>
            </w:pPr>
            <w:r>
              <w:rPr>
                <w:rFonts w:ascii="Arial" w:cs="Arial" w:eastAsia="Arial" w:hAnsi="Arial"/>
                <w:sz w:val="9"/>
                <w:szCs w:val="9"/>
                <w:color w:val="auto"/>
                <w:w w:val="91"/>
              </w:rPr>
              <w:t>5%</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left="133"/>
              <w:spacing w:after="0"/>
              <w:rPr>
                <w:sz w:val="20"/>
                <w:szCs w:val="20"/>
                <w:color w:val="auto"/>
              </w:rPr>
            </w:pPr>
            <w:r>
              <w:rPr>
                <w:rFonts w:ascii="Arial" w:cs="Arial" w:eastAsia="Arial" w:hAnsi="Arial"/>
                <w:sz w:val="9"/>
                <w:szCs w:val="9"/>
                <w:color w:val="auto"/>
              </w:rPr>
              <w:t>MEDIA: ADVERTISING,</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1300" w:type="dxa"/>
            <w:vAlign w:val="bottom"/>
            <w:gridSpan w:val="3"/>
          </w:tcPr>
          <w:p>
            <w:pPr>
              <w:ind w:left="300"/>
              <w:spacing w:after="0"/>
              <w:rPr>
                <w:sz w:val="20"/>
                <w:szCs w:val="20"/>
                <w:color w:val="auto"/>
              </w:rPr>
            </w:pPr>
            <w:r>
              <w:rPr>
                <w:rFonts w:ascii="Arial" w:cs="Arial" w:eastAsia="Arial" w:hAnsi="Arial"/>
                <w:sz w:val="9"/>
                <w:szCs w:val="9"/>
                <w:color w:val="auto"/>
              </w:rPr>
              <w:t>HOTEL, GAMING AND</w:t>
            </w:r>
          </w:p>
        </w:tc>
        <w:tc>
          <w:tcPr>
            <w:tcW w:w="1200" w:type="dxa"/>
            <w:vAlign w:val="bottom"/>
            <w:gridSpan w:val="3"/>
          </w:tcPr>
          <w:p>
            <w:pPr>
              <w:jc w:val="center"/>
              <w:ind w:left="113"/>
              <w:spacing w:after="0"/>
              <w:rPr>
                <w:sz w:val="20"/>
                <w:szCs w:val="20"/>
                <w:color w:val="auto"/>
              </w:rPr>
            </w:pPr>
            <w:r>
              <w:rPr>
                <w:rFonts w:ascii="Arial" w:cs="Arial" w:eastAsia="Arial" w:hAnsi="Arial"/>
                <w:sz w:val="9"/>
                <w:szCs w:val="9"/>
                <w:color w:val="auto"/>
              </w:rPr>
              <w:t>PRINTING AND</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ind w:left="1020"/>
              <w:spacing w:after="0"/>
              <w:rPr>
                <w:sz w:val="20"/>
                <w:szCs w:val="20"/>
                <w:color w:val="auto"/>
              </w:rPr>
            </w:pPr>
            <w:r>
              <w:rPr>
                <w:rFonts w:ascii="Arial" w:cs="Arial" w:eastAsia="Arial" w:hAnsi="Arial"/>
                <w:sz w:val="9"/>
                <w:szCs w:val="9"/>
                <w:color w:val="auto"/>
              </w:rPr>
              <w:t>CONSUMER SERVICES</w:t>
            </w:r>
          </w:p>
        </w:tc>
        <w:tc>
          <w:tcPr>
            <w:tcW w:w="620" w:type="dxa"/>
            <w:vAlign w:val="bottom"/>
          </w:tcPr>
          <w:p>
            <w:pPr>
              <w:spacing w:after="0"/>
              <w:rPr>
                <w:sz w:val="11"/>
                <w:szCs w:val="11"/>
                <w:color w:val="auto"/>
              </w:rPr>
            </w:pPr>
          </w:p>
        </w:tc>
        <w:tc>
          <w:tcPr>
            <w:tcW w:w="560" w:type="dxa"/>
            <w:vAlign w:val="bottom"/>
          </w:tcPr>
          <w:p>
            <w:pPr>
              <w:jc w:val="right"/>
              <w:ind w:right="113"/>
              <w:spacing w:after="0"/>
              <w:rPr>
                <w:sz w:val="20"/>
                <w:szCs w:val="20"/>
                <w:color w:val="auto"/>
              </w:rPr>
            </w:pPr>
            <w:r>
              <w:rPr>
                <w:rFonts w:ascii="Arial" w:cs="Arial" w:eastAsia="Arial" w:hAnsi="Arial"/>
                <w:sz w:val="9"/>
                <w:szCs w:val="9"/>
                <w:color w:val="auto"/>
                <w:w w:val="98"/>
              </w:rPr>
              <w:t>LEISURE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53"/>
              <w:spacing w:after="0"/>
              <w:rPr>
                <w:sz w:val="20"/>
                <w:szCs w:val="20"/>
                <w:color w:val="auto"/>
              </w:rPr>
            </w:pPr>
            <w:r>
              <w:rPr>
                <w:rFonts w:ascii="Arial" w:cs="Arial" w:eastAsia="Arial" w:hAnsi="Arial"/>
                <w:sz w:val="9"/>
                <w:szCs w:val="9"/>
                <w:color w:val="auto"/>
              </w:rPr>
              <w:t>PUBLISHING</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40" w:type="dxa"/>
            <w:vAlign w:val="bottom"/>
          </w:tcPr>
          <w:p>
            <w:pPr>
              <w:ind w:left="1480"/>
              <w:spacing w:after="0"/>
              <w:rPr>
                <w:sz w:val="20"/>
                <w:szCs w:val="20"/>
                <w:color w:val="auto"/>
              </w:rPr>
            </w:pPr>
            <w:r>
              <w:rPr>
                <w:rFonts w:ascii="Arial" w:cs="Arial" w:eastAsia="Arial" w:hAnsi="Arial"/>
                <w:sz w:val="9"/>
                <w:szCs w:val="9"/>
                <w:color w:val="auto"/>
              </w:rPr>
              <w:t>7%</w:t>
            </w:r>
          </w:p>
        </w:tc>
        <w:tc>
          <w:tcPr>
            <w:tcW w:w="620" w:type="dxa"/>
            <w:vAlign w:val="bottom"/>
          </w:tcPr>
          <w:p>
            <w:pPr>
              <w:spacing w:after="0"/>
              <w:rPr>
                <w:sz w:val="11"/>
                <w:szCs w:val="11"/>
                <w:color w:val="auto"/>
              </w:rPr>
            </w:pPr>
          </w:p>
        </w:tc>
        <w:tc>
          <w:tcPr>
            <w:tcW w:w="560" w:type="dxa"/>
            <w:vAlign w:val="bottom"/>
          </w:tcPr>
          <w:p>
            <w:pPr>
              <w:jc w:val="right"/>
              <w:ind w:right="233"/>
              <w:spacing w:after="0"/>
              <w:rPr>
                <w:sz w:val="20"/>
                <w:szCs w:val="20"/>
                <w:color w:val="auto"/>
              </w:rPr>
            </w:pP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ind w:right="373"/>
              <w:spacing w:after="0"/>
              <w:rPr>
                <w:sz w:val="20"/>
                <w:szCs w:val="20"/>
                <w:color w:val="auto"/>
              </w:rPr>
            </w:pPr>
            <w:r>
              <w:rPr>
                <w:rFonts w:ascii="Arial" w:cs="Arial" w:eastAsia="Arial" w:hAnsi="Arial"/>
                <w:sz w:val="9"/>
                <w:szCs w:val="9"/>
                <w:color w:val="auto"/>
                <w:w w:val="91"/>
              </w:rPr>
              <w:t>6%</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FFFFFF"/>
        </w:rPr>
        <w:t>Portfolio Mix</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FFFFFF"/>
        </w:rPr>
        <w:t>Portfolio Overview</w:t>
      </w: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77 Different Companies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Investment Size: $5.1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94% Floating rate investments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(including 88% with a floor)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Yield at Cost on Debt Portfolio: 8.9%</w:t>
      </w:r>
    </w:p>
    <w:p>
      <w:pPr>
        <w:spacing w:after="0" w:line="204" w:lineRule="exact"/>
        <w:rPr>
          <w:sz w:val="20"/>
          <w:szCs w:val="20"/>
          <w:color w:val="auto"/>
        </w:rPr>
      </w:pPr>
    </w:p>
    <w:p>
      <w:pPr>
        <w:sectPr>
          <w:pgSz w:w="11900" w:h="16838" w:orient="portrait"/>
          <w:cols w:equalWidth="0" w:num="2">
            <w:col w:w="6740" w:space="720"/>
            <w:col w:w="2900"/>
          </w:cols>
          <w:pgMar w:left="360" w:top="618" w:right="1179" w:bottom="1440" w:gutter="0" w:footer="0" w:header="0"/>
          <w:type w:val="continuous"/>
        </w:sectPr>
      </w:pPr>
    </w:p>
    <w:tbl>
      <w:tblPr>
        <w:tblLayout w:type="fixed"/>
        <w:tblInd w:w="4140" w:type="dxa"/>
        <w:tblCellMar>
          <w:top w:w="0" w:type="dxa"/>
          <w:left w:w="0" w:type="dxa"/>
          <w:bottom w:w="0" w:type="dxa"/>
          <w:right w:w="0" w:type="dxa"/>
        </w:tblCellMar>
      </w:tblPr>
      <w:tr>
        <w:trPr>
          <w:trHeight w:val="120"/>
        </w:trPr>
        <w:tc>
          <w:tcPr>
            <w:tcW w:w="860" w:type="dxa"/>
            <w:vAlign w:val="bottom"/>
          </w:tcPr>
          <w:p>
            <w:pPr>
              <w:ind w:left="20"/>
              <w:spacing w:after="0"/>
              <w:rPr>
                <w:sz w:val="20"/>
                <w:szCs w:val="20"/>
                <w:color w:val="auto"/>
              </w:rPr>
            </w:pPr>
            <w:r>
              <w:rPr>
                <w:rFonts w:ascii="Arial" w:cs="Arial" w:eastAsia="Arial" w:hAnsi="Arial"/>
                <w:sz w:val="9"/>
                <w:szCs w:val="9"/>
                <w:color w:val="auto"/>
              </w:rPr>
              <w:t>SUBORDINATED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Pr>
          <w:p>
            <w:pPr>
              <w:jc w:val="center"/>
              <w:ind w:right="13"/>
              <w:spacing w:after="0"/>
              <w:rPr>
                <w:sz w:val="20"/>
                <w:szCs w:val="20"/>
                <w:color w:val="auto"/>
              </w:rPr>
            </w:pPr>
            <w:r>
              <w:rPr>
                <w:rFonts w:ascii="Arial" w:cs="Arial" w:eastAsia="Arial" w:hAnsi="Arial"/>
                <w:sz w:val="9"/>
                <w:szCs w:val="9"/>
                <w:color w:val="auto"/>
                <w:w w:val="94"/>
              </w:rPr>
              <w:t>DEBT, PREFERRED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40"/>
              <w:spacing w:after="0"/>
              <w:rPr>
                <w:sz w:val="20"/>
                <w:szCs w:val="20"/>
                <w:color w:val="auto"/>
              </w:rPr>
            </w:pPr>
            <w:r>
              <w:rPr>
                <w:rFonts w:ascii="Arial" w:cs="Arial" w:eastAsia="Arial" w:hAnsi="Arial"/>
                <w:sz w:val="9"/>
                <w:szCs w:val="9"/>
                <w:color w:val="auto"/>
              </w:rPr>
              <w:t>AND COMMON</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860" w:type="dxa"/>
            <w:vAlign w:val="bottom"/>
          </w:tcPr>
          <w:p>
            <w:pPr>
              <w:jc w:val="center"/>
              <w:ind w:right="13"/>
              <w:spacing w:after="0"/>
              <w:rPr>
                <w:sz w:val="20"/>
                <w:szCs w:val="20"/>
                <w:color w:val="auto"/>
              </w:rPr>
            </w:pPr>
            <w:r>
              <w:rPr>
                <w:rFonts w:ascii="Arial" w:cs="Arial" w:eastAsia="Arial" w:hAnsi="Arial"/>
                <w:sz w:val="9"/>
                <w:szCs w:val="9"/>
                <w:color w:val="auto"/>
              </w:rPr>
              <w:t>EQUITY</w:t>
            </w:r>
          </w:p>
        </w:tc>
        <w:tc>
          <w:tcPr>
            <w:tcW w:w="940" w:type="dxa"/>
            <w:vAlign w:val="bottom"/>
          </w:tcPr>
          <w:p>
            <w:pPr>
              <w:ind w:left="60"/>
              <w:spacing w:after="0"/>
              <w:rPr>
                <w:sz w:val="20"/>
                <w:szCs w:val="20"/>
                <w:color w:val="auto"/>
              </w:rPr>
            </w:pPr>
            <w:r>
              <w:rPr>
                <w:rFonts w:ascii="Arial" w:cs="Arial" w:eastAsia="Arial" w:hAnsi="Arial"/>
                <w:sz w:val="9"/>
                <w:szCs w:val="9"/>
                <w:color w:val="auto"/>
                <w:w w:val="98"/>
              </w:rPr>
              <w:t>2ND LIEN SECURED</w:t>
            </w:r>
          </w:p>
        </w:tc>
        <w:tc>
          <w:tcPr>
            <w:tcW w:w="0" w:type="dxa"/>
            <w:vAlign w:val="bottom"/>
          </w:tcPr>
          <w:p>
            <w:pPr>
              <w:spacing w:after="0"/>
              <w:rPr>
                <w:sz w:val="1"/>
                <w:szCs w:val="1"/>
                <w:color w:val="auto"/>
              </w:rPr>
            </w:pPr>
          </w:p>
        </w:tc>
      </w:tr>
      <w:tr>
        <w:trPr>
          <w:trHeight w:val="120"/>
        </w:trPr>
        <w:tc>
          <w:tcPr>
            <w:tcW w:w="860" w:type="dxa"/>
            <w:vAlign w:val="bottom"/>
          </w:tcPr>
          <w:p>
            <w:pPr>
              <w:jc w:val="center"/>
              <w:ind w:right="13"/>
              <w:spacing w:after="0"/>
              <w:rPr>
                <w:sz w:val="20"/>
                <w:szCs w:val="20"/>
                <w:color w:val="auto"/>
              </w:rPr>
            </w:pPr>
            <w:r>
              <w:rPr>
                <w:rFonts w:ascii="Arial" w:cs="Arial" w:eastAsia="Arial" w:hAnsi="Arial"/>
                <w:sz w:val="9"/>
                <w:szCs w:val="9"/>
                <w:color w:val="auto"/>
                <w:w w:val="91"/>
              </w:rPr>
              <w:t>5%</w:t>
            </w:r>
          </w:p>
        </w:tc>
        <w:tc>
          <w:tcPr>
            <w:tcW w:w="940" w:type="dxa"/>
            <w:vAlign w:val="bottom"/>
            <w:vMerge w:val="restart"/>
          </w:tcPr>
          <w:p>
            <w:pPr>
              <w:jc w:val="center"/>
              <w:spacing w:after="0"/>
              <w:rPr>
                <w:sz w:val="20"/>
                <w:szCs w:val="20"/>
                <w:color w:val="auto"/>
              </w:rPr>
            </w:pPr>
            <w:r>
              <w:rPr>
                <w:rFonts w:ascii="Arial" w:cs="Arial" w:eastAsia="Arial" w:hAnsi="Arial"/>
                <w:sz w:val="9"/>
                <w:szCs w:val="9"/>
                <w:color w:val="auto"/>
              </w:rPr>
              <w:t>DEBT</w:t>
            </w:r>
          </w:p>
        </w:tc>
        <w:tc>
          <w:tcPr>
            <w:tcW w:w="0" w:type="dxa"/>
            <w:vAlign w:val="bottom"/>
          </w:tcPr>
          <w:p>
            <w:pPr>
              <w:spacing w:after="0"/>
              <w:rPr>
                <w:sz w:val="1"/>
                <w:szCs w:val="1"/>
                <w:color w:val="auto"/>
              </w:rPr>
            </w:pPr>
          </w:p>
        </w:tc>
      </w:tr>
      <w:tr>
        <w:trPr>
          <w:trHeight w:val="35"/>
        </w:trPr>
        <w:tc>
          <w:tcPr>
            <w:tcW w:w="8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940" w:type="dxa"/>
            <w:vAlign w:val="bottom"/>
          </w:tcPr>
          <w:p>
            <w:pPr>
              <w:jc w:val="right"/>
              <w:ind w:right="353"/>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20"/>
        </w:trPr>
        <w:tc>
          <w:tcPr>
            <w:tcW w:w="1320" w:type="dxa"/>
            <w:vAlign w:val="bottom"/>
          </w:tcPr>
          <w:p>
            <w:pPr>
              <w:jc w:val="center"/>
              <w:ind w:left="482"/>
              <w:spacing w:after="0"/>
              <w:rPr>
                <w:sz w:val="20"/>
                <w:szCs w:val="20"/>
                <w:color w:val="auto"/>
              </w:rPr>
            </w:pPr>
            <w:r>
              <w:rPr>
                <w:rFonts w:ascii="Arial" w:cs="Arial" w:eastAsia="Arial" w:hAnsi="Arial"/>
                <w:sz w:val="9"/>
                <w:szCs w:val="9"/>
                <w:color w:val="auto"/>
                <w:w w:val="99"/>
              </w:rPr>
              <w:t>1ST LIEN SENIOR</w:t>
            </w:r>
          </w:p>
        </w:tc>
        <w:tc>
          <w:tcPr>
            <w:tcW w:w="4160" w:type="dxa"/>
            <w:vAlign w:val="bottom"/>
          </w:tcPr>
          <w:p>
            <w:pPr>
              <w:spacing w:after="0"/>
              <w:rPr>
                <w:sz w:val="10"/>
                <w:szCs w:val="10"/>
                <w:color w:val="auto"/>
              </w:rPr>
            </w:pPr>
          </w:p>
        </w:tc>
        <w:tc>
          <w:tcPr>
            <w:tcW w:w="3720" w:type="dxa"/>
            <w:vAlign w:val="bottom"/>
            <w:vMerge w:val="restart"/>
          </w:tcPr>
          <w:p>
            <w:pPr>
              <w:ind w:left="1280"/>
              <w:spacing w:after="0"/>
              <w:rPr>
                <w:sz w:val="20"/>
                <w:szCs w:val="20"/>
                <w:color w:val="auto"/>
              </w:rPr>
            </w:pPr>
            <w:r>
              <w:rPr>
                <w:rFonts w:ascii="Arial" w:cs="Arial" w:eastAsia="Arial" w:hAnsi="Arial"/>
                <w:sz w:val="15"/>
                <w:szCs w:val="15"/>
                <w:b w:val="1"/>
                <w:bCs w:val="1"/>
                <w:color w:val="auto"/>
                <w:w w:val="99"/>
              </w:rPr>
              <w:t>Annualized Dividend Yield of 8.1%</w:t>
            </w:r>
          </w:p>
        </w:tc>
        <w:tc>
          <w:tcPr>
            <w:tcW w:w="46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89"/>
        </w:trPr>
        <w:tc>
          <w:tcPr>
            <w:tcW w:w="1320" w:type="dxa"/>
            <w:vAlign w:val="bottom"/>
            <w:vMerge w:val="restart"/>
          </w:tcPr>
          <w:p>
            <w:pPr>
              <w:jc w:val="center"/>
              <w:ind w:left="542"/>
              <w:spacing w:after="0"/>
              <w:rPr>
                <w:sz w:val="20"/>
                <w:szCs w:val="20"/>
                <w:color w:val="auto"/>
              </w:rPr>
            </w:pPr>
            <w:r>
              <w:rPr>
                <w:rFonts w:ascii="Arial" w:cs="Arial" w:eastAsia="Arial" w:hAnsi="Arial"/>
                <w:sz w:val="9"/>
                <w:szCs w:val="9"/>
                <w:color w:val="auto"/>
                <w:w w:val="99"/>
              </w:rPr>
              <w:t>SECURED DEBT</w:t>
            </w:r>
          </w:p>
        </w:tc>
        <w:tc>
          <w:tcPr>
            <w:tcW w:w="41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Total Portfolio: $393 million</w:t>
            </w:r>
          </w:p>
        </w:tc>
        <w:tc>
          <w:tcPr>
            <w:tcW w:w="37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tcPr>
          <w:p>
            <w:pPr>
              <w:spacing w:after="0"/>
              <w:rPr>
                <w:sz w:val="3"/>
                <w:szCs w:val="3"/>
                <w:color w:val="auto"/>
              </w:rPr>
            </w:pPr>
          </w:p>
        </w:tc>
        <w:tc>
          <w:tcPr>
            <w:tcW w:w="4160" w:type="dxa"/>
            <w:vAlign w:val="bottom"/>
            <w:vMerge w:val="continue"/>
          </w:tcPr>
          <w:p>
            <w:pPr>
              <w:spacing w:after="0"/>
              <w:rPr>
                <w:sz w:val="3"/>
                <w:szCs w:val="3"/>
                <w:color w:val="auto"/>
              </w:rPr>
            </w:pPr>
          </w:p>
        </w:tc>
        <w:tc>
          <w:tcPr>
            <w:tcW w:w="3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1320" w:type="dxa"/>
            <w:vAlign w:val="bottom"/>
            <w:vMerge w:val="restart"/>
          </w:tcPr>
          <w:p>
            <w:pPr>
              <w:jc w:val="center"/>
              <w:ind w:left="522"/>
              <w:spacing w:after="0"/>
              <w:rPr>
                <w:sz w:val="20"/>
                <w:szCs w:val="20"/>
                <w:color w:val="auto"/>
              </w:rPr>
            </w:pPr>
            <w:r>
              <w:rPr>
                <w:rFonts w:ascii="Arial" w:cs="Arial" w:eastAsia="Arial" w:hAnsi="Arial"/>
                <w:sz w:val="9"/>
                <w:szCs w:val="9"/>
                <w:color w:val="auto"/>
                <w:w w:val="88"/>
              </w:rPr>
              <w:t>84%</w:t>
            </w:r>
          </w:p>
        </w:tc>
        <w:tc>
          <w:tcPr>
            <w:tcW w:w="4160" w:type="dxa"/>
            <w:vAlign w:val="bottom"/>
            <w:vMerge w:val="continue"/>
          </w:tcPr>
          <w:p>
            <w:pPr>
              <w:spacing w:after="0"/>
              <w:rPr>
                <w:sz w:val="8"/>
                <w:szCs w:val="8"/>
                <w:color w:val="auto"/>
              </w:rPr>
            </w:pPr>
          </w:p>
        </w:tc>
        <w:tc>
          <w:tcPr>
            <w:tcW w:w="3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320" w:type="dxa"/>
            <w:vAlign w:val="bottom"/>
            <w:vMerge w:val="continue"/>
          </w:tcPr>
          <w:p>
            <w:pPr>
              <w:spacing w:after="0"/>
              <w:rPr>
                <w:sz w:val="2"/>
                <w:szCs w:val="2"/>
                <w:color w:val="auto"/>
              </w:rPr>
            </w:pPr>
          </w:p>
        </w:tc>
        <w:tc>
          <w:tcPr>
            <w:tcW w:w="4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480" w:type="dxa"/>
            <w:vAlign w:val="bottom"/>
            <w:gridSpan w:val="2"/>
          </w:tcPr>
          <w:p>
            <w:pPr>
              <w:spacing w:after="0"/>
              <w:rPr>
                <w:sz w:val="20"/>
                <w:szCs w:val="20"/>
                <w:color w:val="auto"/>
              </w:rPr>
            </w:pPr>
            <w:r>
              <w:rPr>
                <w:rFonts w:ascii="Arial" w:cs="Arial" w:eastAsia="Arial" w:hAnsi="Arial"/>
                <w:sz w:val="8"/>
                <w:szCs w:val="8"/>
                <w:color w:val="auto"/>
              </w:rPr>
              <w:t>Source: Company Financial Statements.</w:t>
            </w:r>
          </w:p>
        </w:tc>
        <w:tc>
          <w:tcPr>
            <w:tcW w:w="3720" w:type="dxa"/>
            <w:vAlign w:val="bottom"/>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94"/>
        </w:trPr>
        <w:tc>
          <w:tcPr>
            <w:tcW w:w="9200" w:type="dxa"/>
            <w:vAlign w:val="bottom"/>
            <w:gridSpan w:val="3"/>
          </w:tcPr>
          <w:p>
            <w:pPr>
              <w:spacing w:after="0"/>
              <w:rPr>
                <w:sz w:val="20"/>
                <w:szCs w:val="20"/>
                <w:color w:val="auto"/>
              </w:rPr>
            </w:pPr>
            <w:r>
              <w:rPr>
                <w:rFonts w:ascii="Arial" w:cs="Arial" w:eastAsia="Arial" w:hAnsi="Arial"/>
                <w:sz w:val="8"/>
                <w:szCs w:val="8"/>
                <w:color w:val="auto"/>
              </w:rPr>
              <w:t>Note: Portfolio companies from MCGC include: C7 Data Centers, GMC Television Broadcasting, RadioPharmacy Investors, South Bay Mental Health and Broadview Networks Holdings at 3/31/15 fair value marks.</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480" w:type="dxa"/>
            <w:vAlign w:val="bottom"/>
            <w:gridSpan w:val="2"/>
          </w:tcPr>
          <w:p>
            <w:pPr>
              <w:spacing w:after="0"/>
              <w:rPr>
                <w:sz w:val="20"/>
                <w:szCs w:val="20"/>
                <w:color w:val="auto"/>
              </w:rPr>
            </w:pPr>
            <w:r>
              <w:rPr>
                <w:rFonts w:ascii="Arial" w:cs="Arial" w:eastAsia="Arial" w:hAnsi="Arial"/>
                <w:sz w:val="8"/>
                <w:szCs w:val="8"/>
                <w:color w:val="auto"/>
                <w:w w:val="98"/>
              </w:rPr>
              <w:t>(1)Total of 21 industries.  “Other” includes: Beverage, Foodand  Tobacco /MetalsandMining   / Telecommunications.</w:t>
            </w:r>
          </w:p>
        </w:tc>
        <w:tc>
          <w:tcPr>
            <w:tcW w:w="37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960" w:hanging="251"/>
        <w:spacing w:after="0"/>
        <w:tabs>
          <w:tab w:leader="none" w:pos="960" w:val="left"/>
        </w:tabs>
        <w:numPr>
          <w:ilvl w:val="0"/>
          <w:numId w:val="10"/>
        </w:numPr>
        <w:rPr>
          <w:rFonts w:ascii="Arial" w:cs="Arial" w:eastAsia="Arial" w:hAnsi="Arial"/>
          <w:sz w:val="8"/>
          <w:szCs w:val="8"/>
          <w:color w:val="auto"/>
        </w:rPr>
      </w:pPr>
      <w:r>
        <w:rPr>
          <w:rFonts w:ascii="Arial" w:cs="Arial" w:eastAsia="Arial" w:hAnsi="Arial"/>
          <w:sz w:val="8"/>
          <w:szCs w:val="8"/>
          <w:color w:val="auto"/>
        </w:rPr>
        <w:t>Based on a $0.095 monthly dividend and closing price on 3/31/15.</w:t>
      </w:r>
    </w:p>
    <w:p>
      <w:pPr>
        <w:sectPr>
          <w:pgSz w:w="11900" w:h="16838" w:orient="portrait"/>
          <w:cols w:equalWidth="0" w:num="1">
            <w:col w:w="10360"/>
          </w:cols>
          <w:pgMar w:left="360" w:top="618" w:right="11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016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016250"/>
                    </a:xfrm>
                    <a:prstGeom prst="rect">
                      <a:avLst/>
                    </a:prstGeom>
                    <a:noFill/>
                  </pic:spPr>
                </pic:pic>
              </a:graphicData>
            </a:graphic>
          </wp:anchor>
        </w:drawing>
        <w:t>PFLT Post Acquisition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 leader in middle market senior secured loans</w:t>
      </w: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An ability to leverage a proven track record of capital preservation and current income for shareholders</w:t>
      </w: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Ability to capture more share and become more relevant to our clients</w:t>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Ramp up in a prudent manner consistent with historical performance and market opportunity</w:t>
      </w: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Combined business will have low fees and eliminate duplicative public company costs</w:t>
      </w: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Greater liquidity and float for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16</w:t>
      </w:r>
    </w:p>
    <w:sectPr>
      <w:pgSz w:w="11900" w:h="16838" w:orient="portrait"/>
      <w:cols w:equalWidth="0" w:num="1">
        <w:col w:w="9999"/>
      </w:cols>
      <w:pgMar w:left="460" w:top="6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7"/>
      <w:numFmt w:val="bullet"/>
      <w:start w:val="1"/>
    </w:lvl>
  </w:abstractNum>
  <w:abstractNum w:abstractNumId="7">
    <w:nsid w:val="5BD062C2"/>
    <w:multiLevelType w:val="hybridMultilevel"/>
    <w:lvl w:ilvl="0">
      <w:lvlJc w:val="left"/>
      <w:lvlText w:val="6"/>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2019-12-20T23:11:16Z</dcterms:created>
  <dcterms:modified xsi:type="dcterms:W3CDTF">2019-12-20T23:11:16Z</dcterms:modified>
</cp:coreProperties>
</file>