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060"/>
        <w:spacing w:after="0"/>
        <w:rPr>
          <w:sz w:val="20"/>
          <w:szCs w:val="20"/>
          <w:color w:val="auto"/>
        </w:rPr>
      </w:pPr>
      <w:r>
        <w:rPr>
          <w:rFonts w:ascii="Arial" w:cs="Arial" w:eastAsia="Arial" w:hAnsi="Arial"/>
          <w:sz w:val="18"/>
          <w:szCs w:val="18"/>
          <w:b w:val="1"/>
          <w:bCs w:val="1"/>
          <w:color w:val="auto"/>
        </w:rPr>
        <w:t>As filed with the Securities and Exchange Commission on April 5,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333-170243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0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5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rPr>
        <w: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INVESTMENT COMPANY ACT OF 1940 </w:t>
      </w:r>
      <w:r>
        <w:rPr>
          <w:rFonts w:ascii="MS PGothic" w:cs="MS PGothic" w:eastAsia="MS PGothic" w:hAnsi="MS PGothic"/>
          <w:sz w:val="18"/>
          <w:szCs w:val="18"/>
          <w:color w:val="auto"/>
        </w:rPr>
        <w: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8" w:lineRule="exact"/>
        <w:rPr>
          <w:sz w:val="24"/>
          <w:szCs w:val="24"/>
          <w:color w:val="auto"/>
        </w:rPr>
      </w:pPr>
    </w:p>
    <w:tbl>
      <w:tblPr>
        <w:tblLayout w:type="fixed"/>
        <w:tblInd w:w="190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6"/>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8"/>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(Address of Principal Executive Offices)</w:t>
            </w:r>
          </w:p>
        </w:tc>
      </w:tr>
      <w:tr>
        <w:trPr>
          <w:trHeight w:val="244"/>
        </w:trPr>
        <w:tc>
          <w:tcPr>
            <w:tcW w:w="2020" w:type="dxa"/>
            <w:vAlign w:val="bottom"/>
          </w:tcPr>
          <w:p>
            <w:pPr>
              <w:spacing w:after="0"/>
              <w:rPr>
                <w:sz w:val="21"/>
                <w:szCs w:val="21"/>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21"/>
                <w:szCs w:val="21"/>
                <w:color w:val="auto"/>
              </w:rPr>
            </w:pPr>
          </w:p>
        </w:tc>
      </w:tr>
      <w:tr>
        <w:trPr>
          <w:trHeight w:val="174"/>
        </w:trPr>
        <w:tc>
          <w:tcPr>
            <w:tcW w:w="2020" w:type="dxa"/>
            <w:vAlign w:val="bottom"/>
          </w:tcPr>
          <w:p>
            <w:pPr>
              <w:spacing w:after="0"/>
              <w:rPr>
                <w:sz w:val="15"/>
                <w:szCs w:val="15"/>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r>
        <w:trPr>
          <w:trHeight w:val="243"/>
        </w:trPr>
        <w:tc>
          <w:tcPr>
            <w:tcW w:w="2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92"/>
              </w:rPr>
              <w:t>Arthur H. Penn</w:t>
            </w:r>
          </w:p>
        </w:tc>
      </w:tr>
      <w:tr>
        <w:trPr>
          <w:trHeight w:val="216"/>
        </w:trPr>
        <w:tc>
          <w:tcPr>
            <w:tcW w:w="2020" w:type="dxa"/>
            <w:vAlign w:val="bottom"/>
          </w:tcPr>
          <w:p>
            <w:pPr>
              <w:spacing w:after="0"/>
              <w:rPr>
                <w:sz w:val="18"/>
                <w:szCs w:val="18"/>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8"/>
                <w:szCs w:val="18"/>
                <w:b w:val="1"/>
                <w:bCs w:val="1"/>
                <w:color w:val="auto"/>
                <w:w w:val="90"/>
              </w:rPr>
              <w:t>PennantPark Floating Rate Capital Ltd.</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color w:val="auto"/>
                <w:w w:val="87"/>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218"/>
        </w:trPr>
        <w:tc>
          <w:tcPr>
            <w:tcW w:w="2020" w:type="dxa"/>
            <w:vAlign w:val="bottom"/>
          </w:tcPr>
          <w:p>
            <w:pPr>
              <w:spacing w:after="0"/>
              <w:rPr>
                <w:sz w:val="18"/>
                <w:szCs w:val="18"/>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18"/>
                <w:szCs w:val="18"/>
                <w:color w:val="auto"/>
              </w:rPr>
            </w:pP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(Name and address of Agent for Service)</w:t>
            </w:r>
          </w:p>
        </w:tc>
      </w:tr>
      <w:tr>
        <w:trPr>
          <w:trHeight w:val="109"/>
        </w:trPr>
        <w:tc>
          <w:tcPr>
            <w:tcW w:w="2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r>
      <w:tr>
        <w:trPr>
          <w:trHeight w:val="235"/>
        </w:trPr>
        <w:tc>
          <w:tcPr>
            <w:tcW w:w="2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43"/>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Thomas J. Friedmann</w:t>
            </w: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1"/>
              </w:rPr>
              <w:t>Stuart H. Gelfond</w:t>
            </w:r>
          </w:p>
        </w:tc>
      </w:tr>
      <w:tr>
        <w:trPr>
          <w:trHeight w:val="217"/>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David J. Harris</w:t>
            </w:r>
          </w:p>
        </w:tc>
        <w:tc>
          <w:tcPr>
            <w:tcW w:w="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Paul D. Tropp</w:t>
            </w:r>
          </w:p>
        </w:tc>
      </w:tr>
      <w:tr>
        <w:trPr>
          <w:trHeight w:val="228"/>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Dechert LLP</w:t>
            </w:r>
          </w:p>
        </w:tc>
        <w:tc>
          <w:tcPr>
            <w:tcW w:w="600" w:type="dxa"/>
            <w:vAlign w:val="bottom"/>
          </w:tcPr>
          <w:p>
            <w:pPr>
              <w:spacing w:after="0"/>
              <w:rPr>
                <w:sz w:val="19"/>
                <w:szCs w:val="19"/>
                <w:color w:val="auto"/>
              </w:rPr>
            </w:pPr>
          </w:p>
        </w:tc>
        <w:tc>
          <w:tcPr>
            <w:tcW w:w="5860" w:type="dxa"/>
            <w:vAlign w:val="bottom"/>
            <w:gridSpan w:val="2"/>
          </w:tcPr>
          <w:p>
            <w:pPr>
              <w:jc w:val="center"/>
              <w:ind w:left="2256"/>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1775 I Street, N.W.</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One New York Plaza</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Washington, D.C. 20006</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NY 10004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6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20" w:hanging="25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8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7"/>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480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5"/>
              </w:rPr>
              <w:t>11,500,000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$15.00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7"/>
              </w:rPr>
              <w:t>$172,500,000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6"/>
              </w:rPr>
              <w:t>$20,027</w:t>
            </w: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purpose of calculating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previously paid.</w:t>
      </w:r>
    </w:p>
    <w:p>
      <w:pPr>
        <w:spacing w:after="0" w:line="51"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Amendment No. 5 to the Registration Statement on Form N-2 of PennantPark Floating Rate Capital Ltd. is being filed solely for the purpose of filing exhibits, specifically: (1) Form of Stock Certificate; (2) Form of Underwriting Agreement; (3) Form of Agreement Regarding Repayment of Sales Load by and between the Registrant and the Investment Adviser and (4) Opinion and Consent of Maryland Counsel.</w:t>
      </w:r>
    </w:p>
    <w:p>
      <w:pPr>
        <w:sectPr>
          <w:pgSz w:w="11900" w:h="16838" w:orient="portrait"/>
          <w:cols w:equalWidth="0" w:num="1">
            <w:col w:w="11320"/>
          </w:cols>
          <w:pgMar w:left="240" w:top="274" w:right="3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96"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Articles of Amendment and Restatement.</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Bylaws.</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Stock Certificate.</w:t>
      </w:r>
      <w:r>
        <w:rPr>
          <w:rFonts w:ascii="Arial" w:cs="Arial" w:eastAsia="Arial" w:hAnsi="Arial"/>
          <w:sz w:val="11"/>
          <w:szCs w:val="11"/>
          <w:color w:val="auto"/>
        </w:rPr>
        <w:t>(1)</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Dividend Reinvestment Plan.</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Form of Investment Management Agreement between the Registrant and PennantPark Investment Advisers, LLC (the “Investment Adviser”).</w:t>
      </w:r>
      <w:r>
        <w:rPr>
          <w:rFonts w:ascii="Arial" w:cs="Arial" w:eastAsia="Arial" w:hAnsi="Arial"/>
          <w:sz w:val="10"/>
          <w:szCs w:val="10"/>
          <w:color w:val="auto"/>
        </w:rPr>
        <w:t>(2)</w:t>
      </w:r>
    </w:p>
    <w:p>
      <w:pPr>
        <w:spacing w:after="0" w:line="200" w:lineRule="exact"/>
        <w:rPr>
          <w:sz w:val="20"/>
          <w:szCs w:val="20"/>
          <w:color w:val="auto"/>
        </w:rPr>
      </w:pPr>
    </w:p>
    <w:p>
      <w:pPr>
        <w:spacing w:after="0" w:line="264" w:lineRule="exact"/>
        <w:rPr>
          <w:sz w:val="20"/>
          <w:szCs w:val="20"/>
          <w:color w:val="auto"/>
        </w:rPr>
      </w:pP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Custodian Agreement.</w:t>
      </w:r>
      <w:r>
        <w:rPr>
          <w:rFonts w:ascii="Arial" w:cs="Arial" w:eastAsia="Arial" w:hAnsi="Arial"/>
          <w:sz w:val="11"/>
          <w:szCs w:val="11"/>
          <w:color w:val="auto"/>
        </w:rPr>
        <w:t>(2)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(k)(1)</w:t>
            </w:r>
          </w:p>
        </w:tc>
        <w:tc>
          <w:tcPr>
            <w:tcW w:w="8640" w:type="dxa"/>
            <w:vAlign w:val="bottom"/>
          </w:tcPr>
          <w:p>
            <w:pPr>
              <w:ind w:left="300"/>
              <w:spacing w:after="0"/>
              <w:rPr>
                <w:sz w:val="20"/>
                <w:szCs w:val="20"/>
                <w:color w:val="auto"/>
              </w:rPr>
            </w:pPr>
            <w:r>
              <w:rPr>
                <w:rFonts w:ascii="Arial" w:cs="Arial" w:eastAsia="Arial" w:hAnsi="Arial"/>
                <w:sz w:val="18"/>
                <w:szCs w:val="18"/>
                <w:color w:val="auto"/>
              </w:rPr>
              <w:t>Form of Certificate of Appointment of Transfer Agent.</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8640" w:type="dxa"/>
            <w:vAlign w:val="bottom"/>
          </w:tcPr>
          <w:p>
            <w:pPr>
              <w:ind w:left="300"/>
              <w:spacing w:after="0"/>
              <w:rPr>
                <w:sz w:val="20"/>
                <w:szCs w:val="20"/>
                <w:color w:val="auto"/>
              </w:rPr>
            </w:pPr>
            <w:r>
              <w:rPr>
                <w:rFonts w:ascii="Arial" w:cs="Arial" w:eastAsia="Arial" w:hAnsi="Arial"/>
                <w:sz w:val="18"/>
                <w:szCs w:val="18"/>
                <w:color w:val="auto"/>
              </w:rPr>
              <w:t>Form of Administration Agreement between Registrant and PennantPark Administration, LLC.</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8640" w:type="dxa"/>
            <w:vAlign w:val="bottom"/>
          </w:tcPr>
          <w:p>
            <w:pPr>
              <w:ind w:left="300"/>
              <w:spacing w:after="0"/>
              <w:rPr>
                <w:sz w:val="20"/>
                <w:szCs w:val="20"/>
                <w:color w:val="auto"/>
              </w:rPr>
            </w:pPr>
            <w:r>
              <w:rPr>
                <w:rFonts w:ascii="Arial" w:cs="Arial" w:eastAsia="Arial" w:hAnsi="Arial"/>
                <w:sz w:val="18"/>
                <w:szCs w:val="18"/>
                <w:color w:val="auto"/>
              </w:rPr>
              <w:t>Form of License Agreement between the Registrant and the Investment Adviser.</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8640" w:type="dxa"/>
            <w:vAlign w:val="bottom"/>
          </w:tcPr>
          <w:p>
            <w:pPr>
              <w:ind w:left="300"/>
              <w:spacing w:after="0"/>
              <w:rPr>
                <w:sz w:val="20"/>
                <w:szCs w:val="20"/>
                <w:color w:val="auto"/>
              </w:rPr>
            </w:pPr>
            <w:r>
              <w:rPr>
                <w:rFonts w:ascii="Arial" w:cs="Arial" w:eastAsia="Arial" w:hAnsi="Arial"/>
                <w:sz w:val="18"/>
                <w:szCs w:val="18"/>
                <w:color w:val="auto"/>
              </w:rPr>
              <w:t>Form of Sub-Administrative and Accounting Services Agreement.</w:t>
            </w:r>
            <w:r>
              <w:rPr>
                <w:rFonts w:ascii="Arial" w:cs="Arial" w:eastAsia="Arial" w:hAnsi="Arial"/>
                <w:sz w:val="11"/>
                <w:szCs w:val="11"/>
                <w:color w:val="auto"/>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(k)(5)</w:t>
            </w:r>
          </w:p>
        </w:tc>
        <w:tc>
          <w:tcPr>
            <w:tcW w:w="8640" w:type="dxa"/>
            <w:vAlign w:val="bottom"/>
          </w:tcPr>
          <w:p>
            <w:pPr>
              <w:ind w:left="300"/>
              <w:spacing w:after="0"/>
              <w:rPr>
                <w:sz w:val="20"/>
                <w:szCs w:val="20"/>
                <w:color w:val="auto"/>
              </w:rPr>
            </w:pPr>
            <w:r>
              <w:rPr>
                <w:rFonts w:ascii="Arial" w:cs="Arial" w:eastAsia="Arial" w:hAnsi="Arial"/>
                <w:sz w:val="18"/>
                <w:szCs w:val="18"/>
                <w:color w:val="auto"/>
                <w:w w:val="87"/>
              </w:rPr>
              <w:t>Form of Agreement Regarding Repayment of Sales Load by and between the Registrant and the Investment Adviser.</w:t>
            </w:r>
            <w:r>
              <w:rPr>
                <w:rFonts w:ascii="Arial" w:cs="Arial" w:eastAsia="Arial" w:hAnsi="Arial"/>
                <w:sz w:val="11"/>
                <w:szCs w:val="11"/>
                <w:color w:val="auto"/>
                <w:w w:val="87"/>
              </w:rPr>
              <w:t>(1)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(l)(1)</w:t>
            </w:r>
          </w:p>
        </w:tc>
        <w:tc>
          <w:tcPr>
            <w:tcW w:w="8640" w:type="dxa"/>
            <w:vAlign w:val="bottom"/>
          </w:tcPr>
          <w:p>
            <w:pPr>
              <w:ind w:left="300"/>
              <w:spacing w:after="0"/>
              <w:rPr>
                <w:sz w:val="20"/>
                <w:szCs w:val="20"/>
                <w:color w:val="auto"/>
              </w:rPr>
            </w:pPr>
            <w:r>
              <w:rPr>
                <w:rFonts w:ascii="Arial" w:cs="Arial" w:eastAsia="Arial" w:hAnsi="Arial"/>
                <w:sz w:val="18"/>
                <w:szCs w:val="18"/>
                <w:color w:val="auto"/>
              </w:rPr>
              <w:t>Opinion and Consent of Maryland Counsel.</w:t>
            </w:r>
            <w:r>
              <w:rPr>
                <w:rFonts w:ascii="Arial" w:cs="Arial" w:eastAsia="Arial" w:hAnsi="Arial"/>
                <w:sz w:val="11"/>
                <w:szCs w:val="11"/>
                <w:color w:val="auto"/>
              </w:rPr>
              <w:t>(1)</w:t>
            </w:r>
          </w:p>
        </w:tc>
      </w:tr>
    </w:tbl>
    <w:p>
      <w:pPr>
        <w:spacing w:after="0" w:line="102" w:lineRule="exact"/>
        <w:rPr>
          <w:sz w:val="20"/>
          <w:szCs w:val="20"/>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Joint Code of Ethics of PennantPark Floating Rate Capital Ltd. and the Investment Adviser.</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240" w:top="274"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“1940 Act”), the Registrant has duly caused this Registration Statement to be signed on its behalf by the undersigned, thereunto duly authorized, in The City of New York, State of New York on the 5</w:t>
      </w:r>
      <w:r>
        <w:rPr>
          <w:rFonts w:ascii="Arial" w:cs="Arial" w:eastAsia="Arial" w:hAnsi="Arial"/>
          <w:sz w:val="11"/>
          <w:szCs w:val="11"/>
          <w:color w:val="auto"/>
        </w:rPr>
        <w:t>th</w:t>
      </w:r>
      <w:r>
        <w:rPr>
          <w:rFonts w:ascii="Arial" w:cs="Arial" w:eastAsia="Arial" w:hAnsi="Arial"/>
          <w:sz w:val="18"/>
          <w:szCs w:val="18"/>
          <w:color w:val="auto"/>
        </w:rPr>
        <w:t xml:space="preserve"> day of April,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8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0"/>
              </w:rPr>
              <w:t>Title</w:t>
            </w:r>
          </w:p>
        </w:tc>
        <w:tc>
          <w:tcPr>
            <w:tcW w:w="106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4"/>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7"/>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(Arthur H. Penn)</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Chief Executive Officer and 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5, 2011</w:t>
            </w:r>
          </w:p>
        </w:tc>
      </w:tr>
      <w:tr>
        <w:trPr>
          <w:trHeight w:val="222"/>
        </w:trPr>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2"/>
              </w:rPr>
              <w:t>(Principal Executive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46"/>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(Aviv Efrat)</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0"/>
              </w:rPr>
              <w:t>Treasurer (Principal Financial Officer)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5,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(Jeffrey Flug)</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5,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5,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(Samuel L. Katz)</w:t>
            </w:r>
          </w:p>
        </w:tc>
        <w:tc>
          <w:tcPr>
            <w:tcW w:w="4380" w:type="dxa"/>
            <w:vAlign w:val="bottom"/>
            <w:gridSpan w:val="3"/>
          </w:tcPr>
          <w:p>
            <w:pPr>
              <w:jc w:val="center"/>
              <w:ind w:left="115"/>
              <w:spacing w:after="0"/>
              <w:rPr>
                <w:sz w:val="20"/>
                <w:szCs w:val="20"/>
                <w:color w:val="auto"/>
              </w:rPr>
            </w:pPr>
            <w:r>
              <w:rPr>
                <w:rFonts w:ascii="Arial" w:cs="Arial" w:eastAsia="Arial" w:hAnsi="Arial"/>
                <w:sz w:val="18"/>
                <w:szCs w:val="18"/>
                <w:color w:val="auto"/>
                <w:w w:val="91"/>
              </w:rPr>
              <w:t>Director</w:t>
            </w:r>
          </w:p>
        </w:tc>
        <w:tc>
          <w:tcPr>
            <w:tcW w:w="1680" w:type="dxa"/>
            <w:vAlign w:val="bottom"/>
            <w:gridSpan w:val="3"/>
          </w:tcPr>
          <w:p>
            <w:pPr>
              <w:jc w:val="center"/>
              <w:ind w:left="652"/>
              <w:spacing w:after="0"/>
              <w:rPr>
                <w:sz w:val="20"/>
                <w:szCs w:val="20"/>
                <w:color w:val="auto"/>
              </w:rPr>
            </w:pPr>
            <w:r>
              <w:rPr>
                <w:rFonts w:ascii="Arial" w:cs="Arial" w:eastAsia="Arial" w:hAnsi="Arial"/>
                <w:sz w:val="18"/>
                <w:szCs w:val="18"/>
                <w:color w:val="auto"/>
                <w:w w:val="92"/>
              </w:rPr>
              <w:t>April 5,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Signed by Aviv Efrat on behalf of those identified pursuant to his designation as an attorney-in-fact signed by each on December 16, 2010</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4064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color w:val="FFFFFF"/>
              </w:rPr>
              <w:t>PP</w:t>
            </w:r>
          </w:p>
        </w:tc>
        <w:tc>
          <w:tcPr>
            <w:tcW w:w="5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0" w:type="dxa"/>
            <w:vAlign w:val="bottom"/>
            <w:gridSpan w:val="2"/>
          </w:tcPr>
          <w:p>
            <w:pPr>
              <w:spacing w:after="0"/>
              <w:rPr>
                <w:sz w:val="20"/>
                <w:szCs w:val="20"/>
                <w:color w:val="auto"/>
              </w:rPr>
            </w:pPr>
            <w:r>
              <w:rPr>
                <w:rFonts w:ascii="Arial" w:cs="Arial" w:eastAsia="Arial" w:hAnsi="Arial"/>
                <w:sz w:val="3"/>
                <w:szCs w:val="3"/>
                <w:color w:val="FFFFFF"/>
              </w:rPr>
              <w:t>THIS CERTIFIES THAT</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is the owner of</w:t>
            </w: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0" w:type="dxa"/>
            <w:vAlign w:val="bottom"/>
            <w:gridSpan w:val="2"/>
          </w:tcPr>
          <w:p>
            <w:pPr>
              <w:spacing w:after="0"/>
              <w:rPr>
                <w:sz w:val="20"/>
                <w:szCs w:val="20"/>
                <w:color w:val="auto"/>
              </w:rPr>
            </w:pPr>
            <w:r>
              <w:rPr>
                <w:rFonts w:ascii="Arial" w:cs="Arial" w:eastAsia="Arial" w:hAnsi="Arial"/>
                <w:sz w:val="3"/>
                <w:szCs w:val="3"/>
                <w:color w:val="FFFFFF"/>
              </w:rPr>
              <w:t>FULLY PAID AND NON-ASSESSABLE SHARES OF THE COMMON STOCK, $.001 PAR VALUE PER SHARE, OF</w:t>
            </w:r>
          </w:p>
        </w:tc>
        <w:tc>
          <w:tcPr>
            <w:tcW w:w="0" w:type="dxa"/>
            <w:vAlign w:val="bottom"/>
          </w:tcPr>
          <w:p>
            <w:pPr>
              <w:spacing w:after="0"/>
              <w:rPr>
                <w:sz w:val="1"/>
                <w:szCs w:val="1"/>
                <w:color w:val="auto"/>
              </w:rPr>
            </w:pPr>
          </w:p>
        </w:tc>
      </w:tr>
      <w:tr>
        <w:trPr>
          <w:trHeight w:val="41"/>
        </w:trPr>
        <w:tc>
          <w:tcPr>
            <w:tcW w:w="6600" w:type="dxa"/>
            <w:vAlign w:val="bottom"/>
            <w:gridSpan w:val="2"/>
          </w:tcPr>
          <w:p>
            <w:pPr>
              <w:spacing w:after="0"/>
              <w:rPr>
                <w:sz w:val="20"/>
                <w:szCs w:val="20"/>
                <w:color w:val="auto"/>
              </w:rPr>
            </w:pPr>
            <w:r>
              <w:rPr>
                <w:rFonts w:ascii="Arial" w:cs="Arial" w:eastAsia="Arial" w:hAnsi="Arial"/>
                <w:sz w:val="3"/>
                <w:szCs w:val="3"/>
                <w:color w:val="FFFFFF"/>
              </w:rPr>
              <w:t>TREASURER PRESIDENT</w:t>
            </w:r>
          </w:p>
        </w:tc>
        <w:tc>
          <w:tcPr>
            <w:tcW w:w="0" w:type="dxa"/>
            <w:vAlign w:val="bottom"/>
          </w:tcPr>
          <w:p>
            <w:pPr>
              <w:spacing w:after="0"/>
              <w:rPr>
                <w:sz w:val="1"/>
                <w:szCs w:val="1"/>
                <w:color w:val="auto"/>
              </w:rPr>
            </w:pPr>
          </w:p>
        </w:tc>
      </w:tr>
      <w:tr>
        <w:trPr>
          <w:trHeight w:val="41"/>
        </w:trPr>
        <w:tc>
          <w:tcPr>
            <w:tcW w:w="6600" w:type="dxa"/>
            <w:vAlign w:val="bottom"/>
            <w:gridSpan w:val="2"/>
          </w:tcPr>
          <w:p>
            <w:pPr>
              <w:spacing w:after="0"/>
              <w:rPr>
                <w:sz w:val="20"/>
                <w:szCs w:val="20"/>
                <w:color w:val="auto"/>
              </w:rPr>
            </w:pPr>
            <w:r>
              <w:rPr>
                <w:rFonts w:ascii="Arial" w:cs="Arial" w:eastAsia="Arial" w:hAnsi="Arial"/>
                <w:sz w:val="3"/>
                <w:szCs w:val="3"/>
                <w:color w:val="FFFFFF"/>
              </w:rPr>
              <w:t>INCORPORATED UNDER THE LAWS OF THE STATE OF MARYLAND</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CUSIP 70806A 10 6</w:t>
            </w:r>
          </w:p>
        </w:tc>
        <w:tc>
          <w:tcPr>
            <w:tcW w:w="5420" w:type="dxa"/>
            <w:vAlign w:val="bottom"/>
            <w:vMerge w:val="restart"/>
          </w:tcPr>
          <w:p>
            <w:pPr>
              <w:ind w:left="40"/>
              <w:spacing w:after="0"/>
              <w:rPr>
                <w:sz w:val="20"/>
                <w:szCs w:val="20"/>
                <w:color w:val="auto"/>
              </w:rPr>
            </w:pPr>
            <w:r>
              <w:rPr>
                <w:rFonts w:ascii="Arial" w:cs="Arial" w:eastAsia="Arial" w:hAnsi="Arial"/>
                <w:sz w:val="3"/>
                <w:szCs w:val="3"/>
                <w:color w:val="FFFFFF"/>
              </w:rPr>
              <w:t>IMPOR ANT NOTICE</w:t>
            </w:r>
          </w:p>
        </w:tc>
        <w:tc>
          <w:tcPr>
            <w:tcW w:w="0" w:type="dxa"/>
            <w:vAlign w:val="bottom"/>
          </w:tcPr>
          <w:p>
            <w:pPr>
              <w:spacing w:after="0"/>
              <w:rPr>
                <w:sz w:val="1"/>
                <w:szCs w:val="1"/>
                <w:color w:val="auto"/>
              </w:rPr>
            </w:pPr>
          </w:p>
        </w:tc>
      </w:tr>
      <w:tr>
        <w:trPr>
          <w:trHeight w:val="0"/>
        </w:trPr>
        <w:tc>
          <w:tcPr>
            <w:tcW w:w="1180" w:type="dxa"/>
            <w:vAlign w:val="bottom"/>
          </w:tcPr>
          <w:p>
            <w:pPr>
              <w:spacing w:after="0" w:line="80" w:lineRule="exact"/>
              <w:rPr>
                <w:sz w:val="20"/>
                <w:szCs w:val="20"/>
                <w:color w:val="auto"/>
              </w:rPr>
            </w:pPr>
            <w:r>
              <w:rPr>
                <w:rFonts w:ascii="Arial" w:cs="Arial" w:eastAsia="Arial" w:hAnsi="Arial"/>
                <w:sz w:val="9"/>
                <w:szCs w:val="9"/>
                <w:color w:val="FFFFFF"/>
              </w:rPr>
              <w:t>SEE REVERSE</w:t>
            </w:r>
          </w:p>
        </w:tc>
        <w:tc>
          <w:tcPr>
            <w:tcW w:w="5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Arial" w:cs="Arial" w:eastAsia="Arial" w:hAnsi="Arial"/>
                <w:sz w:val="14"/>
                <w:szCs w:val="14"/>
                <w:color w:val="FFFFFF"/>
              </w:rPr>
              <w:t>AND OTHER INFORMATION</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COMMON STOCK</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Number</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PennantPark Floating Rate Capital Ltd.</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(the “Corporation”) transferable on the books of the Corporation by the holder hereof in person or by its duly authorized attorney, upon surrender of this</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Certificate pr perly endorsed. This Certificate and the shares represented hereby are issued and shall be held subject to all of the provisions of the charter of</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the Corporation and the Bylaws of the Corporation and any amendments thereto. This Certificate is not valid unless countersigned and registered by the Transfer</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Agent and Registrar.</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IN WITNESS WHEREOF, the Corporation has caused this Certificate to be executed on its behalf by its duly authorized officers.</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SHARES</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COUNTERSIGNED AND REGISTERED:</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AMERICAN STOCK TRANSFER &amp; TRUST COMPANY, LLC</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(New York, NY)</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TRANSFER AGENT AND REGISTRAR</w:t>
            </w: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BY:</w:t>
            </w:r>
          </w:p>
        </w:tc>
        <w:tc>
          <w:tcPr>
            <w:tcW w:w="8200" w:type="dxa"/>
            <w:vAlign w:val="bottom"/>
          </w:tcPr>
          <w:p>
            <w:pPr>
              <w:spacing w:after="0"/>
              <w:rPr>
                <w:sz w:val="3"/>
                <w:szCs w:val="3"/>
                <w:color w:val="auto"/>
              </w:rPr>
            </w:pP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AUTHORIZED SIGNATURE</w:t>
            </w:r>
          </w:p>
        </w:tc>
      </w:tr>
      <w:tr>
        <w:trPr>
          <w:trHeight w:val="41"/>
        </w:trPr>
        <w:tc>
          <w:tcPr>
            <w:tcW w:w="500" w:type="dxa"/>
            <w:vAlign w:val="bottom"/>
          </w:tcPr>
          <w:p>
            <w:pPr>
              <w:spacing w:after="0"/>
              <w:rPr>
                <w:sz w:val="3"/>
                <w:szCs w:val="3"/>
                <w:color w:val="auto"/>
              </w:rPr>
            </w:pPr>
          </w:p>
        </w:tc>
        <w:tc>
          <w:tcPr>
            <w:tcW w:w="8200" w:type="dxa"/>
            <w:vAlign w:val="bottom"/>
          </w:tcPr>
          <w:p>
            <w:pPr>
              <w:ind w:left="140"/>
              <w:spacing w:after="0"/>
              <w:rPr>
                <w:sz w:val="20"/>
                <w:szCs w:val="20"/>
                <w:color w:val="auto"/>
              </w:rPr>
            </w:pPr>
            <w:r>
              <w:rPr>
                <w:rFonts w:ascii="Arial" w:cs="Arial" w:eastAsia="Arial" w:hAnsi="Arial"/>
                <w:sz w:val="3"/>
                <w:szCs w:val="3"/>
                <w:color w:val="FFFFFF"/>
              </w:rPr>
              <w:t>TE</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MA  YLA ND</w:t>
            </w:r>
          </w:p>
        </w:tc>
      </w:tr>
      <w:tr>
        <w:trPr>
          <w:trHeight w:val="41"/>
        </w:trPr>
        <w:tc>
          <w:tcPr>
            <w:tcW w:w="8700" w:type="dxa"/>
            <w:vAlign w:val="bottom"/>
            <w:gridSpan w:val="2"/>
          </w:tcPr>
          <w:p>
            <w:pPr>
              <w:spacing w:after="0"/>
              <w:rPr>
                <w:sz w:val="20"/>
                <w:szCs w:val="20"/>
                <w:color w:val="auto"/>
              </w:rPr>
            </w:pPr>
            <w:r>
              <w:rPr>
                <w:rFonts w:ascii="Arial" w:cs="Arial" w:eastAsia="Arial" w:hAnsi="Arial"/>
                <w:sz w:val="3"/>
                <w:szCs w:val="3"/>
                <w:color w:val="FFFFFF"/>
              </w:rPr>
              <w:t>CORPORANNANTPARK FLOATING RATE CAPITAL LTD.</w:t>
            </w: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SEAL</w:t>
            </w:r>
          </w:p>
        </w:tc>
        <w:tc>
          <w:tcPr>
            <w:tcW w:w="8200" w:type="dxa"/>
            <w:vAlign w:val="bottom"/>
          </w:tcPr>
          <w:p>
            <w:pPr>
              <w:spacing w:after="0"/>
              <w:rPr>
                <w:sz w:val="3"/>
                <w:szCs w:val="3"/>
                <w:color w:val="auto"/>
              </w:rPr>
            </w:pPr>
          </w:p>
        </w:tc>
      </w:tr>
      <w:tr>
        <w:trPr>
          <w:trHeight w:val="172"/>
        </w:trPr>
        <w:tc>
          <w:tcPr>
            <w:tcW w:w="500" w:type="dxa"/>
            <w:vAlign w:val="bottom"/>
          </w:tcPr>
          <w:p>
            <w:pPr>
              <w:spacing w:after="0"/>
              <w:rPr>
                <w:sz w:val="20"/>
                <w:szCs w:val="20"/>
                <w:color w:val="auto"/>
              </w:rPr>
            </w:pPr>
            <w:r>
              <w:rPr>
                <w:rFonts w:ascii="Arial" w:cs="Arial" w:eastAsia="Arial" w:hAnsi="Arial"/>
                <w:sz w:val="14"/>
                <w:szCs w:val="14"/>
                <w:color w:val="FFFFFF"/>
              </w:rPr>
              <w:t>Dated:</w:t>
            </w:r>
          </w:p>
        </w:tc>
        <w:tc>
          <w:tcPr>
            <w:tcW w:w="8200" w:type="dxa"/>
            <w:vAlign w:val="bottom"/>
          </w:tcPr>
          <w:p>
            <w:pPr>
              <w:spacing w:after="0"/>
              <w:rPr>
                <w:sz w:val="14"/>
                <w:szCs w:val="14"/>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7"/>
          </w:tcPr>
          <w:p>
            <w:pPr>
              <w:spacing w:after="0"/>
              <w:rPr>
                <w:sz w:val="20"/>
                <w:szCs w:val="20"/>
                <w:color w:val="auto"/>
              </w:rPr>
            </w:pPr>
            <w:r>
              <w:rPr>
                <w:rFonts w:ascii="Arial" w:cs="Arial" w:eastAsia="Arial" w:hAnsi="Arial"/>
                <w:sz w:val="14"/>
                <w:szCs w:val="14"/>
                <w:color w:val="FFFFFF"/>
                <w:w w:val="94"/>
              </w:rPr>
              <w:t>The following abbreviations, when used in the inscription on the face of this certificate, shall be construed as though they were written out in</w:t>
            </w:r>
          </w:p>
        </w:tc>
        <w:tc>
          <w:tcPr>
            <w:tcW w:w="0" w:type="dxa"/>
            <w:vAlign w:val="bottom"/>
          </w:tcPr>
          <w:p>
            <w:pPr>
              <w:spacing w:after="0"/>
              <w:rPr>
                <w:sz w:val="1"/>
                <w:szCs w:val="1"/>
                <w:color w:val="auto"/>
              </w:rPr>
            </w:pP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full according to applicable laws or regulations:</w:t>
            </w: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ind w:left="300"/>
              <w:spacing w:after="0"/>
              <w:rPr>
                <w:sz w:val="20"/>
                <w:szCs w:val="20"/>
                <w:color w:val="auto"/>
              </w:rPr>
            </w:pPr>
            <w:r>
              <w:rPr>
                <w:rFonts w:ascii="Arial" w:cs="Arial" w:eastAsia="Arial" w:hAnsi="Arial"/>
                <w:sz w:val="3"/>
                <w:szCs w:val="3"/>
                <w:color w:val="FFFFFF"/>
              </w:rPr>
              <w:t>COM</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TEN ENT</w:t>
            </w:r>
          </w:p>
        </w:tc>
        <w:tc>
          <w:tcPr>
            <w:tcW w:w="1860" w:type="dxa"/>
            <w:vAlign w:val="bottom"/>
            <w:vMerge w:val="restart"/>
          </w:tcPr>
          <w:p>
            <w:pPr>
              <w:ind w:left="20"/>
              <w:spacing w:after="0" w:line="122" w:lineRule="exact"/>
              <w:rPr>
                <w:sz w:val="20"/>
                <w:szCs w:val="20"/>
                <w:color w:val="auto"/>
              </w:rPr>
            </w:pPr>
            <w:r>
              <w:rPr>
                <w:rFonts w:ascii="Arial" w:cs="Arial" w:eastAsia="Arial" w:hAnsi="Arial"/>
                <w:sz w:val="14"/>
                <w:szCs w:val="14"/>
                <w:color w:val="FFFFFF"/>
              </w:rPr>
              <w:t>in common</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560" w:type="dxa"/>
            <w:vAlign w:val="bottom"/>
          </w:tcPr>
          <w:p>
            <w:pPr>
              <w:spacing w:after="0" w:line="81" w:lineRule="exact"/>
              <w:rPr>
                <w:sz w:val="20"/>
                <w:szCs w:val="20"/>
                <w:color w:val="auto"/>
              </w:rPr>
            </w:pPr>
            <w:r>
              <w:rPr>
                <w:rFonts w:ascii="Arial" w:cs="Arial" w:eastAsia="Arial" w:hAnsi="Arial"/>
                <w:sz w:val="9"/>
                <w:szCs w:val="9"/>
                <w:color w:val="FFFFFF"/>
              </w:rPr>
              <w:t>JT TEN</w:t>
            </w:r>
          </w:p>
        </w:tc>
        <w:tc>
          <w:tcPr>
            <w:tcW w:w="18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ind w:left="160"/>
              <w:spacing w:after="0"/>
              <w:rPr>
                <w:sz w:val="20"/>
                <w:szCs w:val="20"/>
                <w:color w:val="auto"/>
              </w:rPr>
            </w:pPr>
            <w:r>
              <w:rPr>
                <w:rFonts w:ascii="Arial" w:cs="Arial" w:eastAsia="Arial" w:hAnsi="Arial"/>
                <w:sz w:val="3"/>
                <w:szCs w:val="3"/>
                <w:color w:val="FFFFFF"/>
              </w:rPr>
              <w:t>tenants by the entireties</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as joint tenants with right of</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survivorship and not as tenants</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in common</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UNIF GIFT MIN ACT– Custodian</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(Cust) (Minor)</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under Uniform Gifts to Minors</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Act</w:t>
            </w: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(State)</w:t>
            </w: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20" w:type="dxa"/>
            <w:vAlign w:val="bottom"/>
            <w:gridSpan w:val="5"/>
          </w:tcPr>
          <w:p>
            <w:pPr>
              <w:spacing w:after="0"/>
              <w:rPr>
                <w:sz w:val="20"/>
                <w:szCs w:val="20"/>
                <w:color w:val="auto"/>
              </w:rPr>
            </w:pPr>
            <w:r>
              <w:rPr>
                <w:rFonts w:ascii="Arial" w:cs="Arial" w:eastAsia="Arial" w:hAnsi="Arial"/>
                <w:sz w:val="3"/>
                <w:szCs w:val="3"/>
                <w:color w:val="FFFFFF"/>
              </w:rPr>
              <w:t>Additional abbreviations may also be used though not in the above list.</w:t>
            </w: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560" w:type="dxa"/>
            <w:vAlign w:val="bottom"/>
          </w:tcPr>
          <w:p>
            <w:pPr>
              <w:spacing w:after="0" w:line="122" w:lineRule="exact"/>
              <w:rPr>
                <w:sz w:val="20"/>
                <w:szCs w:val="20"/>
                <w:color w:val="auto"/>
              </w:rPr>
            </w:pPr>
            <w:r>
              <w:rPr>
                <w:rFonts w:ascii="Arial" w:cs="Arial" w:eastAsia="Arial" w:hAnsi="Arial"/>
                <w:sz w:val="14"/>
                <w:szCs w:val="14"/>
                <w:color w:val="FFFFFF"/>
              </w:rPr>
              <w:t>–</w:t>
            </w:r>
          </w:p>
        </w:tc>
        <w:tc>
          <w:tcPr>
            <w:tcW w:w="1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PLEASE INSER  SOCIAL SECURITY OR</w:t>
            </w: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OTHER IDENTIFYING NUMBER OF ASSIGNEE</w:t>
            </w: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shares</w:t>
            </w: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20" w:type="dxa"/>
            <w:vAlign w:val="bottom"/>
            <w:gridSpan w:val="6"/>
          </w:tcPr>
          <w:p>
            <w:pPr>
              <w:spacing w:after="0"/>
              <w:rPr>
                <w:sz w:val="20"/>
                <w:szCs w:val="20"/>
                <w:color w:val="auto"/>
              </w:rPr>
            </w:pPr>
            <w:r>
              <w:rPr>
                <w:rFonts w:ascii="Arial" w:cs="Arial" w:eastAsia="Arial" w:hAnsi="Arial"/>
                <w:sz w:val="3"/>
                <w:szCs w:val="3"/>
                <w:color w:val="FFFFFF"/>
              </w:rPr>
              <w:t>of the Common Stock of the Corporation represented by this Certificate and does</w:t>
            </w: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hereby irrevocably constitute and appoint</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5220" w:type="dxa"/>
            <w:vAlign w:val="bottom"/>
            <w:gridSpan w:val="6"/>
          </w:tcPr>
          <w:p>
            <w:pPr>
              <w:spacing w:after="0" w:line="81" w:lineRule="exact"/>
              <w:rPr>
                <w:sz w:val="20"/>
                <w:szCs w:val="20"/>
                <w:color w:val="auto"/>
              </w:rPr>
            </w:pPr>
            <w:r>
              <w:rPr>
                <w:rFonts w:ascii="Arial" w:cs="Arial" w:eastAsia="Arial" w:hAnsi="Arial"/>
                <w:sz w:val="9"/>
                <w:szCs w:val="9"/>
                <w:color w:val="FFFFFF"/>
              </w:rPr>
              <w:t>Attorneytransfer the said shares of Common Stock on the books of the Corporation, with full</w:t>
            </w: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power of substitution in the premises.</w:t>
            </w: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 w:type="dxa"/>
            <w:vAlign w:val="bottom"/>
          </w:tcPr>
          <w:p>
            <w:pPr>
              <w:spacing w:after="0"/>
              <w:rPr>
                <w:sz w:val="20"/>
                <w:szCs w:val="20"/>
                <w:color w:val="auto"/>
              </w:rPr>
            </w:pPr>
            <w:r>
              <w:rPr>
                <w:rFonts w:ascii="Arial" w:cs="Arial" w:eastAsia="Arial" w:hAnsi="Arial"/>
                <w:sz w:val="3"/>
                <w:szCs w:val="3"/>
                <w:color w:val="FFFFFF"/>
              </w:rPr>
              <w:t>Dated</w:t>
            </w: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00" w:type="dxa"/>
            <w:vAlign w:val="bottom"/>
            <w:gridSpan w:val="7"/>
          </w:tcPr>
          <w:p>
            <w:pPr>
              <w:spacing w:after="0"/>
              <w:rPr>
                <w:sz w:val="20"/>
                <w:szCs w:val="20"/>
                <w:color w:val="auto"/>
              </w:rPr>
            </w:pPr>
            <w:r>
              <w:rPr>
                <w:rFonts w:ascii="Arial" w:cs="Arial" w:eastAsia="Arial" w:hAnsi="Arial"/>
                <w:sz w:val="3"/>
                <w:szCs w:val="3"/>
                <w:color w:val="FFFFFF"/>
              </w:rPr>
              <w:t>(PLEASE PRINT OR TYPEWRITE NAME AND ADDRESS, INCLUDING ZIP CODE, OF ASSIGNEE)</w:t>
            </w:r>
          </w:p>
        </w:tc>
        <w:tc>
          <w:tcPr>
            <w:tcW w:w="0" w:type="dxa"/>
            <w:vAlign w:val="bottom"/>
          </w:tcPr>
          <w:p>
            <w:pPr>
              <w:spacing w:after="0"/>
              <w:rPr>
                <w:sz w:val="1"/>
                <w:szCs w:val="1"/>
                <w:color w:val="auto"/>
              </w:rPr>
            </w:pPr>
          </w:p>
        </w:tc>
      </w:tr>
      <w:tr>
        <w:trPr>
          <w:trHeight w:val="41"/>
        </w:trPr>
        <w:tc>
          <w:tcPr>
            <w:tcW w:w="5220" w:type="dxa"/>
            <w:vAlign w:val="bottom"/>
            <w:gridSpan w:val="6"/>
          </w:tcPr>
          <w:p>
            <w:pPr>
              <w:spacing w:after="0"/>
              <w:rPr>
                <w:sz w:val="20"/>
                <w:szCs w:val="20"/>
                <w:color w:val="auto"/>
              </w:rPr>
            </w:pPr>
            <w:r>
              <w:rPr>
                <w:rFonts w:ascii="Arial" w:cs="Arial" w:eastAsia="Arial" w:hAnsi="Arial"/>
                <w:sz w:val="3"/>
                <w:szCs w:val="3"/>
                <w:color w:val="FFFFFF"/>
              </w:rPr>
              <w:t>THE SIGNATURE(S) MUST BE GUARANTEED BY AN ELIGIBLE GUARANTOR</w:t>
            </w:r>
          </w:p>
        </w:tc>
        <w:tc>
          <w:tcPr>
            <w:tcW w:w="2980" w:type="dxa"/>
            <w:vAlign w:val="bottom"/>
          </w:tcPr>
          <w:p>
            <w:pPr>
              <w:jc w:val="right"/>
              <w:ind w:right="843"/>
              <w:spacing w:after="0"/>
              <w:rPr>
                <w:sz w:val="20"/>
                <w:szCs w:val="20"/>
                <w:color w:val="auto"/>
              </w:rPr>
            </w:pPr>
            <w:r>
              <w:rPr>
                <w:rFonts w:ascii="Arial" w:cs="Arial" w:eastAsia="Arial" w:hAnsi="Arial"/>
                <w:sz w:val="3"/>
                <w:szCs w:val="3"/>
                <w:color w:val="FFFFFF"/>
              </w:rPr>
              <w:t>(BANKS, STOCKBROKERS,</w:t>
            </w:r>
          </w:p>
        </w:tc>
        <w:tc>
          <w:tcPr>
            <w:tcW w:w="0" w:type="dxa"/>
            <w:vAlign w:val="bottom"/>
          </w:tcPr>
          <w:p>
            <w:pPr>
              <w:spacing w:after="0"/>
              <w:rPr>
                <w:sz w:val="1"/>
                <w:szCs w:val="1"/>
                <w:color w:val="auto"/>
              </w:rPr>
            </w:pPr>
          </w:p>
        </w:tc>
      </w:tr>
      <w:tr>
        <w:trPr>
          <w:trHeight w:val="41"/>
        </w:trPr>
        <w:tc>
          <w:tcPr>
            <w:tcW w:w="3500" w:type="dxa"/>
            <w:vAlign w:val="bottom"/>
            <w:gridSpan w:val="4"/>
          </w:tcPr>
          <w:p>
            <w:pPr>
              <w:spacing w:after="0"/>
              <w:rPr>
                <w:sz w:val="20"/>
                <w:szCs w:val="20"/>
                <w:color w:val="auto"/>
              </w:rPr>
            </w:pPr>
            <w:r>
              <w:rPr>
                <w:rFonts w:ascii="Arial" w:cs="Arial" w:eastAsia="Arial" w:hAnsi="Arial"/>
                <w:sz w:val="3"/>
                <w:szCs w:val="3"/>
                <w:color w:val="FFFFFF"/>
              </w:rPr>
              <w:t>SAVINGS AND LOAN ASSOCIATIONS AND CREDIT</w:t>
            </w:r>
          </w:p>
        </w:tc>
        <w:tc>
          <w:tcPr>
            <w:tcW w:w="4700" w:type="dxa"/>
            <w:vAlign w:val="bottom"/>
            <w:gridSpan w:val="3"/>
          </w:tcPr>
          <w:p>
            <w:pPr>
              <w:jc w:val="right"/>
              <w:ind w:right="1243"/>
              <w:spacing w:after="0"/>
              <w:rPr>
                <w:sz w:val="20"/>
                <w:szCs w:val="20"/>
                <w:color w:val="auto"/>
              </w:rPr>
            </w:pPr>
            <w:r>
              <w:rPr>
                <w:rFonts w:ascii="Arial" w:cs="Arial" w:eastAsia="Arial" w:hAnsi="Arial"/>
                <w:sz w:val="3"/>
                <w:szCs w:val="3"/>
                <w:color w:val="FFFFFF"/>
              </w:rPr>
              <w:t>WITH MEMBERSHIPINSTITUTIONANAPPROVED SIGNATURE</w:t>
            </w:r>
          </w:p>
        </w:tc>
        <w:tc>
          <w:tcPr>
            <w:tcW w:w="0" w:type="dxa"/>
            <w:vAlign w:val="bottom"/>
          </w:tcPr>
          <w:p>
            <w:pPr>
              <w:spacing w:after="0"/>
              <w:rPr>
                <w:sz w:val="1"/>
                <w:szCs w:val="1"/>
                <w:color w:val="auto"/>
              </w:rPr>
            </w:pPr>
          </w:p>
        </w:tc>
      </w:tr>
      <w:tr>
        <w:trPr>
          <w:trHeight w:val="41"/>
        </w:trPr>
        <w:tc>
          <w:tcPr>
            <w:tcW w:w="5220" w:type="dxa"/>
            <w:vAlign w:val="bottom"/>
            <w:gridSpan w:val="6"/>
          </w:tcPr>
          <w:p>
            <w:pPr>
              <w:spacing w:after="0"/>
              <w:rPr>
                <w:sz w:val="20"/>
                <w:szCs w:val="20"/>
                <w:color w:val="auto"/>
              </w:rPr>
            </w:pPr>
            <w:r>
              <w:rPr>
                <w:rFonts w:ascii="Arial" w:cs="Arial" w:eastAsia="Arial" w:hAnsi="Arial"/>
                <w:sz w:val="3"/>
                <w:szCs w:val="3"/>
                <w:color w:val="FFFFFF"/>
              </w:rPr>
              <w:t>GUARANTEE MEDALLION PROGRAM), PURSUANTUNIONST.E.C. RULE 17Ad-15.</w:t>
            </w: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SIGNATURE(S)</w:t>
            </w:r>
          </w:p>
        </w:tc>
        <w:tc>
          <w:tcPr>
            <w:tcW w:w="640" w:type="dxa"/>
            <w:vAlign w:val="bottom"/>
            <w:vMerge w:val="restart"/>
          </w:tcPr>
          <w:p>
            <w:pPr>
              <w:spacing w:after="0" w:line="61" w:lineRule="exact"/>
              <w:rPr>
                <w:sz w:val="20"/>
                <w:szCs w:val="20"/>
                <w:color w:val="auto"/>
              </w:rPr>
            </w:pPr>
            <w:r>
              <w:rPr>
                <w:rFonts w:ascii="Arial" w:cs="Arial" w:eastAsia="Arial" w:hAnsi="Arial"/>
                <w:sz w:val="7"/>
                <w:szCs w:val="7"/>
                <w:color w:val="FFFFFF"/>
              </w:rPr>
              <w:t>WITHOUT.IF</w:t>
            </w:r>
          </w:p>
        </w:tc>
        <w:tc>
          <w:tcPr>
            <w:tcW w:w="440" w:type="dxa"/>
            <w:vAlign w:val="bottom"/>
            <w:vMerge w:val="restart"/>
          </w:tcPr>
          <w:p>
            <w:pPr>
              <w:spacing w:after="0" w:line="61" w:lineRule="exact"/>
              <w:rPr>
                <w:sz w:val="20"/>
                <w:szCs w:val="20"/>
                <w:color w:val="auto"/>
              </w:rPr>
            </w:pPr>
            <w:r>
              <w:rPr>
                <w:rFonts w:ascii="Arial" w:cs="Arial" w:eastAsia="Arial" w:hAnsi="Arial"/>
                <w:sz w:val="7"/>
                <w:szCs w:val="7"/>
                <w:color w:val="FFFFFF"/>
              </w:rPr>
              <w:t>IS</w:t>
            </w:r>
          </w:p>
        </w:tc>
        <w:tc>
          <w:tcPr>
            <w:tcW w:w="4700" w:type="dxa"/>
            <w:vAlign w:val="bottom"/>
            <w:gridSpan w:val="3"/>
            <w:vMerge w:val="restart"/>
          </w:tcPr>
          <w:p>
            <w:pPr>
              <w:jc w:val="right"/>
              <w:ind w:right="483"/>
              <w:spacing w:after="0" w:line="61" w:lineRule="exact"/>
              <w:rPr>
                <w:sz w:val="20"/>
                <w:szCs w:val="20"/>
                <w:color w:val="auto"/>
              </w:rPr>
            </w:pPr>
            <w:r>
              <w:rPr>
                <w:rFonts w:ascii="Arial" w:cs="Arial" w:eastAsia="Arial" w:hAnsi="Arial"/>
                <w:sz w:val="7"/>
                <w:szCs w:val="7"/>
                <w:color w:val="FFFFFF"/>
              </w:rPr>
              <w:t>, STOLEN, MUTILATED OR DESTROYED, THE CORPORATION WILL</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1" w:lineRule="exact"/>
              <w:rPr>
                <w:sz w:val="20"/>
                <w:szCs w:val="20"/>
                <w:color w:val="auto"/>
              </w:rPr>
            </w:pPr>
            <w:r>
              <w:rPr>
                <w:rFonts w:ascii="Arial" w:cs="Arial" w:eastAsia="Arial" w:hAnsi="Arial"/>
                <w:sz w:val="2"/>
                <w:szCs w:val="2"/>
                <w:color w:val="FFFFFF"/>
              </w:rPr>
              <w:t>KEEP THIS CERTIFICAGUARANTEED:SAFE</w:t>
            </w:r>
          </w:p>
        </w:tc>
        <w:tc>
          <w:tcPr>
            <w:tcW w:w="64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0" w:type="dxa"/>
            <w:vAlign w:val="bottom"/>
            <w:gridSpan w:val="7"/>
          </w:tcPr>
          <w:p>
            <w:pPr>
              <w:spacing w:after="0" w:line="21" w:lineRule="exact"/>
              <w:rPr>
                <w:sz w:val="20"/>
                <w:szCs w:val="20"/>
                <w:color w:val="auto"/>
              </w:rPr>
            </w:pPr>
            <w:r>
              <w:rPr>
                <w:rFonts w:ascii="Arial" w:cs="Arial" w:eastAsia="Arial" w:hAnsi="Arial"/>
                <w:sz w:val="2"/>
                <w:szCs w:val="2"/>
                <w:color w:val="FFFFFF"/>
              </w:rPr>
              <w:t>THE SIGNATURE  O THIS ASSIGNMENT MUST CORRESPOND WITH THE NAME AS WRITTEN UPON THE FACE OF THE</w:t>
            </w:r>
          </w:p>
        </w:tc>
        <w:tc>
          <w:tcPr>
            <w:tcW w:w="0" w:type="dxa"/>
            <w:vAlign w:val="bottom"/>
          </w:tcPr>
          <w:p>
            <w:pPr>
              <w:spacing w:after="0" w:line="20" w:lineRule="exact"/>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CERTIFICATE IN EVERY P   TICULAR,</w:t>
            </w:r>
          </w:p>
        </w:tc>
        <w:tc>
          <w:tcPr>
            <w:tcW w:w="640" w:type="dxa"/>
            <w:vAlign w:val="bottom"/>
          </w:tcPr>
          <w:p>
            <w:pPr>
              <w:spacing w:after="0"/>
              <w:rPr>
                <w:sz w:val="3"/>
                <w:szCs w:val="3"/>
                <w:color w:val="auto"/>
              </w:rPr>
            </w:pPr>
          </w:p>
        </w:tc>
        <w:tc>
          <w:tcPr>
            <w:tcW w:w="5140" w:type="dxa"/>
            <w:vAlign w:val="bottom"/>
            <w:gridSpan w:val="4"/>
          </w:tcPr>
          <w:p>
            <w:pPr>
              <w:jc w:val="right"/>
              <w:ind w:right="483"/>
              <w:spacing w:after="0"/>
              <w:rPr>
                <w:sz w:val="20"/>
                <w:szCs w:val="20"/>
                <w:color w:val="auto"/>
              </w:rPr>
            </w:pPr>
            <w:r>
              <w:rPr>
                <w:rFonts w:ascii="Arial" w:cs="Arial" w:eastAsia="Arial" w:hAnsi="Arial"/>
                <w:sz w:val="3"/>
                <w:szCs w:val="3"/>
                <w:color w:val="FFFFFF"/>
              </w:rPr>
              <w:t>ALTERATION OR ENLARGEMENT OR ANY NOTICE: CHANGE WHATEVER.</w:t>
            </w:r>
          </w:p>
        </w:tc>
        <w:tc>
          <w:tcPr>
            <w:tcW w:w="0" w:type="dxa"/>
            <w:vAlign w:val="bottom"/>
          </w:tcPr>
          <w:p>
            <w:pPr>
              <w:spacing w:after="0"/>
              <w:rPr>
                <w:sz w:val="1"/>
                <w:szCs w:val="1"/>
                <w:color w:val="auto"/>
              </w:rPr>
            </w:pPr>
          </w:p>
        </w:tc>
      </w:tr>
      <w:tr>
        <w:trPr>
          <w:trHeight w:val="81"/>
        </w:trPr>
        <w:tc>
          <w:tcPr>
            <w:tcW w:w="8200" w:type="dxa"/>
            <w:vAlign w:val="bottom"/>
            <w:gridSpan w:val="7"/>
          </w:tcPr>
          <w:p>
            <w:pPr>
              <w:spacing w:after="0" w:line="81" w:lineRule="exact"/>
              <w:rPr>
                <w:sz w:val="20"/>
                <w:szCs w:val="20"/>
                <w:color w:val="auto"/>
              </w:rPr>
            </w:pPr>
            <w:r>
              <w:rPr>
                <w:rFonts w:ascii="Arial" w:cs="Arial" w:eastAsia="Arial" w:hAnsi="Arial"/>
                <w:sz w:val="9"/>
                <w:szCs w:val="9"/>
                <w:color w:val="FFFFFF"/>
              </w:rPr>
              <w:t>REQUIRE A BOND OF INDEMNITY ASPLACECONDITIONLOSTTHE ISSUANCE OF A REPLACEMENT CERTIFICATE.</w:t>
            </w:r>
          </w:p>
        </w:tc>
        <w:tc>
          <w:tcPr>
            <w:tcW w:w="0" w:type="dxa"/>
            <w:vAlign w:val="bottom"/>
          </w:tcPr>
          <w:p>
            <w:pPr>
              <w:spacing w:after="0"/>
              <w:rPr>
                <w:sz w:val="1"/>
                <w:szCs w:val="1"/>
                <w:color w:val="auto"/>
              </w:rPr>
            </w:pPr>
          </w:p>
        </w:tc>
      </w:tr>
      <w:tr>
        <w:trPr>
          <w:trHeight w:val="41"/>
        </w:trPr>
        <w:tc>
          <w:tcPr>
            <w:tcW w:w="3500" w:type="dxa"/>
            <w:vAlign w:val="bottom"/>
            <w:gridSpan w:val="4"/>
          </w:tcPr>
          <w:p>
            <w:pPr>
              <w:spacing w:after="0"/>
              <w:rPr>
                <w:sz w:val="20"/>
                <w:szCs w:val="20"/>
                <w:color w:val="auto"/>
              </w:rPr>
            </w:pPr>
            <w:r>
              <w:rPr>
                <w:rFonts w:ascii="Arial" w:cs="Arial" w:eastAsia="Arial" w:hAnsi="Arial"/>
                <w:sz w:val="3"/>
                <w:szCs w:val="3"/>
                <w:color w:val="FFFFFF"/>
              </w:rPr>
              <w:t>For value received, hereby sell(s), assign(s) and transfer(s) unto</w:t>
            </w: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00" w:type="dxa"/>
            <w:vAlign w:val="bottom"/>
            <w:gridSpan w:val="7"/>
          </w:tcPr>
          <w:p>
            <w:pPr>
              <w:spacing w:after="0"/>
              <w:rPr>
                <w:sz w:val="20"/>
                <w:szCs w:val="20"/>
                <w:color w:val="auto"/>
              </w:rPr>
            </w:pPr>
            <w:r>
              <w:rPr>
                <w:rFonts w:ascii="Arial" w:cs="Arial" w:eastAsia="Arial" w:hAnsi="Arial"/>
                <w:sz w:val="3"/>
                <w:szCs w:val="3"/>
                <w:color w:val="FFFFFF"/>
              </w:rPr>
              <w:t>The Corporation will furnish to any stockholder, on request and without charge, a full statement of the information required by Section 2-211(b)</w:t>
            </w:r>
          </w:p>
        </w:tc>
        <w:tc>
          <w:tcPr>
            <w:tcW w:w="0" w:type="dxa"/>
            <w:vAlign w:val="bottom"/>
          </w:tcPr>
          <w:p>
            <w:pPr>
              <w:spacing w:after="0"/>
              <w:rPr>
                <w:sz w:val="1"/>
                <w:szCs w:val="1"/>
                <w:color w:val="auto"/>
              </w:rPr>
            </w:pPr>
          </w:p>
        </w:tc>
      </w:tr>
      <w:tr>
        <w:trPr>
          <w:trHeight w:val="41"/>
        </w:trPr>
        <w:tc>
          <w:tcPr>
            <w:tcW w:w="8200" w:type="dxa"/>
            <w:vAlign w:val="bottom"/>
            <w:gridSpan w:val="7"/>
          </w:tcPr>
          <w:p>
            <w:pPr>
              <w:ind w:left="80"/>
              <w:spacing w:after="0"/>
              <w:rPr>
                <w:sz w:val="20"/>
                <w:szCs w:val="20"/>
                <w:color w:val="auto"/>
              </w:rPr>
            </w:pPr>
            <w:r>
              <w:rPr>
                <w:rFonts w:ascii="Arial" w:cs="Arial" w:eastAsia="Arial" w:hAnsi="Arial"/>
                <w:sz w:val="3"/>
                <w:szCs w:val="3"/>
                <w:color w:val="FFFFFF"/>
              </w:rPr>
              <w:t>f    Corporations and Associations Article of the Annotated Code of Maryland with respect to the designations and any preferences, conversion and</w:t>
            </w:r>
          </w:p>
        </w:tc>
        <w:tc>
          <w:tcPr>
            <w:tcW w:w="0" w:type="dxa"/>
            <w:vAlign w:val="bottom"/>
          </w:tcPr>
          <w:p>
            <w:pPr>
              <w:spacing w:after="0"/>
              <w:rPr>
                <w:sz w:val="1"/>
                <w:szCs w:val="1"/>
                <w:color w:val="auto"/>
              </w:rPr>
            </w:pPr>
          </w:p>
        </w:tc>
      </w:tr>
      <w:tr>
        <w:trPr>
          <w:trHeight w:val="41"/>
        </w:trPr>
        <w:tc>
          <w:tcPr>
            <w:tcW w:w="8200" w:type="dxa"/>
            <w:vAlign w:val="bottom"/>
            <w:gridSpan w:val="7"/>
          </w:tcPr>
          <w:p>
            <w:pPr>
              <w:ind w:left="320"/>
              <w:spacing w:after="0"/>
              <w:rPr>
                <w:sz w:val="20"/>
                <w:szCs w:val="20"/>
                <w:color w:val="auto"/>
              </w:rPr>
            </w:pPr>
            <w:r>
              <w:rPr>
                <w:rFonts w:ascii="Arial" w:cs="Arial" w:eastAsia="Arial" w:hAnsi="Arial"/>
                <w:sz w:val="3"/>
                <w:szCs w:val="3"/>
                <w:color w:val="FFFFFF"/>
              </w:rPr>
              <w:t>rights, voting powers, restrictions, limitations as to dividends and other distributions, qualifications, and terms and conditions of redemption of</w:t>
            </w:r>
          </w:p>
        </w:tc>
        <w:tc>
          <w:tcPr>
            <w:tcW w:w="0" w:type="dxa"/>
            <w:vAlign w:val="bottom"/>
          </w:tcPr>
          <w:p>
            <w:pPr>
              <w:spacing w:after="0"/>
              <w:rPr>
                <w:sz w:val="1"/>
                <w:szCs w:val="1"/>
                <w:color w:val="auto"/>
              </w:rPr>
            </w:pPr>
          </w:p>
        </w:tc>
      </w:tr>
      <w:tr>
        <w:trPr>
          <w:trHeight w:val="41"/>
        </w:trPr>
        <w:tc>
          <w:tcPr>
            <w:tcW w:w="8200" w:type="dxa"/>
            <w:vAlign w:val="bottom"/>
            <w:gridSpan w:val="7"/>
          </w:tcPr>
          <w:p>
            <w:pPr>
              <w:spacing w:after="0"/>
              <w:rPr>
                <w:sz w:val="20"/>
                <w:szCs w:val="20"/>
                <w:color w:val="auto"/>
              </w:rPr>
            </w:pPr>
            <w:r>
              <w:rPr>
                <w:rFonts w:ascii="Arial" w:cs="Arial" w:eastAsia="Arial" w:hAnsi="Arial"/>
                <w:sz w:val="3"/>
                <w:szCs w:val="3"/>
                <w:color w:val="FFFFFF"/>
              </w:rPr>
              <w:t>otherstock of each class which the Corporation has authority to issue and, if the Corporation is authorized to issue any preferred or special class in series,</w:t>
            </w:r>
          </w:p>
        </w:tc>
        <w:tc>
          <w:tcPr>
            <w:tcW w:w="0" w:type="dxa"/>
            <w:vAlign w:val="bottom"/>
          </w:tcPr>
          <w:p>
            <w:pPr>
              <w:spacing w:after="0"/>
              <w:rPr>
                <w:sz w:val="1"/>
                <w:szCs w:val="1"/>
                <w:color w:val="auto"/>
              </w:rPr>
            </w:pPr>
          </w:p>
        </w:tc>
      </w:tr>
      <w:tr>
        <w:trPr>
          <w:trHeight w:val="41"/>
        </w:trPr>
        <w:tc>
          <w:tcPr>
            <w:tcW w:w="8200" w:type="dxa"/>
            <w:vAlign w:val="bottom"/>
            <w:gridSpan w:val="7"/>
          </w:tcPr>
          <w:p>
            <w:pPr>
              <w:spacing w:after="0"/>
              <w:rPr>
                <w:sz w:val="20"/>
                <w:szCs w:val="20"/>
                <w:color w:val="auto"/>
              </w:rPr>
            </w:pPr>
            <w:r>
              <w:rPr>
                <w:rFonts w:ascii="Arial" w:cs="Arial" w:eastAsia="Arial" w:hAnsi="Arial"/>
                <w:sz w:val="3"/>
                <w:szCs w:val="3"/>
                <w:color w:val="FFFFFF"/>
              </w:rPr>
              <w:t>(i) the differences in the relative rights and preferences between the shares of each series to the extent set, and (ii) the authority of the Board of</w:t>
            </w:r>
          </w:p>
        </w:tc>
        <w:tc>
          <w:tcPr>
            <w:tcW w:w="0" w:type="dxa"/>
            <w:vAlign w:val="bottom"/>
          </w:tcPr>
          <w:p>
            <w:pPr>
              <w:spacing w:after="0"/>
              <w:rPr>
                <w:sz w:val="1"/>
                <w:szCs w:val="1"/>
                <w:color w:val="auto"/>
              </w:rPr>
            </w:pPr>
          </w:p>
        </w:tc>
      </w:tr>
      <w:tr>
        <w:trPr>
          <w:trHeight w:val="41"/>
        </w:trPr>
        <w:tc>
          <w:tcPr>
            <w:tcW w:w="8200" w:type="dxa"/>
            <w:vAlign w:val="bottom"/>
            <w:gridSpan w:val="7"/>
          </w:tcPr>
          <w:p>
            <w:pPr>
              <w:spacing w:after="0"/>
              <w:rPr>
                <w:sz w:val="20"/>
                <w:szCs w:val="20"/>
                <w:color w:val="auto"/>
              </w:rPr>
            </w:pPr>
            <w:r>
              <w:rPr>
                <w:rFonts w:ascii="Arial" w:cs="Arial" w:eastAsia="Arial" w:hAnsi="Arial"/>
                <w:sz w:val="3"/>
                <w:szCs w:val="3"/>
                <w:color w:val="FFFFFF"/>
              </w:rPr>
              <w:t>Directors to set such rights and preferences of subsequent series. The foregoing summary does not purport to be complete and is subject to and</w:t>
            </w:r>
          </w:p>
        </w:tc>
        <w:tc>
          <w:tcPr>
            <w:tcW w:w="0" w:type="dxa"/>
            <w:vAlign w:val="bottom"/>
          </w:tcPr>
          <w:p>
            <w:pPr>
              <w:spacing w:after="0"/>
              <w:rPr>
                <w:sz w:val="1"/>
                <w:szCs w:val="1"/>
                <w:color w:val="auto"/>
              </w:rPr>
            </w:pP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qualified in its entirety by reference to the charter of the</w:t>
            </w:r>
          </w:p>
        </w:tc>
        <w:tc>
          <w:tcPr>
            <w:tcW w:w="440" w:type="dxa"/>
            <w:vAlign w:val="bottom"/>
          </w:tcPr>
          <w:p>
            <w:pPr>
              <w:spacing w:after="0"/>
              <w:rPr>
                <w:sz w:val="3"/>
                <w:szCs w:val="3"/>
                <w:color w:val="auto"/>
              </w:rPr>
            </w:pPr>
          </w:p>
        </w:tc>
        <w:tc>
          <w:tcPr>
            <w:tcW w:w="4700" w:type="dxa"/>
            <w:vAlign w:val="bottom"/>
            <w:gridSpan w:val="3"/>
          </w:tcPr>
          <w:p>
            <w:pPr>
              <w:jc w:val="right"/>
              <w:ind w:right="23"/>
              <w:spacing w:after="0"/>
              <w:rPr>
                <w:sz w:val="20"/>
                <w:szCs w:val="20"/>
                <w:color w:val="auto"/>
              </w:rPr>
            </w:pPr>
            <w:r>
              <w:rPr>
                <w:rFonts w:ascii="Arial" w:cs="Arial" w:eastAsia="Arial" w:hAnsi="Arial"/>
                <w:sz w:val="3"/>
                <w:szCs w:val="3"/>
                <w:color w:val="FFFFFF"/>
              </w:rPr>
              <w:t>copy of which will be sent without charge to each stockholder who so requests.</w:t>
            </w:r>
          </w:p>
        </w:tc>
        <w:tc>
          <w:tcPr>
            <w:tcW w:w="0" w:type="dxa"/>
            <w:vAlign w:val="bottom"/>
          </w:tcPr>
          <w:p>
            <w:pPr>
              <w:spacing w:after="0"/>
              <w:rPr>
                <w:sz w:val="1"/>
                <w:szCs w:val="1"/>
                <w:color w:val="auto"/>
              </w:rPr>
            </w:pPr>
          </w:p>
        </w:tc>
      </w:tr>
      <w:tr>
        <w:trPr>
          <w:trHeight w:val="213"/>
        </w:trPr>
        <w:tc>
          <w:tcPr>
            <w:tcW w:w="4220" w:type="dxa"/>
            <w:vAlign w:val="bottom"/>
            <w:gridSpan w:val="5"/>
          </w:tcPr>
          <w:p>
            <w:pPr>
              <w:spacing w:after="0"/>
              <w:rPr>
                <w:sz w:val="20"/>
                <w:szCs w:val="20"/>
                <w:color w:val="auto"/>
              </w:rPr>
            </w:pPr>
            <w:r>
              <w:rPr>
                <w:rFonts w:ascii="Arial" w:cs="Arial" w:eastAsia="Arial" w:hAnsi="Arial"/>
                <w:sz w:val="14"/>
                <w:szCs w:val="14"/>
                <w:color w:val="FFFFFF"/>
                <w:w w:val="78"/>
              </w:rPr>
              <w:t>Such request must be made to the Secretary of the CorporationCorporation,principalits</w:t>
            </w:r>
          </w:p>
        </w:tc>
        <w:tc>
          <w:tcPr>
            <w:tcW w:w="3980" w:type="dxa"/>
            <w:vAlign w:val="bottom"/>
            <w:gridSpan w:val="2"/>
          </w:tcPr>
          <w:p>
            <w:pPr>
              <w:jc w:val="right"/>
              <w:ind w:right="2263"/>
              <w:spacing w:after="0"/>
              <w:rPr>
                <w:sz w:val="20"/>
                <w:szCs w:val="20"/>
                <w:color w:val="auto"/>
              </w:rPr>
            </w:pPr>
            <w:r>
              <w:rPr>
                <w:rFonts w:ascii="Arial" w:cs="Arial" w:eastAsia="Arial" w:hAnsi="Arial"/>
                <w:sz w:val="14"/>
                <w:szCs w:val="14"/>
                <w:color w:val="FFFFFF"/>
                <w:w w:val="88"/>
              </w:rPr>
              <w:t>office or to the Transfer Agent.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(h)(1)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Shares of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PennantPark Floating Rate Capital Ltd., a Maryland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issue and sell an aggregate of 10,000,000 shares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It is understood that, subject to the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hereinafter stated, the Firm Shares will be sold by the Company to the several Underwriters named in Schedule A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in connection with the offer and sale of such Firm Shares. Morgan Stanley &amp; Co. Incorporated, SunTrust Robinson Humphrey, Inc. and UBS Securities LLC shall act as joint book-running managers (the “</w:t>
      </w:r>
      <w:r>
        <w:rPr>
          <w:rFonts w:ascii="Arial" w:cs="Arial" w:eastAsia="Arial" w:hAnsi="Arial"/>
          <w:sz w:val="16"/>
          <w:szCs w:val="16"/>
          <w:b w:val="1"/>
          <w:bCs w:val="1"/>
          <w:i w:val="1"/>
          <w:iCs w:val="1"/>
          <w:color w:val="auto"/>
        </w:rPr>
        <w:t>Joint Book-Running Managers</w:t>
      </w:r>
      <w:r>
        <w:rPr>
          <w:rFonts w:ascii="Arial" w:cs="Arial" w:eastAsia="Arial" w:hAnsi="Arial"/>
          <w:sz w:val="16"/>
          <w:szCs w:val="16"/>
          <w:color w:val="auto"/>
        </w:rPr>
        <w:t>”).</w:t>
      </w:r>
    </w:p>
    <w:p>
      <w:pPr>
        <w:spacing w:after="0" w:line="116"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In addition, solely for the purpose of covering over-allotments, the Company proposes to grant to the Underwriters the option to purchase from the Company up to an additional 1,500,000 shares of Common Stock (the “</w:t>
      </w:r>
      <w:r>
        <w:rPr>
          <w:rFonts w:ascii="Arial" w:cs="Arial" w:eastAsia="Arial" w:hAnsi="Arial"/>
          <w:sz w:val="16"/>
          <w:szCs w:val="16"/>
          <w:b w:val="1"/>
          <w:bCs w:val="1"/>
          <w:i w:val="1"/>
          <w:iCs w:val="1"/>
          <w:color w:val="auto"/>
        </w:rPr>
        <w:t>Additional Shares</w:t>
      </w:r>
      <w:r>
        <w:rPr>
          <w:rFonts w:ascii="Arial" w:cs="Arial" w:eastAsia="Arial" w:hAnsi="Arial"/>
          <w:sz w:val="16"/>
          <w:szCs w:val="16"/>
          <w:color w:val="auto"/>
        </w:rPr>
        <w:t>”). The Firm Shares and the Additional Shares</w:t>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hereinafter collectively sometimes referred to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are described in the Prospectus which is referred to below.</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333-170243) relating to the Shares. The registration statement, as it may have heretofore been amended subsequently, at the time it became effective, including the information (if any) deemed to be part of the registration statement at the time of effectiveness pursuant to Rule 430A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 ], 2011, included in the Registration Statement at the time it became effective on [ ], 2011 (including the information, if any, deemed to be part of the Registration Statement at the time of effectiveness pursuant to Rule 430A and Rule 497 under the Act), in the form in which it was distributed, is hereinafter referred to as the “</w:t>
      </w:r>
      <w:r>
        <w:rPr>
          <w:rFonts w:ascii="Arial" w:cs="Arial" w:eastAsia="Arial" w:hAnsi="Arial"/>
          <w:sz w:val="16"/>
          <w:szCs w:val="16"/>
          <w:b w:val="1"/>
          <w:bCs w:val="1"/>
          <w:i w:val="1"/>
          <w:i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Preliminary Prospectus, in the form in which it was distributed, is hereinafter referred to as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certain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the pricing of the Shares omitted from the Pricing Prospectus that will be included in the Prospectus and set forth on Exhibit E hereto is hereinafter referred to as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The prospectus to be filed with the Commission pursuant to Rule 497 after the Execution Time (as defined below) and to be used to confirm sales is hereinafter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 Notification of Election to be subject to Sections 55 through 65 of the Investment Company Act of 1940 was filed with the Commission on Form N-54A (File No. 811-[ ])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 ], 2011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“business day” shall mean a day on which the New York Stock Exchange is open for trading.</w:t>
      </w:r>
    </w:p>
    <w:p>
      <w:pPr>
        <w:spacing w:after="0" w:line="12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has entered into an investment advisory and management agreement, dated as of [ ], 2011 (the “</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 adviser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under the Investment Advisers Act of 1940, as amended, and the rules and regulations thereunder (collectively,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Company has entered into an administration agreement, dated as of [ ], 2011 (the “</w:t>
      </w:r>
      <w:r>
        <w:rPr>
          <w:rFonts w:ascii="Arial" w:cs="Arial" w:eastAsia="Arial" w:hAnsi="Arial"/>
          <w:sz w:val="18"/>
          <w:szCs w:val="18"/>
          <w:b w:val="1"/>
          <w:bCs w:val="1"/>
          <w:i w:val="1"/>
          <w:iCs w:val="1"/>
          <w:color w:val="auto"/>
        </w:rPr>
        <w:t>Administration Agreement</w:t>
      </w:r>
      <w:r>
        <w:rPr>
          <w:rFonts w:ascii="Arial" w:cs="Arial" w:eastAsia="Arial" w:hAnsi="Arial"/>
          <w:sz w:val="18"/>
          <w:szCs w:val="18"/>
          <w:color w:val="auto"/>
        </w:rPr>
        <w:t>”), with PennantPark Investment Administration, LLC, a Delaware limited liability company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171" w:lineRule="exact"/>
        <w:rPr>
          <w:sz w:val="20"/>
          <w:szCs w:val="20"/>
          <w:color w:val="auto"/>
        </w:rPr>
      </w:pPr>
    </w:p>
    <w:p>
      <w:pPr>
        <w:ind w:right="20" w:firstLine="464"/>
        <w:spacing w:after="0" w:line="291"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Sale and Purchase</w:t>
      </w:r>
      <w:r>
        <w:rPr>
          <w:rFonts w:ascii="Arial" w:cs="Arial" w:eastAsia="Arial" w:hAnsi="Arial"/>
          <w:sz w:val="16"/>
          <w:szCs w:val="16"/>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 ] per Share. In addition, in connection with the sales of the Firm Shares, the Adviser agrees to pay to Morgan Stanley &amp; Co. Incorporated, for the account of the Underwriters, $[ ] per share (the “</w:t>
      </w:r>
      <w:r>
        <w:rPr>
          <w:rFonts w:ascii="Arial" w:cs="Arial" w:eastAsia="Arial" w:hAnsi="Arial"/>
          <w:sz w:val="16"/>
          <w:szCs w:val="16"/>
          <w:b w:val="1"/>
          <w:bCs w:val="1"/>
          <w:i w:val="1"/>
          <w:iCs w:val="1"/>
          <w:color w:val="auto"/>
        </w:rPr>
        <w:t>Adviser Sales Load Payment</w:t>
      </w:r>
      <w:r>
        <w:rPr>
          <w:rFonts w:ascii="Arial" w:cs="Arial" w:eastAsia="Arial" w:hAnsi="Arial"/>
          <w:sz w:val="16"/>
          <w:szCs w:val="16"/>
          <w:color w:val="auto"/>
        </w:rPr>
        <w:t>”) with respect to the Firm Shares. The Company is advised by you that the Underwriters intend initially to offer the Firm</w:t>
      </w:r>
    </w:p>
    <w:p>
      <w:pPr>
        <w:sectPr>
          <w:pgSz w:w="11900" w:h="16838" w:orient="portrait"/>
          <w:cols w:equalWidth="0" w:num="1">
            <w:col w:w="11420"/>
          </w:cols>
          <w:pgMar w:left="240" w:top="280" w:right="239" w:bottom="1440" w:gutter="0" w:footer="0" w:header="0"/>
        </w:sectPr>
      </w:pPr>
    </w:p>
    <w:bookmarkStart w:id="8" w:name="page9"/>
    <w:bookmarkEnd w:id="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upon the terms set forth in the Prospectus. You may from time to time increase or decrease the public offering price after the public offering to such extent as you may determine.</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Company for the Firm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 time of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later than three 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 In addition, in connection with the sale of any Additional Shares, the Adviser agrees to make the per share Adviser Sales Load Payment with respect to such Additional Shares.</w:t>
      </w:r>
    </w:p>
    <w:p>
      <w:pPr>
        <w:spacing w:after="0" w:line="126" w:lineRule="exact"/>
        <w:rPr>
          <w:sz w:val="20"/>
          <w:szCs w:val="20"/>
          <w:color w:val="auto"/>
        </w:rPr>
      </w:pPr>
    </w:p>
    <w:p>
      <w:pPr>
        <w:ind w:firstLine="464"/>
        <w:spacing w:after="0" w:line="290"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for the respective accounts of the Underwriters. Payment of the Adviser Sales Load Payment with respect to the Firm Shares shall be made to Morgan Stanley &amp; Co. Incorporated by wire transfer of immediately available funds to a bank account designated by Morgan Stanley &amp; Co. Incorporated. Such payment and delivery shall be made at 10:00 A.M., New York City time, on [ ], 2011 (unless another time shall be agreed to by you and the Company or unless postponed in accordance with the provisions of Section 8 hereof). The time at which such payment and delivery are to be made is hereinafter sometimes called “</w:t>
      </w:r>
      <w:r>
        <w:rPr>
          <w:rFonts w:ascii="Arial" w:cs="Arial" w:eastAsia="Arial" w:hAnsi="Arial"/>
          <w:sz w:val="16"/>
          <w:szCs w:val="16"/>
          <w:b w:val="1"/>
          <w:bCs w:val="1"/>
          <w:i w:val="1"/>
          <w:iCs w:val="1"/>
          <w:color w:val="auto"/>
        </w:rPr>
        <w:t>the time of purchase</w:t>
      </w:r>
      <w:r>
        <w:rPr>
          <w:rFonts w:ascii="Arial" w:cs="Arial" w:eastAsia="Arial" w:hAnsi="Arial"/>
          <w:sz w:val="16"/>
          <w:szCs w:val="16"/>
          <w:color w:val="auto"/>
        </w:rPr>
        <w:t>.” Electronic transfer of the Firm Shares shall be made to you at the time of purchase in such names and in such denominations as you shall specify.</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Payment of the purchase price for the Additional Shares and payment of the Adviser Sales Load Payment with respect to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ectPr>
          <w:pgSz w:w="11900" w:h="16838" w:orient="portrait"/>
          <w:cols w:equalWidth="0" w:num="1">
            <w:col w:w="11420"/>
          </w:cols>
          <w:pgMar w:left="240" w:top="280" w:right="239" w:bottom="1440" w:gutter="0" w:footer="0" w:header="0"/>
        </w:sectPr>
      </w:pPr>
    </w:p>
    <w:bookmarkStart w:id="9" w:name="page10"/>
    <w:bookmarkEnd w:id="9"/>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Deliveries of the documents described in Section 6 hereof with respect to the purchase of the Shares shall be made at the offices of Fried, Frank, Harris, Shriver &amp; Jacobson LLP, One New York Plaza, New York, N.Y. 10004 at 10:00 A.M., New York City time, on the date of the closing of the purchase of the Firm Shares or the Additional Shares, as the case may be.</w:t>
      </w:r>
    </w:p>
    <w:p>
      <w:pPr>
        <w:spacing w:after="0" w:line="140" w:lineRule="exact"/>
        <w:rPr>
          <w:sz w:val="20"/>
          <w:szCs w:val="20"/>
          <w:color w:val="auto"/>
        </w:rPr>
      </w:pPr>
    </w:p>
    <w:p>
      <w:pPr>
        <w:ind w:right="28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and the Adviser and the Administrator, jointly and severally, represent and warrant to and agree with each of the Underwriters that:</w:t>
      </w:r>
    </w:p>
    <w:p>
      <w:pPr>
        <w:spacing w:after="0" w:line="4" w:lineRule="exact"/>
        <w:rPr>
          <w:rFonts w:ascii="Arial" w:cs="Arial" w:eastAsia="Arial" w:hAnsi="Arial"/>
          <w:sz w:val="16"/>
          <w:szCs w:val="16"/>
          <w:color w:val="auto"/>
        </w:rPr>
      </w:pPr>
    </w:p>
    <w:p>
      <w:pPr>
        <w:ind w:left="460" w:firstLine="443"/>
        <w:spacing w:after="0" w:line="284" w:lineRule="auto"/>
        <w:tabs>
          <w:tab w:leader="none" w:pos="1137"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no stop order of the Commission preventing or suspending the use of any Preliminary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 ], 2011 under the Investment Company Act; the Pricing Prospectus taken together with the Pricing Information,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xml:space="preserve">”),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Shares other than the Registration Statement, the Pricing Prospectus and the Prospectus; any Road Show Materials (as defined below), when considered together with the Pricing Prospectus, do not contain any</w:t>
      </w:r>
    </w:p>
    <w:p>
      <w:pPr>
        <w:sectPr>
          <w:pgSz w:w="11900" w:h="16838" w:orient="portrait"/>
          <w:cols w:equalWidth="0" w:num="1">
            <w:col w:w="11420"/>
          </w:cols>
          <w:pgMar w:left="240" w:top="280" w:right="23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untrue statement of material fact or omit to state a material fact necessary to make the statements therein, in the light of the circumstances under which they were made, not misleading;</w:t>
      </w:r>
    </w:p>
    <w:p>
      <w:pPr>
        <w:spacing w:after="0" w:line="51" w:lineRule="exact"/>
        <w:rPr>
          <w:sz w:val="20"/>
          <w:szCs w:val="20"/>
          <w:color w:val="auto"/>
        </w:rPr>
      </w:pPr>
    </w:p>
    <w:p>
      <w:pPr>
        <w:ind w:firstLine="443"/>
        <w:spacing w:after="0" w:line="289"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the Execution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37" w:lineRule="exact"/>
        <w:rPr>
          <w:rFonts w:ascii="Arial" w:cs="Arial" w:eastAsia="Arial" w:hAnsi="Arial"/>
          <w:sz w:val="16"/>
          <w:szCs w:val="16"/>
          <w:color w:val="auto"/>
        </w:rPr>
      </w:pPr>
    </w:p>
    <w:p>
      <w:pPr>
        <w:ind w:right="240" w:firstLine="443"/>
        <w:spacing w:after="0" w:line="335" w:lineRule="auto"/>
        <w:tabs>
          <w:tab w:leader="none" w:pos="677"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7" w:lineRule="exact"/>
        <w:rPr>
          <w:rFonts w:ascii="Arial" w:cs="Arial" w:eastAsia="Arial" w:hAnsi="Arial"/>
          <w:sz w:val="15"/>
          <w:szCs w:val="15"/>
          <w:color w:val="auto"/>
        </w:rPr>
      </w:pPr>
    </w:p>
    <w:p>
      <w:pPr>
        <w:jc w:val="both"/>
        <w:ind w:right="40" w:firstLine="443"/>
        <w:spacing w:after="0" w:line="256"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taken as a whole (a “</w:t>
      </w:r>
      <w:r>
        <w:rPr>
          <w:rFonts w:ascii="Arial" w:cs="Arial" w:eastAsia="Arial" w:hAnsi="Arial"/>
          <w:sz w:val="18"/>
          <w:szCs w:val="18"/>
          <w:b w:val="1"/>
          <w:bCs w:val="1"/>
          <w:i w:val="1"/>
          <w:iCs w:val="1"/>
          <w:color w:val="auto"/>
        </w:rPr>
        <w:t>Material Adverse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no subsidiaries (as defined in the Act);</w:t>
      </w:r>
    </w:p>
    <w:p>
      <w:pPr>
        <w:spacing w:after="0" w:line="90" w:lineRule="exact"/>
        <w:rPr>
          <w:rFonts w:ascii="Arial" w:cs="Arial" w:eastAsia="Arial" w:hAnsi="Arial"/>
          <w:sz w:val="18"/>
          <w:szCs w:val="18"/>
          <w:color w:val="auto"/>
        </w:rPr>
      </w:pPr>
    </w:p>
    <w:p>
      <w:pPr>
        <w:ind w:right="140" w:firstLine="443"/>
        <w:spacing w:after="0" w:line="268"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against payment therefor by you as provided herein, will be validly issued, fully paid and non-assessable and free of any preemptive rights or similar rights;</w:t>
      </w:r>
    </w:p>
    <w:p>
      <w:pPr>
        <w:spacing w:after="0" w:line="50" w:lineRule="exact"/>
        <w:rPr>
          <w:rFonts w:ascii="Arial" w:cs="Arial" w:eastAsia="Arial" w:hAnsi="Arial"/>
          <w:sz w:val="18"/>
          <w:szCs w:val="18"/>
          <w:color w:val="auto"/>
        </w:rPr>
      </w:pPr>
    </w:p>
    <w:p>
      <w:pPr>
        <w:ind w:right="40" w:firstLine="443"/>
        <w:spacing w:after="0" w:line="291"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 the Shares are duly listed, and admitted and authorized for trading, subject to official notice of issuance and evidence of satisfactory distribution, on the NASDAQ Global Market or NASDAQ Global Select Market; and, except as set forth in the Pricing Prospectus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ectPr>
          <w:pgSz w:w="11900" w:h="16838" w:orient="portrait"/>
          <w:cols w:equalWidth="0" w:num="1">
            <w:col w:w="10940"/>
          </w:cols>
          <w:pgMar w:left="700" w:top="280" w:right="259" w:bottom="1440" w:gutter="0" w:footer="0" w:header="0"/>
        </w:sectPr>
      </w:pPr>
    </w:p>
    <w:bookmarkStart w:id="11" w:name="page12"/>
    <w:bookmarkEnd w:id="11"/>
    <w:p>
      <w:pPr>
        <w:ind w:left="-443" w:right="60" w:firstLine="443"/>
        <w:spacing w:after="0" w:line="294" w:lineRule="auto"/>
        <w:tabs>
          <w:tab w:leader="none" w:pos="244"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bankruptcy, insolvency, reorganization, moratorium and other laws relating to or affecting creditors’ rights generally and by general equitable principles;</w:t>
      </w:r>
    </w:p>
    <w:p>
      <w:pPr>
        <w:spacing w:after="0" w:line="34" w:lineRule="exact"/>
        <w:rPr>
          <w:rFonts w:ascii="Arial" w:cs="Arial" w:eastAsia="Arial" w:hAnsi="Arial"/>
          <w:sz w:val="16"/>
          <w:szCs w:val="16"/>
          <w:color w:val="auto"/>
        </w:rPr>
      </w:pPr>
    </w:p>
    <w:p>
      <w:pPr>
        <w:ind w:left="-443" w:firstLine="443"/>
        <w:spacing w:after="0" w:line="286" w:lineRule="auto"/>
        <w:tabs>
          <w:tab w:leader="none" w:pos="2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is not (i) in violation of the charter, by-laws, certificate of formation, limited liability company operating agreement, or other organizational documents of the Company,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is a party or (iii) in contravention of any law, regulation or rule or any decree, judgment or order applicable to the Company except, with respect to clause (ii) and (iii), to the extent that any such contravention would not have a Material Adverse Effect; and the execution, delivery and performance by the Company of this Agreement and the consummation of the transactions contemplated hereby will not (i) violate the charter, by-laws, certificate of formation, limited liability company operating agreement,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is a party or (iii) contravene any law, regulation or rule or any decree, judgment or order applicable to the Company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39" w:lineRule="exact"/>
        <w:rPr>
          <w:rFonts w:ascii="Arial" w:cs="Arial" w:eastAsia="Arial" w:hAnsi="Arial"/>
          <w:sz w:val="16"/>
          <w:szCs w:val="16"/>
          <w:color w:val="auto"/>
        </w:rPr>
      </w:pPr>
    </w:p>
    <w:p>
      <w:pPr>
        <w:ind w:left="-443" w:right="20" w:firstLine="443"/>
        <w:spacing w:after="0" w:line="323" w:lineRule="auto"/>
        <w:tabs>
          <w:tab w:leader="none" w:pos="205"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approval, authorization, consent or order of or filing with any governmental or regulatory body or agency is required in connection with the performance by the Company of its obligations under this Agreement and the consummation of the transactions contemplated hereby other than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Regulatory Authority (“FINRA”);</w:t>
      </w:r>
    </w:p>
    <w:p>
      <w:pPr>
        <w:spacing w:after="0" w:line="16" w:lineRule="exact"/>
        <w:rPr>
          <w:rFonts w:ascii="Arial" w:cs="Arial" w:eastAsia="Arial" w:hAnsi="Arial"/>
          <w:sz w:val="15"/>
          <w:szCs w:val="15"/>
          <w:color w:val="auto"/>
        </w:rPr>
      </w:pPr>
    </w:p>
    <w:p>
      <w:pPr>
        <w:ind w:left="-443" w:right="120" w:firstLine="443"/>
        <w:spacing w:after="0" w:line="256"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the Pricing Prospectus and the Prospectus, (i) no person has the right to act as an underwriter or as a financial advisor to the Company in connection with the offer and sale of the Shares, and (ii) there are no contracts, agreements or understandings between the Company and any person granting such person the right to require the Company to file a registration statement under the Act with respect to any</w:t>
      </w:r>
    </w:p>
    <w:p>
      <w:pPr>
        <w:sectPr>
          <w:pgSz w:w="11900" w:h="16838" w:orient="portrait"/>
          <w:cols w:equalWidth="0" w:num="1">
            <w:col w:w="10517"/>
          </w:cols>
          <w:pgMar w:left="1143" w:top="28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of the Company or to require the Company to include such securities with the Shares registered pursuant to the Registration Statement;</w:t>
      </w:r>
    </w:p>
    <w:p>
      <w:pPr>
        <w:spacing w:after="0" w:line="113" w:lineRule="exact"/>
        <w:rPr>
          <w:sz w:val="20"/>
          <w:szCs w:val="20"/>
          <w:color w:val="auto"/>
        </w:rPr>
      </w:pPr>
    </w:p>
    <w:p>
      <w:pPr>
        <w:ind w:right="80" w:firstLine="443"/>
        <w:spacing w:after="0" w:line="291"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all necessary licenses, authorizations, consents and approvals (collectively, the “</w:t>
      </w:r>
      <w:r>
        <w:rPr>
          <w:rFonts w:ascii="Arial" w:cs="Arial" w:eastAsia="Arial" w:hAnsi="Arial"/>
          <w:sz w:val="16"/>
          <w:szCs w:val="16"/>
          <w:b w:val="1"/>
          <w:bCs w:val="1"/>
          <w:i w:val="1"/>
          <w:iCs w:val="1"/>
          <w:color w:val="auto"/>
        </w:rPr>
        <w:t>Consents</w:t>
      </w:r>
      <w:r>
        <w:rPr>
          <w:rFonts w:ascii="Arial" w:cs="Arial" w:eastAsia="Arial" w:hAnsi="Arial"/>
          <w:sz w:val="16"/>
          <w:szCs w:val="16"/>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the Company is not in violation of, or in default under, and has not received notice of any proceedings relating to revocation or modification of, any such license, authorization, consent or approval or any federal, state, local or foreign law, regulation or rule or any decree, order or judgment applicable to the Company, except where such violation, default, revocation or modification would not, individually or in the aggregate, have a Material Adverse Effect;</w:t>
      </w:r>
    </w:p>
    <w:p>
      <w:pPr>
        <w:spacing w:after="0" w:line="39" w:lineRule="exact"/>
        <w:rPr>
          <w:rFonts w:ascii="Arial" w:cs="Arial" w:eastAsia="Arial" w:hAnsi="Arial"/>
          <w:sz w:val="16"/>
          <w:szCs w:val="16"/>
          <w:color w:val="auto"/>
        </w:rPr>
      </w:pPr>
    </w:p>
    <w:p>
      <w:pPr>
        <w:ind w:right="20" w:firstLine="443"/>
        <w:spacing w:after="0" w:line="259" w:lineRule="auto"/>
        <w:tabs>
          <w:tab w:leader="none" w:pos="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59" w:lineRule="exact"/>
        <w:rPr>
          <w:rFonts w:ascii="Arial" w:cs="Arial" w:eastAsia="Arial" w:hAnsi="Arial"/>
          <w:sz w:val="18"/>
          <w:szCs w:val="18"/>
          <w:color w:val="auto"/>
        </w:rPr>
      </w:pPr>
    </w:p>
    <w:p>
      <w:pPr>
        <w:ind w:firstLine="443"/>
        <w:spacing w:after="0" w:line="318" w:lineRule="auto"/>
        <w:tabs>
          <w:tab w:leader="none" w:pos="687"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Pricing Prospectus and the Prospectus, there are no legal actions, suits, claims, investigations or proceedings pending or, to the Company’s knowledge, threatened to which the Company, or any of its respective directors, managing members or officers is or would be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have a Material Adverse Effect or prevent consummation of the transactions contemplated hereby;</w:t>
      </w:r>
    </w:p>
    <w:p>
      <w:pPr>
        <w:spacing w:after="0" w:line="18" w:lineRule="exact"/>
        <w:rPr>
          <w:rFonts w:ascii="Arial" w:cs="Arial" w:eastAsia="Arial" w:hAnsi="Arial"/>
          <w:sz w:val="15"/>
          <w:szCs w:val="15"/>
          <w:color w:val="auto"/>
        </w:rPr>
      </w:pPr>
    </w:p>
    <w:p>
      <w:pPr>
        <w:ind w:right="140" w:firstLine="443"/>
        <w:spacing w:after="0" w:line="268"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is an independent registered public accounting firm as required by the Act;</w:t>
      </w:r>
    </w:p>
    <w:p>
      <w:pPr>
        <w:spacing w:after="0" w:line="50" w:lineRule="exact"/>
        <w:rPr>
          <w:rFonts w:ascii="Arial" w:cs="Arial" w:eastAsia="Arial" w:hAnsi="Arial"/>
          <w:sz w:val="18"/>
          <w:szCs w:val="18"/>
          <w:color w:val="auto"/>
        </w:rPr>
      </w:pPr>
    </w:p>
    <w:p>
      <w:pPr>
        <w:ind w:right="40" w:firstLine="443"/>
        <w:spacing w:after="0" w:line="288" w:lineRule="auto"/>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w:t>
      </w:r>
    </w:p>
    <w:p>
      <w:pPr>
        <w:sectPr>
          <w:pgSz w:w="11900" w:h="16838" w:orient="portrait"/>
          <w:cols w:equalWidth="0" w:num="1">
            <w:col w:w="10940"/>
          </w:cols>
          <w:pgMar w:left="700" w:top="280" w:right="259" w:bottom="1440" w:gutter="0" w:footer="0" w:header="0"/>
        </w:sectPr>
      </w:pPr>
    </w:p>
    <w:bookmarkStart w:id="13" w:name="page14"/>
    <w:bookmarkEnd w:id="13"/>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Item 10 of Regulation S-K under the Act, to the extent applicable;</w:t>
      </w:r>
    </w:p>
    <w:p>
      <w:pPr>
        <w:spacing w:after="0" w:line="62" w:lineRule="exact"/>
        <w:rPr>
          <w:sz w:val="20"/>
          <w:szCs w:val="20"/>
          <w:color w:val="auto"/>
        </w:rPr>
      </w:pPr>
    </w:p>
    <w:p>
      <w:pPr>
        <w:jc w:val="both"/>
        <w:ind w:right="240" w:firstLine="443"/>
        <w:spacing w:after="0" w:line="306"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w:t>
      </w:r>
    </w:p>
    <w:p>
      <w:pPr>
        <w:spacing w:after="0" w:line="25" w:lineRule="exact"/>
        <w:rPr>
          <w:rFonts w:ascii="Arial" w:cs="Arial" w:eastAsia="Arial" w:hAnsi="Arial"/>
          <w:sz w:val="16"/>
          <w:szCs w:val="16"/>
          <w:color w:val="auto"/>
        </w:rPr>
      </w:pPr>
    </w:p>
    <w:p>
      <w:pPr>
        <w:ind w:right="40" w:firstLine="443"/>
        <w:spacing w:after="0" w:line="268"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Exhibit A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50" w:lineRule="exact"/>
        <w:rPr>
          <w:rFonts w:ascii="Arial" w:cs="Arial" w:eastAsia="Arial" w:hAnsi="Arial"/>
          <w:sz w:val="18"/>
          <w:szCs w:val="18"/>
          <w:color w:val="auto"/>
        </w:rPr>
      </w:pPr>
    </w:p>
    <w:p>
      <w:pPr>
        <w:ind w:right="220" w:firstLine="443"/>
        <w:spacing w:after="0" w:line="306" w:lineRule="auto"/>
        <w:tabs>
          <w:tab w:leader="none" w:pos="6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Shares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25" w:lineRule="exact"/>
        <w:rPr>
          <w:rFonts w:ascii="Arial" w:cs="Arial" w:eastAsia="Arial" w:hAnsi="Arial"/>
          <w:sz w:val="16"/>
          <w:szCs w:val="16"/>
          <w:color w:val="auto"/>
        </w:rPr>
      </w:pPr>
    </w:p>
    <w:p>
      <w:pPr>
        <w:jc w:val="both"/>
        <w:ind w:right="200" w:firstLine="443"/>
        <w:spacing w:after="0" w:line="306"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is, and at all times through the completion of the transactions contemplated hereby will be, in compliance in all material respects with the applicable terms and conditions of the Act and the Investment Company Act; no person is serving or acting as an officer, director or investment adviser of the Company except in accordance with the applicable provisions of the Investment Company Act and the Advisers Act;</w:t>
      </w:r>
    </w:p>
    <w:p>
      <w:pPr>
        <w:spacing w:after="0" w:line="25" w:lineRule="exact"/>
        <w:rPr>
          <w:rFonts w:ascii="Arial" w:cs="Arial" w:eastAsia="Arial" w:hAnsi="Arial"/>
          <w:sz w:val="16"/>
          <w:szCs w:val="16"/>
          <w:color w:val="auto"/>
        </w:rPr>
      </w:pPr>
    </w:p>
    <w:p>
      <w:pPr>
        <w:ind w:firstLine="443"/>
        <w:spacing w:after="0" w:line="259"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 Notification of Election was filed with the Commission, it (i) contained all statements required to be stated therein in accordance with, and compiled in all material respects with the requirements of, the Investment Company Act and (ii) did not include any untrue statement of a material fact or omit to state a material fact necessary to make the statements therein not misleading;</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does not own any real property;</w:t>
      </w:r>
    </w:p>
    <w:p>
      <w:pPr>
        <w:spacing w:after="0" w:line="90" w:lineRule="exact"/>
        <w:rPr>
          <w:rFonts w:ascii="Arial" w:cs="Arial" w:eastAsia="Arial" w:hAnsi="Arial"/>
          <w:sz w:val="18"/>
          <w:szCs w:val="18"/>
          <w:color w:val="auto"/>
        </w:rPr>
      </w:pPr>
    </w:p>
    <w:p>
      <w:pPr>
        <w:ind w:right="80" w:firstLine="443"/>
        <w:spacing w:after="0" w:line="291" w:lineRule="auto"/>
        <w:tabs>
          <w:tab w:leader="none" w:pos="7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except where the failure to own, license or have such rights would not, individually or in the aggregate, have a Material Adverse Effect; except as disclosed in the Registration Statement, the Pricing Prospectus and the Prospectus, the Company has not received notice and is not otherwise aware of any infringement of, or conflict with, asserted rights of third parties with respect to any Intellectual Property or of any facts or</w:t>
      </w:r>
    </w:p>
    <w:p>
      <w:pPr>
        <w:sectPr>
          <w:pgSz w:w="11900" w:h="16838" w:orient="portrait"/>
          <w:cols w:equalWidth="0" w:num="1">
            <w:col w:w="10900"/>
          </w:cols>
          <w:pgMar w:left="700" w:top="280" w:right="299" w:bottom="1440" w:gutter="0" w:footer="0" w:header="0"/>
        </w:sectPr>
      </w:pPr>
    </w:p>
    <w:bookmarkStart w:id="14" w:name="page15"/>
    <w:bookmarkEnd w:id="14"/>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circumstances which would render any Intellectual Property invalid or inadequate to protect the interest of the Company therein, and which infringement or conflict (if the subject of any unfavorable decision, ruling or finding) or invalidity or inadequacy, would result in a Material Adverse Effect;</w:t>
      </w:r>
    </w:p>
    <w:p>
      <w:pPr>
        <w:spacing w:after="0" w:line="4" w:lineRule="exact"/>
        <w:rPr>
          <w:sz w:val="20"/>
          <w:szCs w:val="20"/>
          <w:color w:val="auto"/>
        </w:rPr>
      </w:pPr>
    </w:p>
    <w:p>
      <w:pPr>
        <w:ind w:right="140" w:firstLine="443"/>
        <w:spacing w:after="0" w:line="335" w:lineRule="auto"/>
        <w:tabs>
          <w:tab w:leader="none" w:pos="6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7" w:lineRule="exact"/>
        <w:rPr>
          <w:rFonts w:ascii="Arial" w:cs="Arial" w:eastAsia="Arial" w:hAnsi="Arial"/>
          <w:sz w:val="15"/>
          <w:szCs w:val="15"/>
          <w:color w:val="auto"/>
        </w:rPr>
      </w:pPr>
    </w:p>
    <w:p>
      <w:pPr>
        <w:ind w:right="60" w:firstLine="443"/>
        <w:spacing w:after="0" w:line="291"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39" w:lineRule="exact"/>
        <w:rPr>
          <w:rFonts w:ascii="Arial" w:cs="Arial" w:eastAsia="Arial" w:hAnsi="Arial"/>
          <w:sz w:val="16"/>
          <w:szCs w:val="16"/>
          <w:color w:val="auto"/>
        </w:rPr>
      </w:pPr>
    </w:p>
    <w:p>
      <w:pPr>
        <w:ind w:right="100" w:firstLine="443"/>
        <w:spacing w:after="0" w:line="294"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such term is defined in Rules 13a-15 and 15d-15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35" w:lineRule="exact"/>
        <w:rPr>
          <w:sz w:val="20"/>
          <w:szCs w:val="20"/>
          <w:color w:val="auto"/>
        </w:rPr>
      </w:pPr>
    </w:p>
    <w:p>
      <w:pPr>
        <w:ind w:firstLine="443"/>
        <w:spacing w:after="0" w:line="312" w:lineRule="auto"/>
        <w:tabs>
          <w:tab w:leader="none" w:pos="755"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24" w:lineRule="exact"/>
        <w:rPr>
          <w:rFonts w:ascii="Arial" w:cs="Arial" w:eastAsia="Arial" w:hAnsi="Arial"/>
          <w:sz w:val="15"/>
          <w:szCs w:val="15"/>
          <w:color w:val="auto"/>
        </w:rPr>
      </w:pPr>
    </w:p>
    <w:p>
      <w:pPr>
        <w:ind w:right="500" w:firstLine="443"/>
        <w:spacing w:after="0" w:line="268" w:lineRule="auto"/>
        <w:tabs>
          <w:tab w:leader="none" w:pos="7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w:t>
      </w:r>
    </w:p>
    <w:p>
      <w:pPr>
        <w:sectPr>
          <w:pgSz w:w="11900" w:h="16838" w:orient="portrait"/>
          <w:cols w:equalWidth="0" w:num="1">
            <w:col w:w="10960"/>
          </w:cols>
          <w:pgMar w:left="700" w:top="280" w:right="239" w:bottom="1440" w:gutter="0" w:footer="0" w:header="0"/>
        </w:sectPr>
      </w:pPr>
    </w:p>
    <w:bookmarkStart w:id="15" w:name="page16"/>
    <w:bookmarkEnd w:id="15"/>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designed, or which has constituted or might reasonably be expected to cause or result in, under the Exchange Act, the stabilization or manipulation of the price of any security of the Company to facilitate the sale of the Shares;</w:t>
      </w:r>
    </w:p>
    <w:p>
      <w:pPr>
        <w:spacing w:after="0" w:line="51" w:lineRule="exact"/>
        <w:rPr>
          <w:sz w:val="20"/>
          <w:szCs w:val="20"/>
          <w:color w:val="auto"/>
        </w:rPr>
      </w:pPr>
    </w:p>
    <w:p>
      <w:pPr>
        <w:ind w:right="140" w:firstLine="443"/>
        <w:spacing w:after="0" w:line="259" w:lineRule="auto"/>
        <w:tabs>
          <w:tab w:leader="none" w:pos="7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59" w:lineRule="exact"/>
        <w:rPr>
          <w:rFonts w:ascii="Arial" w:cs="Arial" w:eastAsia="Arial" w:hAnsi="Arial"/>
          <w:sz w:val="18"/>
          <w:szCs w:val="18"/>
          <w:color w:val="auto"/>
        </w:rPr>
      </w:pPr>
    </w:p>
    <w:p>
      <w:pPr>
        <w:ind w:right="520" w:firstLine="443"/>
        <w:spacing w:after="0" w:line="332" w:lineRule="auto"/>
        <w:tabs>
          <w:tab w:leader="none" w:pos="7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4" w:lineRule="exact"/>
        <w:rPr>
          <w:rFonts w:ascii="Arial" w:cs="Arial" w:eastAsia="Arial" w:hAnsi="Arial"/>
          <w:sz w:val="16"/>
          <w:szCs w:val="16"/>
          <w:color w:val="auto"/>
        </w:rPr>
      </w:pPr>
    </w:p>
    <w:p>
      <w:pPr>
        <w:ind w:firstLine="443"/>
        <w:spacing w:after="0" w:line="332" w:lineRule="auto"/>
        <w:tabs>
          <w:tab w:leader="none" w:pos="7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4" w:lineRule="exact"/>
        <w:rPr>
          <w:rFonts w:ascii="Arial" w:cs="Arial" w:eastAsia="Arial" w:hAnsi="Arial"/>
          <w:sz w:val="16"/>
          <w:szCs w:val="16"/>
          <w:color w:val="auto"/>
        </w:rPr>
      </w:pPr>
    </w:p>
    <w:p>
      <w:pPr>
        <w:ind w:right="440" w:firstLine="443"/>
        <w:spacing w:after="0" w:line="259" w:lineRule="auto"/>
        <w:tabs>
          <w:tab w:leader="none" w:pos="7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59" w:lineRule="exact"/>
        <w:rPr>
          <w:rFonts w:ascii="Arial" w:cs="Arial" w:eastAsia="Arial" w:hAnsi="Arial"/>
          <w:sz w:val="18"/>
          <w:szCs w:val="18"/>
          <w:color w:val="auto"/>
        </w:rPr>
      </w:pPr>
    </w:p>
    <w:p>
      <w:pPr>
        <w:jc w:val="both"/>
        <w:ind w:right="200" w:firstLine="443"/>
        <w:spacing w:after="0" w:line="256" w:lineRule="auto"/>
        <w:tabs>
          <w:tab w:leader="none" w:pos="7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62" w:lineRule="exact"/>
        <w:rPr>
          <w:rFonts w:ascii="Arial" w:cs="Arial" w:eastAsia="Arial" w:hAnsi="Arial"/>
          <w:sz w:val="18"/>
          <w:szCs w:val="18"/>
          <w:color w:val="auto"/>
        </w:rPr>
      </w:pPr>
    </w:p>
    <w:p>
      <w:pPr>
        <w:ind w:firstLine="443"/>
        <w:spacing w:after="0" w:line="294" w:lineRule="auto"/>
        <w:tabs>
          <w:tab w:leader="none" w:pos="7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 make the public offering and consummate the sale of the Shares as provided in this Agreement; the provisions of the corporate charter and by-laws of the Company comply in all material respects with the requirements of the Investment Company Act applicable to business development companies;</w:t>
      </w:r>
    </w:p>
    <w:p>
      <w:pPr>
        <w:spacing w:after="0" w:line="34" w:lineRule="exact"/>
        <w:rPr>
          <w:rFonts w:ascii="Arial" w:cs="Arial" w:eastAsia="Arial" w:hAnsi="Arial"/>
          <w:sz w:val="16"/>
          <w:szCs w:val="16"/>
          <w:color w:val="auto"/>
        </w:rPr>
      </w:pPr>
    </w:p>
    <w:p>
      <w:pPr>
        <w:ind w:right="20" w:firstLine="443"/>
        <w:spacing w:after="0" w:line="259" w:lineRule="auto"/>
        <w:tabs>
          <w:tab w:leader="none" w:pos="6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w:t>
      </w:r>
    </w:p>
    <w:p>
      <w:pPr>
        <w:spacing w:after="0" w:line="59" w:lineRule="exact"/>
        <w:rPr>
          <w:rFonts w:ascii="Arial" w:cs="Arial" w:eastAsia="Arial" w:hAnsi="Arial"/>
          <w:sz w:val="18"/>
          <w:szCs w:val="18"/>
          <w:color w:val="auto"/>
        </w:rPr>
      </w:pPr>
    </w:p>
    <w:p>
      <w:pPr>
        <w:ind w:right="260" w:firstLine="443"/>
        <w:spacing w:after="0" w:line="370" w:lineRule="auto"/>
        <w:tabs>
          <w:tab w:leader="none" w:pos="69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5"/>
          <w:szCs w:val="15"/>
          <w:b w:val="1"/>
          <w:bCs w:val="1"/>
          <w:i w:val="1"/>
          <w:iCs w:val="1"/>
          <w:color w:val="auto"/>
        </w:rPr>
        <w:t>Sarbanes-Oxley Act</w:t>
      </w:r>
      <w:r>
        <w:rPr>
          <w:rFonts w:ascii="Arial" w:cs="Arial" w:eastAsia="Arial" w:hAnsi="Arial"/>
          <w:sz w:val="15"/>
          <w:szCs w:val="15"/>
          <w:color w:val="auto"/>
        </w:rPr>
        <w:t>”), and the Commission’s published rules promulgated thereunder;</w:t>
      </w:r>
    </w:p>
    <w:p>
      <w:pPr>
        <w:sectPr>
          <w:pgSz w:w="11900" w:h="16838" w:orient="portrait"/>
          <w:cols w:equalWidth="0" w:num="1">
            <w:col w:w="10960"/>
          </w:cols>
          <w:pgMar w:left="700" w:top="280" w:right="239" w:bottom="1440" w:gutter="0" w:footer="0" w:header="0"/>
        </w:sectPr>
      </w:pPr>
    </w:p>
    <w:bookmarkStart w:id="16" w:name="page17"/>
    <w:bookmarkEnd w:id="16"/>
    <w:p>
      <w:pPr>
        <w:ind w:left="460" w:right="20" w:firstLine="443"/>
        <w:spacing w:after="0" w:line="291" w:lineRule="auto"/>
        <w:tabs>
          <w:tab w:leader="none" w:pos="1235"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 has filed all foreign, federal, state and local tax returns that are required to be filed or has properly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intends to elect to be treated, and intends to operate its business so as to qualify, as a regulated investment company under Subchapter M of the Internal Revenue Code of 1986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commencing with its taxable year ending on September 30, 2011;</w:t>
      </w:r>
    </w:p>
    <w:p>
      <w:pPr>
        <w:spacing w:after="0" w:line="39" w:lineRule="exact"/>
        <w:rPr>
          <w:rFonts w:ascii="Arial" w:cs="Arial" w:eastAsia="Arial" w:hAnsi="Arial"/>
          <w:sz w:val="16"/>
          <w:szCs w:val="16"/>
          <w:color w:val="auto"/>
        </w:rPr>
      </w:pPr>
    </w:p>
    <w:p>
      <w:pPr>
        <w:ind w:left="460" w:firstLine="443"/>
        <w:spacing w:after="0" w:line="294" w:lineRule="auto"/>
        <w:tabs>
          <w:tab w:leader="none" w:pos="11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material compliance with all applicable anti-money laundering statutes of jurisdictions where the Company conducts business, and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Anti-Money Laundering Laws is pending or, to the best knowledge of the Company, threatened;</w:t>
      </w:r>
    </w:p>
    <w:p>
      <w:pPr>
        <w:spacing w:after="0" w:line="34" w:lineRule="exact"/>
        <w:rPr>
          <w:rFonts w:ascii="Arial" w:cs="Arial" w:eastAsia="Arial" w:hAnsi="Arial"/>
          <w:sz w:val="16"/>
          <w:szCs w:val="16"/>
          <w:color w:val="auto"/>
        </w:rPr>
      </w:pPr>
    </w:p>
    <w:p>
      <w:pPr>
        <w:ind w:left="460" w:right="60" w:firstLine="443"/>
        <w:spacing w:after="0" w:line="259" w:lineRule="auto"/>
        <w:tabs>
          <w:tab w:leader="none" w:pos="13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of the Company is aware of or has taken any action, directly or indirectly, that would result in a violation by such entities or persons of the Foreign Corrupt Practices Act of 1977, as amended, and the rules and regulations thereunder; and</w:t>
      </w:r>
    </w:p>
    <w:p>
      <w:pPr>
        <w:spacing w:after="0" w:line="59" w:lineRule="exact"/>
        <w:rPr>
          <w:rFonts w:ascii="Arial" w:cs="Arial" w:eastAsia="Arial" w:hAnsi="Arial"/>
          <w:sz w:val="18"/>
          <w:szCs w:val="18"/>
          <w:color w:val="auto"/>
        </w:rPr>
      </w:pPr>
    </w:p>
    <w:p>
      <w:pPr>
        <w:ind w:left="460" w:right="80" w:firstLine="443"/>
        <w:spacing w:after="0" w:line="255" w:lineRule="auto"/>
        <w:tabs>
          <w:tab w:leader="none" w:pos="1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or agent of the Company is currently the subject of any sanctions administered by the Office of Foreign Assets Control of the U.S. Treasury Department (“OFAC”); and the Company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40" w:lineRule="exact"/>
        <w:rPr>
          <w:sz w:val="20"/>
          <w:szCs w:val="20"/>
          <w:color w:val="auto"/>
        </w:rPr>
      </w:pPr>
    </w:p>
    <w:p>
      <w:pPr>
        <w:ind w:right="100"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50" w:lineRule="exact"/>
        <w:rPr>
          <w:rFonts w:ascii="Arial" w:cs="Arial" w:eastAsia="Arial" w:hAnsi="Arial"/>
          <w:sz w:val="18"/>
          <w:szCs w:val="18"/>
          <w:color w:val="auto"/>
        </w:rPr>
      </w:pPr>
    </w:p>
    <w:p>
      <w:pPr>
        <w:jc w:val="both"/>
        <w:ind w:left="460" w:right="460" w:firstLine="443"/>
        <w:spacing w:after="0" w:line="259" w:lineRule="auto"/>
        <w:tabs>
          <w:tab w:leader="none" w:pos="11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w:t>
      </w:r>
    </w:p>
    <w:p>
      <w:pPr>
        <w:sectPr>
          <w:pgSz w:w="11900" w:h="16838" w:orient="portrait"/>
          <w:cols w:equalWidth="0" w:num="1">
            <w:col w:w="11420"/>
          </w:cols>
          <w:pgMar w:left="240" w:top="280" w:right="239" w:bottom="1440" w:gutter="0" w:footer="0" w:header="0"/>
        </w:sectPr>
      </w:pPr>
    </w:p>
    <w:bookmarkStart w:id="17" w:name="page18"/>
    <w:bookmarkEnd w:id="1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6"/>
          <w:szCs w:val="16"/>
          <w:b w:val="1"/>
          <w:bCs w:val="1"/>
          <w:i w:val="1"/>
          <w:iCs w:val="1"/>
          <w:color w:val="auto"/>
        </w:rPr>
        <w:t>Adviser/Administrator Material Adverse Effect</w:t>
      </w:r>
      <w:r>
        <w:rPr>
          <w:rFonts w:ascii="Arial" w:cs="Arial" w:eastAsia="Arial" w:hAnsi="Arial"/>
          <w:sz w:val="16"/>
          <w:szCs w:val="16"/>
          <w:color w:val="auto"/>
        </w:rPr>
        <w:t>”);</w:t>
      </w:r>
    </w:p>
    <w:p>
      <w:pPr>
        <w:spacing w:after="0" w:line="37" w:lineRule="exact"/>
        <w:rPr>
          <w:sz w:val="20"/>
          <w:szCs w:val="20"/>
          <w:color w:val="auto"/>
        </w:rPr>
      </w:pPr>
    </w:p>
    <w:p>
      <w:pPr>
        <w:jc w:val="both"/>
        <w:ind w:right="60" w:firstLine="443"/>
        <w:spacing w:after="0" w:line="298" w:lineRule="auto"/>
        <w:tabs>
          <w:tab w:leader="none" w:pos="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31" w:lineRule="exact"/>
        <w:rPr>
          <w:rFonts w:ascii="Arial" w:cs="Arial" w:eastAsia="Arial" w:hAnsi="Arial"/>
          <w:sz w:val="16"/>
          <w:szCs w:val="16"/>
          <w:color w:val="auto"/>
        </w:rPr>
      </w:pPr>
    </w:p>
    <w:p>
      <w:pPr>
        <w:ind w:firstLine="443"/>
        <w:spacing w:after="0" w:line="254"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63" w:lineRule="exact"/>
        <w:rPr>
          <w:rFonts w:ascii="Arial" w:cs="Arial" w:eastAsia="Arial" w:hAnsi="Arial"/>
          <w:sz w:val="18"/>
          <w:szCs w:val="18"/>
          <w:color w:val="auto"/>
        </w:rPr>
      </w:pPr>
    </w:p>
    <w:p>
      <w:pPr>
        <w:ind w:firstLine="443"/>
        <w:spacing w:after="0" w:line="287" w:lineRule="auto"/>
        <w:tabs>
          <w:tab w:leader="none" w:pos="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w:t>
      </w:r>
    </w:p>
    <w:p>
      <w:pPr>
        <w:sectPr>
          <w:pgSz w:w="11900" w:h="16838" w:orient="portrait"/>
          <w:cols w:equalWidth="0" w:num="1">
            <w:col w:w="10940"/>
          </w:cols>
          <w:pgMar w:left="700" w:top="280" w:right="259" w:bottom="1440" w:gutter="0" w:footer="0" w:header="0"/>
        </w:sectPr>
      </w:pPr>
    </w:p>
    <w:bookmarkStart w:id="18" w:name="page19"/>
    <w:bookmarkEnd w:id="18"/>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59" w:lineRule="exact"/>
        <w:rPr>
          <w:sz w:val="20"/>
          <w:szCs w:val="20"/>
          <w:color w:val="auto"/>
        </w:rPr>
      </w:pPr>
    </w:p>
    <w:p>
      <w:pPr>
        <w:ind w:right="120" w:firstLine="443"/>
        <w:spacing w:after="0" w:line="289" w:lineRule="auto"/>
        <w:tabs>
          <w:tab w:leader="none" w:pos="6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37" w:lineRule="exact"/>
        <w:rPr>
          <w:rFonts w:ascii="Arial" w:cs="Arial" w:eastAsia="Arial" w:hAnsi="Arial"/>
          <w:sz w:val="16"/>
          <w:szCs w:val="16"/>
          <w:color w:val="auto"/>
        </w:rPr>
      </w:pPr>
    </w:p>
    <w:p>
      <w:pPr>
        <w:ind w:right="40" w:firstLine="443"/>
        <w:spacing w:after="0" w:line="290" w:lineRule="auto"/>
        <w:tabs>
          <w:tab w:leader="none" w:pos="6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37" w:lineRule="exact"/>
        <w:rPr>
          <w:rFonts w:ascii="Arial" w:cs="Arial" w:eastAsia="Arial" w:hAnsi="Arial"/>
          <w:sz w:val="16"/>
          <w:szCs w:val="16"/>
          <w:color w:val="auto"/>
        </w:rPr>
      </w:pPr>
    </w:p>
    <w:p>
      <w:pPr>
        <w:ind w:right="240" w:firstLine="443"/>
        <w:spacing w:after="0" w:line="268"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description of the Adviser and the Administrator contained in the Pricing Prospectus, the Prospectus and the Registration Statement is true, accurate and complete in all material respects;</w:t>
      </w:r>
    </w:p>
    <w:p>
      <w:pPr>
        <w:spacing w:after="0" w:line="50" w:lineRule="exact"/>
        <w:rPr>
          <w:rFonts w:ascii="Arial" w:cs="Arial" w:eastAsia="Arial" w:hAnsi="Arial"/>
          <w:sz w:val="18"/>
          <w:szCs w:val="18"/>
          <w:color w:val="auto"/>
        </w:rPr>
      </w:pPr>
    </w:p>
    <w:p>
      <w:pPr>
        <w:ind w:right="120" w:firstLine="443"/>
        <w:spacing w:after="0" w:line="306"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25" w:lineRule="exact"/>
        <w:rPr>
          <w:rFonts w:ascii="Arial" w:cs="Arial" w:eastAsia="Arial" w:hAnsi="Arial"/>
          <w:sz w:val="16"/>
          <w:szCs w:val="16"/>
          <w:color w:val="auto"/>
        </w:rPr>
      </w:pPr>
    </w:p>
    <w:p>
      <w:pPr>
        <w:ind w:firstLine="443"/>
        <w:spacing w:after="0" w:line="259"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w:t>
      </w:r>
    </w:p>
    <w:p>
      <w:pPr>
        <w:sectPr>
          <w:pgSz w:w="11900" w:h="16838" w:orient="portrait"/>
          <w:cols w:equalWidth="0" w:num="1">
            <w:col w:w="10960"/>
          </w:cols>
          <w:pgMar w:left="700" w:top="280" w:right="239" w:bottom="1440" w:gutter="0" w:footer="0" w:header="0"/>
        </w:sectPr>
      </w:pPr>
    </w:p>
    <w:bookmarkStart w:id="19" w:name="page20"/>
    <w:bookmarkEnd w:id="19"/>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otherwise prevent the Adviser or the Administrator from carrying out its respective obligations under the Investment Advisory Agreement or the Administration Agreement, as appropriate;</w:t>
      </w:r>
    </w:p>
    <w:p>
      <w:pPr>
        <w:spacing w:after="0" w:line="51" w:lineRule="exact"/>
        <w:rPr>
          <w:sz w:val="20"/>
          <w:szCs w:val="20"/>
          <w:color w:val="auto"/>
        </w:rPr>
      </w:pPr>
    </w:p>
    <w:p>
      <w:pPr>
        <w:ind w:firstLine="443"/>
        <w:spacing w:after="0" w:line="291" w:lineRule="auto"/>
        <w:tabs>
          <w:tab w:leader="none" w:pos="64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39" w:lineRule="exact"/>
        <w:rPr>
          <w:rFonts w:ascii="Arial" w:cs="Arial" w:eastAsia="Arial" w:hAnsi="Arial"/>
          <w:sz w:val="16"/>
          <w:szCs w:val="16"/>
          <w:color w:val="auto"/>
        </w:rPr>
      </w:pPr>
    </w:p>
    <w:p>
      <w:pPr>
        <w:ind w:right="60" w:firstLine="443"/>
        <w:spacing w:after="0" w:line="259" w:lineRule="auto"/>
        <w:tabs>
          <w:tab w:leader="none" w:pos="687"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59" w:lineRule="exact"/>
        <w:rPr>
          <w:rFonts w:ascii="Arial" w:cs="Arial" w:eastAsia="Arial" w:hAnsi="Arial"/>
          <w:sz w:val="18"/>
          <w:szCs w:val="18"/>
          <w:color w:val="auto"/>
        </w:rPr>
      </w:pPr>
    </w:p>
    <w:p>
      <w:pPr>
        <w:ind w:firstLine="443"/>
        <w:spacing w:after="0" w:line="255"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Adviser is not aware that (i) any executive, key employee or significant group of employees of the Company, if any, the Adviser or the 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61" w:lineRule="exact"/>
        <w:rPr>
          <w:rFonts w:ascii="Arial" w:cs="Arial" w:eastAsia="Arial" w:hAnsi="Arial"/>
          <w:sz w:val="18"/>
          <w:szCs w:val="18"/>
          <w:color w:val="auto"/>
        </w:rPr>
      </w:pPr>
    </w:p>
    <w:p>
      <w:pPr>
        <w:jc w:val="both"/>
        <w:ind w:right="320" w:firstLine="443"/>
        <w:spacing w:after="0" w:line="306" w:lineRule="auto"/>
        <w:tabs>
          <w:tab w:leader="none" w:pos="73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25" w:lineRule="exact"/>
        <w:rPr>
          <w:rFonts w:ascii="Arial" w:cs="Arial" w:eastAsia="Arial" w:hAnsi="Arial"/>
          <w:sz w:val="16"/>
          <w:szCs w:val="16"/>
          <w:color w:val="auto"/>
        </w:rPr>
      </w:pPr>
    </w:p>
    <w:p>
      <w:pPr>
        <w:ind w:right="120" w:firstLine="443"/>
        <w:spacing w:after="0" w:line="284" w:lineRule="auto"/>
        <w:tabs>
          <w:tab w:leader="none" w:pos="687"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Administrator maintains a system of internal accounting controls sufficient to provide reasonable assurance that (i) transactions for which it has bookkeeping and record keeping responsibility for under the Administration Agreement are recorded as necessary to permit preparation of the Company’s financial statements in conformity with generally accepted accounting principles and to maintain accountability for the Company’s assets and</w:t>
      </w:r>
    </w:p>
    <w:p>
      <w:pPr>
        <w:spacing w:after="0" w:line="1" w:lineRule="exact"/>
        <w:rPr>
          <w:rFonts w:ascii="Arial" w:cs="Arial" w:eastAsia="Arial" w:hAnsi="Arial"/>
          <w:sz w:val="16"/>
          <w:szCs w:val="16"/>
          <w:color w:val="auto"/>
        </w:rPr>
      </w:pPr>
    </w:p>
    <w:p>
      <w:pPr>
        <w:ind w:right="160" w:firstLine="4"/>
        <w:spacing w:after="0" w:line="261"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recorded accountability for such assets is compared with existing assets at reasonable intervals and appropriate action is taken with respect to any differences;</w:t>
      </w:r>
    </w:p>
    <w:p>
      <w:pPr>
        <w:spacing w:after="0" w:line="56" w:lineRule="exact"/>
        <w:rPr>
          <w:rFonts w:ascii="Arial" w:cs="Arial" w:eastAsia="Arial" w:hAnsi="Arial"/>
          <w:sz w:val="18"/>
          <w:szCs w:val="18"/>
          <w:color w:val="auto"/>
        </w:rPr>
      </w:pPr>
    </w:p>
    <w:p>
      <w:pPr>
        <w:ind w:right="180" w:firstLine="443"/>
        <w:spacing w:after="0" w:line="268" w:lineRule="auto"/>
        <w:tabs>
          <w:tab w:leader="none" w:pos="6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neither the Adviser nor, to the knowledge of the Adviser, any director, officer, employee or affiliate of the Adviser is aware of or has taken any action, directly or indirectly,</w:t>
      </w:r>
    </w:p>
    <w:p>
      <w:pPr>
        <w:sectPr>
          <w:pgSz w:w="11900" w:h="16838" w:orient="portrait"/>
          <w:cols w:equalWidth="0" w:num="1">
            <w:col w:w="10900"/>
          </w:cols>
          <w:pgMar w:left="700" w:top="280" w:right="299" w:bottom="1440" w:gutter="0" w:footer="0" w:header="0"/>
        </w:sectPr>
      </w:pPr>
    </w:p>
    <w:bookmarkStart w:id="20" w:name="page21"/>
    <w:bookmarkEnd w:id="20"/>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would result in a violation by such entities or persons of the Foreign Corrupt Practices Act of 1977, as amended, and the rules and regulations thereunder; and</w:t>
      </w:r>
    </w:p>
    <w:p>
      <w:pPr>
        <w:spacing w:after="0" w:line="51" w:lineRule="exact"/>
        <w:rPr>
          <w:sz w:val="20"/>
          <w:szCs w:val="20"/>
          <w:color w:val="auto"/>
        </w:rPr>
      </w:pPr>
    </w:p>
    <w:p>
      <w:pPr>
        <w:jc w:val="both"/>
        <w:ind w:right="160" w:firstLine="443"/>
        <w:spacing w:after="0" w:line="298" w:lineRule="auto"/>
        <w:tabs>
          <w:tab w:leader="none" w:pos="687" w:val="left"/>
        </w:tabs>
        <w:numPr>
          <w:ilvl w:val="1"/>
          <w:numId w:val="23"/>
        </w:numPr>
        <w:rPr>
          <w:rFonts w:ascii="Arial" w:cs="Arial" w:eastAsia="Arial" w:hAnsi="Arial"/>
          <w:sz w:val="16"/>
          <w:szCs w:val="16"/>
          <w:color w:val="auto"/>
        </w:rPr>
      </w:pPr>
      <w:r>
        <w:rPr>
          <w:rFonts w:ascii="Arial" w:cs="Arial" w:eastAsia="Arial" w:hAnsi="Arial"/>
          <w:sz w:val="16"/>
          <w:szCs w:val="16"/>
          <w:color w:val="auto"/>
        </w:rPr>
        <w:t>neither the Adviser nor, to the knowledge of the Adviser, any director, officer, agent, employee or affiliate of the Adviser is currently subject to any U.S. sanctions administered by the Office of Foreign Assets Control of the U.S. Treasury Department (“OFAC”); and the Adviser will not directly or indirectly use the proceeds of the offering, or lend, contribute or otherwise make available such proceeds to any other person or entity, for the purpose of financing the activities of any person currently subject to any U.S. sanctions administered by OFAC.</w:t>
      </w:r>
    </w:p>
    <w:p>
      <w:pPr>
        <w:spacing w:after="0" w:line="112" w:lineRule="exact"/>
        <w:rPr>
          <w:rFonts w:ascii="Arial" w:cs="Arial" w:eastAsia="Arial" w:hAnsi="Arial"/>
          <w:sz w:val="16"/>
          <w:szCs w:val="16"/>
          <w:color w:val="auto"/>
        </w:rPr>
      </w:pPr>
    </w:p>
    <w:p>
      <w:pPr>
        <w:ind w:left="-460" w:right="580" w:firstLine="464"/>
        <w:spacing w:after="0" w:line="268" w:lineRule="auto"/>
        <w:tabs>
          <w:tab w:leader="none" w:pos="17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50" w:lineRule="exact"/>
        <w:rPr>
          <w:rFonts w:ascii="Arial" w:cs="Arial" w:eastAsia="Arial" w:hAnsi="Arial"/>
          <w:sz w:val="18"/>
          <w:szCs w:val="18"/>
          <w:color w:val="auto"/>
        </w:rPr>
      </w:pPr>
    </w:p>
    <w:p>
      <w:pPr>
        <w:ind w:right="60" w:firstLine="443"/>
        <w:spacing w:after="0" w:line="291" w:lineRule="auto"/>
        <w:tabs>
          <w:tab w:leader="none" w:pos="6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39" w:lineRule="exact"/>
        <w:rPr>
          <w:rFonts w:ascii="Arial" w:cs="Arial" w:eastAsia="Arial" w:hAnsi="Arial"/>
          <w:sz w:val="16"/>
          <w:szCs w:val="16"/>
          <w:color w:val="auto"/>
        </w:rPr>
      </w:pPr>
    </w:p>
    <w:p>
      <w:pPr>
        <w:ind w:firstLine="443"/>
        <w:spacing w:after="0" w:line="290" w:lineRule="auto"/>
        <w:tabs>
          <w:tab w:leader="none" w:pos="68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 Section 10(a)(3) of the Act;</w:t>
      </w:r>
    </w:p>
    <w:p>
      <w:pPr>
        <w:spacing w:after="0" w:line="37" w:lineRule="exact"/>
        <w:rPr>
          <w:rFonts w:ascii="Arial" w:cs="Arial" w:eastAsia="Arial" w:hAnsi="Arial"/>
          <w:sz w:val="16"/>
          <w:szCs w:val="16"/>
          <w:color w:val="auto"/>
        </w:rPr>
      </w:pPr>
    </w:p>
    <w:p>
      <w:pPr>
        <w:ind w:right="200" w:firstLine="443"/>
        <w:spacing w:after="0" w:line="254" w:lineRule="auto"/>
        <w:tabs>
          <w:tab w:leader="none" w:pos="6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if, at the time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 (i)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ectPr>
          <w:pgSz w:w="11900" w:h="16838" w:orient="portrait"/>
          <w:cols w:equalWidth="0" w:num="1">
            <w:col w:w="10920"/>
          </w:cols>
          <w:pgMar w:left="700" w:top="280" w:right="279" w:bottom="1440" w:gutter="0" w:footer="0" w:header="0"/>
        </w:sectPr>
      </w:pPr>
    </w:p>
    <w:bookmarkStart w:id="21" w:name="page22"/>
    <w:bookmarkEnd w:id="21"/>
    <w:p>
      <w:pPr>
        <w:ind w:left="-443" w:right="20" w:firstLine="443"/>
        <w:spacing w:after="0" w:line="310" w:lineRule="auto"/>
        <w:tabs>
          <w:tab w:leader="none" w:pos="244" w:val="left"/>
        </w:tabs>
        <w:numPr>
          <w:ilvl w:val="0"/>
          <w:numId w:val="2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advise you promptly, and, if requested, confirming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27" w:lineRule="exact"/>
        <w:rPr>
          <w:rFonts w:ascii="Arial" w:cs="Arial" w:eastAsia="Arial" w:hAnsi="Arial"/>
          <w:sz w:val="15"/>
          <w:szCs w:val="15"/>
          <w:color w:val="auto"/>
        </w:rPr>
      </w:pPr>
    </w:p>
    <w:p>
      <w:pPr>
        <w:ind w:left="-443" w:firstLine="443"/>
        <w:spacing w:after="0" w:line="259" w:lineRule="auto"/>
        <w:tabs>
          <w:tab w:leader="none" w:pos="2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furnish to the Joint Book-Running Managers a copy of all promotional materials (including “road show slides” or “road show scripts”) prepared by the Company or the Adviser for use in connection with the offering and sale of the Shares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59" w:lineRule="exact"/>
        <w:rPr>
          <w:rFonts w:ascii="Arial" w:cs="Arial" w:eastAsia="Arial" w:hAnsi="Arial"/>
          <w:sz w:val="18"/>
          <w:szCs w:val="18"/>
          <w:color w:val="auto"/>
        </w:rPr>
      </w:pPr>
    </w:p>
    <w:p>
      <w:pPr>
        <w:jc w:val="both"/>
        <w:ind w:left="-443" w:right="100" w:firstLine="443"/>
        <w:spacing w:after="0" w:line="306"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subject to Section 5(d) hereof, to file promptly all reports and any definitive proxy or information statement required to be filed by the Company with the Commission in order to comply with the Exchange Act subsequent to the date of the Prospectus and for so long as the delivery of a prospectus is required in connection with the offering or sale of the Shares; and to promptly notify you of such filing;</w:t>
      </w:r>
    </w:p>
    <w:p>
      <w:pPr>
        <w:spacing w:after="0" w:line="25" w:lineRule="exact"/>
        <w:rPr>
          <w:rFonts w:ascii="Arial" w:cs="Arial" w:eastAsia="Arial" w:hAnsi="Arial"/>
          <w:sz w:val="16"/>
          <w:szCs w:val="16"/>
          <w:color w:val="auto"/>
        </w:rPr>
      </w:pPr>
    </w:p>
    <w:p>
      <w:pPr>
        <w:ind w:left="-443" w:right="20" w:firstLine="443"/>
        <w:spacing w:after="0" w:line="254" w:lineRule="auto"/>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63" w:lineRule="exact"/>
        <w:rPr>
          <w:rFonts w:ascii="Arial" w:cs="Arial" w:eastAsia="Arial" w:hAnsi="Arial"/>
          <w:sz w:val="18"/>
          <w:szCs w:val="18"/>
          <w:color w:val="auto"/>
        </w:rPr>
      </w:pPr>
    </w:p>
    <w:p>
      <w:pPr>
        <w:ind w:left="-443" w:right="180" w:firstLine="443"/>
        <w:spacing w:after="0" w:line="298" w:lineRule="auto"/>
        <w:tabs>
          <w:tab w:leader="none" w:pos="2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requirement to furnish any such information shall be subject to compliance with applicable law;</w:t>
      </w:r>
    </w:p>
    <w:p>
      <w:pPr>
        <w:spacing w:after="0" w:line="31" w:lineRule="exact"/>
        <w:rPr>
          <w:rFonts w:ascii="Arial" w:cs="Arial" w:eastAsia="Arial" w:hAnsi="Arial"/>
          <w:sz w:val="16"/>
          <w:szCs w:val="16"/>
          <w:color w:val="auto"/>
        </w:rPr>
      </w:pPr>
    </w:p>
    <w:p>
      <w:pPr>
        <w:ind w:left="217" w:hanging="217"/>
        <w:spacing w:after="0"/>
        <w:tabs>
          <w:tab w:leader="none" w:pos="2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ectPr>
          <w:pgSz w:w="11900" w:h="16838" w:orient="portrait"/>
          <w:cols w:equalWidth="0" w:num="1">
            <w:col w:w="10477"/>
          </w:cols>
          <w:pgMar w:left="1143" w:top="280" w:right="279" w:bottom="1440" w:gutter="0" w:footer="0" w:header="0"/>
        </w:sectPr>
      </w:pPr>
    </w:p>
    <w:bookmarkStart w:id="22" w:name="page23"/>
    <w:bookmarkEnd w:id="22"/>
    <w:p>
      <w:pPr>
        <w:ind w:left="-443" w:right="60" w:firstLine="443"/>
        <w:spacing w:after="0" w:line="290" w:lineRule="auto"/>
        <w:tabs>
          <w:tab w:leader="none" w:pos="205"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37" w:lineRule="exact"/>
        <w:rPr>
          <w:rFonts w:ascii="Arial" w:cs="Arial" w:eastAsia="Arial" w:hAnsi="Arial"/>
          <w:sz w:val="16"/>
          <w:szCs w:val="16"/>
          <w:color w:val="auto"/>
        </w:rPr>
      </w:pPr>
    </w:p>
    <w:p>
      <w:pPr>
        <w:ind w:left="-443" w:right="700" w:firstLine="443"/>
        <w:spacing w:after="0" w:line="268" w:lineRule="auto"/>
        <w:tabs>
          <w:tab w:leader="none" w:pos="2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50" w:lineRule="exact"/>
        <w:rPr>
          <w:rFonts w:ascii="Arial" w:cs="Arial" w:eastAsia="Arial" w:hAnsi="Arial"/>
          <w:sz w:val="18"/>
          <w:szCs w:val="18"/>
          <w:color w:val="auto"/>
        </w:rPr>
      </w:pPr>
    </w:p>
    <w:p>
      <w:pPr>
        <w:ind w:left="-443" w:right="60" w:firstLine="443"/>
        <w:spacing w:after="0" w:line="332" w:lineRule="auto"/>
        <w:tabs>
          <w:tab w:leader="none" w:pos="2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will promptly deliver to each Underwriter and Fried, Frank, Harris, Shriver &amp; Jacobson LLP, counsel for the Underwriters, a signed copy of the Registration Statement, as initially filed and all amendments thereto, including all consents and exhibits filed therewith;</w:t>
      </w:r>
    </w:p>
    <w:p>
      <w:pPr>
        <w:spacing w:after="0" w:line="4" w:lineRule="exact"/>
        <w:rPr>
          <w:rFonts w:ascii="Arial" w:cs="Arial" w:eastAsia="Arial" w:hAnsi="Arial"/>
          <w:sz w:val="16"/>
          <w:szCs w:val="16"/>
          <w:color w:val="auto"/>
        </w:rPr>
      </w:pPr>
    </w:p>
    <w:p>
      <w:pPr>
        <w:ind w:left="-443" w:right="220" w:firstLine="443"/>
        <w:spacing w:after="0" w:line="268" w:lineRule="auto"/>
        <w:tabs>
          <w:tab w:leader="none" w:pos="2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Pricing Prospectus and the Prospectus;</w:t>
      </w:r>
    </w:p>
    <w:p>
      <w:pPr>
        <w:spacing w:after="0" w:line="50" w:lineRule="exact"/>
        <w:rPr>
          <w:rFonts w:ascii="Arial" w:cs="Arial" w:eastAsia="Arial" w:hAnsi="Arial"/>
          <w:sz w:val="18"/>
          <w:szCs w:val="18"/>
          <w:color w:val="auto"/>
        </w:rPr>
      </w:pPr>
    </w:p>
    <w:p>
      <w:pPr>
        <w:jc w:val="both"/>
        <w:ind w:left="-443" w:right="40" w:firstLine="443"/>
        <w:spacing w:after="0" w:line="306" w:lineRule="auto"/>
        <w:tabs>
          <w:tab w:leader="none" w:pos="2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Company will use its best efforts to maintain its status as a business development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25" w:lineRule="exact"/>
        <w:rPr>
          <w:rFonts w:ascii="Arial" w:cs="Arial" w:eastAsia="Arial" w:hAnsi="Arial"/>
          <w:sz w:val="16"/>
          <w:szCs w:val="16"/>
          <w:color w:val="auto"/>
        </w:rPr>
      </w:pPr>
    </w:p>
    <w:p>
      <w:pPr>
        <w:ind w:left="-443" w:right="400" w:firstLine="443"/>
        <w:spacing w:after="0" w:line="256" w:lineRule="auto"/>
        <w:tabs>
          <w:tab w:leader="none" w:pos="2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qualify for and elect to be treated as a regulated investment company under Subchapter M of the Code, commencing with its taxable year ending September 30, 2011, and to maintain such qualification and election in effect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discretion of the Company’s board of directors, the Company may elect not to be so treated;</w:t>
      </w:r>
    </w:p>
    <w:p>
      <w:pPr>
        <w:spacing w:after="0" w:line="62" w:lineRule="exact"/>
        <w:rPr>
          <w:rFonts w:ascii="Arial" w:cs="Arial" w:eastAsia="Arial" w:hAnsi="Arial"/>
          <w:sz w:val="18"/>
          <w:szCs w:val="18"/>
          <w:color w:val="auto"/>
        </w:rPr>
      </w:pPr>
    </w:p>
    <w:p>
      <w:pPr>
        <w:ind w:left="-443" w:firstLine="443"/>
        <w:spacing w:after="0" w:line="291" w:lineRule="auto"/>
        <w:tabs>
          <w:tab w:leader="none" w:pos="2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w:t>
      </w:r>
    </w:p>
    <w:p>
      <w:pPr>
        <w:sectPr>
          <w:pgSz w:w="11900" w:h="16838" w:orient="portrait"/>
          <w:cols w:equalWidth="0" w:num="1">
            <w:col w:w="10517"/>
          </w:cols>
          <w:pgMar w:left="1143" w:top="280" w:right="239" w:bottom="1440" w:gutter="0" w:footer="0" w:header="0"/>
        </w:sectPr>
      </w:pPr>
    </w:p>
    <w:bookmarkStart w:id="23" w:name="page24"/>
    <w:bookmarkEnd w:id="23"/>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Market or NASDAQ Global Select Market, (v) any filing for review of the public offering of the Shares by FINRA, including the reasonable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w:t>
      </w:r>
    </w:p>
    <w:p>
      <w:pPr>
        <w:spacing w:after="0" w:line="2" w:lineRule="exact"/>
        <w:rPr>
          <w:sz w:val="20"/>
          <w:szCs w:val="20"/>
          <w:color w:val="auto"/>
        </w:rPr>
      </w:pPr>
    </w:p>
    <w:p>
      <w:pPr>
        <w:ind w:right="20" w:firstLine="4"/>
        <w:spacing w:after="0" w:line="290" w:lineRule="auto"/>
        <w:tabs>
          <w:tab w:leader="none" w:pos="3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fees and disbursements of any transfer agent or registrar for the Shares, and (viii) the performance of the Company’s other obligations hereunder which are not specifically provided for in this Section 5(p). It is understood, however, that except as provided in this Section, Section 7 and Section 8, the Underwriters will pay all of their costs and expenses, including fees and disbursements of their counsel, stock transfer taxes payable in respect of any of the Shares and any advertising expenses connected with any offers they may make. It is further understood that, in accordance with Rule 5110(f)(2)(D) of the Corporate Financing Rule of FINRA, in the event this Agreement is terminated, the Underwriters will be reimbursed, subject to Section 7, only for actual accountable out-of-pocket expenses which they have incurred in connection with the transactions contemplated by this Agreement;</w:t>
      </w:r>
    </w:p>
    <w:p>
      <w:pPr>
        <w:spacing w:after="0" w:line="37" w:lineRule="exact"/>
        <w:rPr>
          <w:rFonts w:ascii="Arial" w:cs="Arial" w:eastAsia="Arial" w:hAnsi="Arial"/>
          <w:sz w:val="16"/>
          <w:szCs w:val="16"/>
          <w:color w:val="auto"/>
        </w:rPr>
      </w:pPr>
    </w:p>
    <w:p>
      <w:pPr>
        <w:ind w:firstLine="443"/>
        <w:spacing w:after="0" w:line="285" w:lineRule="auto"/>
        <w:tabs>
          <w:tab w:leader="none" w:pos="687"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that the Company shall not sell, offer to sell, contract or agree to sell, hypothecate, pledge, grant any option to purchase or otherwise dispose of, directly or indirectly, any Common Stock or securities convertible into or exchangeable or exercisable for Common Stock or warrants or other rights to purchase 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180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without the prior written consent of the Joint Book-Running Managers which may not be unreasonably withheld. The foregoing sentence shall not apply to (A) the registration of the Shares and the sales to the Underwriters pursuant to this Agreement, (B) bona fide gifts, provided the recipient thereof agrees in writing to be bound by the terms of the Lock-Up Agreement, (C) disposition to any trust for the direct or indirect benefit of the applicable party to a Lock-Up Agreement and/or the immediate family of such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trust agrees in writing to be bound by the terms of the applicable Lock-Up Agreement, or (D) any issuance of shares of Common Stock pursuant to the Company’s dividend reinvestment plan. Notwithstanding the foregoing, for the purpose of allowing the Underwriters to comply with FINRA Rule 2711(f)(4), if (i) during the last 17 days of the Lock-Up Period, the Company releases earnings results or publicly announces other material news or a material event relating to the Company occurs or (ii) prior to the expiration of the Lock-Up Period, the Company announces that it will release earnings results during the 16 day period beginning on the last day of the Lock-Up Period, then in each case the Lock-Up Period will be extended until the expiration of the 18-day period beginning on the date of release of the earnings results or the public announcement regarding the material news or the occurrence of the material event, as applicable, unless the Joint Book-Running Managers waive, in writing, such extension; and</w:t>
      </w:r>
    </w:p>
    <w:p>
      <w:pPr>
        <w:sectPr>
          <w:pgSz w:w="11900" w:h="16838" w:orient="portrait"/>
          <w:cols w:equalWidth="0" w:num="1">
            <w:col w:w="10960"/>
          </w:cols>
          <w:pgMar w:left="700" w:top="280" w:right="239" w:bottom="1440" w:gutter="0" w:footer="0" w:header="0"/>
        </w:sectPr>
      </w:pPr>
    </w:p>
    <w:bookmarkStart w:id="24" w:name="page25"/>
    <w:bookmarkEnd w:id="24"/>
    <w:p>
      <w:pPr>
        <w:ind w:left="-4" w:right="360" w:firstLine="443"/>
        <w:spacing w:after="0" w:line="268" w:lineRule="auto"/>
        <w:tabs>
          <w:tab w:leader="none" w:pos="653"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use its best efforts to cause the Shares to be duly authorized for listing on the NASDAQ Global Market or NASDAQ Global Select Market prior to the date the Shares are issued.</w:t>
      </w:r>
    </w:p>
    <w:p>
      <w:pPr>
        <w:spacing w:after="0" w:line="131" w:lineRule="exact"/>
        <w:rPr>
          <w:rFonts w:ascii="Arial" w:cs="Arial" w:eastAsia="Arial" w:hAnsi="Arial"/>
          <w:sz w:val="18"/>
          <w:szCs w:val="18"/>
          <w:color w:val="auto"/>
        </w:rPr>
      </w:pPr>
    </w:p>
    <w:p>
      <w:pPr>
        <w:jc w:val="both"/>
        <w:ind w:left="-464" w:right="220" w:firstLine="464"/>
        <w:spacing w:after="0" w:line="256" w:lineRule="auto"/>
        <w:tabs>
          <w:tab w:leader="none" w:pos="16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62" w:lineRule="exact"/>
        <w:rPr>
          <w:rFonts w:ascii="Arial" w:cs="Arial" w:eastAsia="Arial" w:hAnsi="Arial"/>
          <w:sz w:val="18"/>
          <w:szCs w:val="18"/>
          <w:color w:val="auto"/>
        </w:rPr>
      </w:pPr>
    </w:p>
    <w:p>
      <w:pPr>
        <w:ind w:left="-4" w:right="40" w:firstLine="443"/>
        <w:spacing w:after="0" w:line="256" w:lineRule="auto"/>
        <w:tabs>
          <w:tab w:leader="none" w:pos="673"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62" w:lineRule="exact"/>
        <w:rPr>
          <w:rFonts w:ascii="Arial" w:cs="Arial" w:eastAsia="Arial" w:hAnsi="Arial"/>
          <w:sz w:val="18"/>
          <w:szCs w:val="18"/>
          <w:color w:val="auto"/>
        </w:rPr>
      </w:pPr>
    </w:p>
    <w:p>
      <w:pPr>
        <w:ind w:left="-4" w:right="360" w:firstLine="443"/>
        <w:spacing w:after="0" w:line="306" w:lineRule="auto"/>
        <w:tabs>
          <w:tab w:leader="none" w:pos="682"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opinion of Venable LLP described in this Section 6(b) shall be rendered to the Underwriters at the request of the Company and shall so state therein.</w:t>
      </w:r>
    </w:p>
    <w:p>
      <w:pPr>
        <w:spacing w:after="0" w:line="25" w:lineRule="exact"/>
        <w:rPr>
          <w:rFonts w:ascii="Arial" w:cs="Arial" w:eastAsia="Arial" w:hAnsi="Arial"/>
          <w:sz w:val="16"/>
          <w:szCs w:val="16"/>
          <w:color w:val="auto"/>
        </w:rPr>
      </w:pPr>
    </w:p>
    <w:p>
      <w:pPr>
        <w:ind w:left="-4" w:right="200" w:firstLine="443"/>
        <w:spacing w:after="0" w:line="298" w:lineRule="auto"/>
        <w:tabs>
          <w:tab w:leader="none" w:pos="673" w:val="left"/>
        </w:tabs>
        <w:numPr>
          <w:ilvl w:val="1"/>
          <w:numId w:val="29"/>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31" w:lineRule="exact"/>
        <w:rPr>
          <w:rFonts w:ascii="Arial" w:cs="Arial" w:eastAsia="Arial" w:hAnsi="Arial"/>
          <w:sz w:val="16"/>
          <w:szCs w:val="16"/>
          <w:color w:val="auto"/>
        </w:rPr>
      </w:pPr>
    </w:p>
    <w:p>
      <w:pPr>
        <w:ind w:left="-4" w:firstLine="443"/>
        <w:spacing w:after="0" w:line="259" w:lineRule="auto"/>
        <w:tabs>
          <w:tab w:leader="none" w:pos="6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Fried, Frank, Harris, Shriver &amp; Jacobson LLP, counsel for the Underwriters, dated the time of purchase or the additional time of purchase, as the case may be, with respect the sale of the Shares and other related matters as the Underwriters may require.</w:t>
      </w:r>
    </w:p>
    <w:p>
      <w:pPr>
        <w:spacing w:after="0" w:line="59" w:lineRule="exact"/>
        <w:rPr>
          <w:rFonts w:ascii="Arial" w:cs="Arial" w:eastAsia="Arial" w:hAnsi="Arial"/>
          <w:sz w:val="18"/>
          <w:szCs w:val="18"/>
          <w:color w:val="auto"/>
        </w:rPr>
      </w:pPr>
    </w:p>
    <w:p>
      <w:pPr>
        <w:ind w:left="-4" w:right="40" w:firstLine="443"/>
        <w:spacing w:after="0" w:line="294" w:lineRule="auto"/>
        <w:tabs>
          <w:tab w:leader="none" w:pos="673" w:val="left"/>
        </w:tabs>
        <w:numPr>
          <w:ilvl w:val="1"/>
          <w:numId w:val="29"/>
        </w:numPr>
        <w:rPr>
          <w:rFonts w:ascii="Arial" w:cs="Arial" w:eastAsia="Arial" w:hAnsi="Arial"/>
          <w:sz w:val="16"/>
          <w:szCs w:val="16"/>
          <w:color w:val="auto"/>
        </w:rPr>
      </w:pPr>
      <w:r>
        <w:rPr>
          <w:rFonts w:ascii="Arial" w:cs="Arial" w:eastAsia="Arial" w:hAnsi="Arial"/>
          <w:sz w:val="16"/>
          <w:szCs w:val="16"/>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w:t>
      </w:r>
    </w:p>
    <w:p>
      <w:pPr>
        <w:sectPr>
          <w:pgSz w:w="11900" w:h="16838" w:orient="portrait"/>
          <w:cols w:equalWidth="0" w:num="1">
            <w:col w:w="10956"/>
          </w:cols>
          <w:pgMar w:left="704"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the statements therein, in the light of the circumstances under which they are made, not misleading.</w:t>
      </w:r>
    </w:p>
    <w:p>
      <w:pPr>
        <w:spacing w:after="0" w:line="90" w:lineRule="exact"/>
        <w:rPr>
          <w:sz w:val="20"/>
          <w:szCs w:val="20"/>
          <w:color w:val="auto"/>
        </w:rPr>
      </w:pPr>
    </w:p>
    <w:p>
      <w:pPr>
        <w:ind w:right="40" w:firstLine="443"/>
        <w:spacing w:after="0" w:line="259" w:lineRule="auto"/>
        <w:tabs>
          <w:tab w:leader="none" w:pos="657"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or the Adviser, taken as a whole, shall occur or become known.</w:t>
      </w:r>
    </w:p>
    <w:p>
      <w:pPr>
        <w:spacing w:after="0" w:line="59" w:lineRule="exact"/>
        <w:rPr>
          <w:rFonts w:ascii="Arial" w:cs="Arial" w:eastAsia="Arial" w:hAnsi="Arial"/>
          <w:sz w:val="18"/>
          <w:szCs w:val="18"/>
          <w:color w:val="auto"/>
        </w:rPr>
      </w:pPr>
    </w:p>
    <w:p>
      <w:pPr>
        <w:ind w:right="500" w:firstLine="443"/>
        <w:spacing w:after="0" w:line="332" w:lineRule="auto"/>
        <w:tabs>
          <w:tab w:leader="none" w:pos="687"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Each of the Company, the Adviser and the Administrator will, at the time of purchase and, if applicable, at the additional time of purchase, deliver to you a certificate of its Chief Executive Officer and its Chief Financial Officer in the form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3(r) hereof.</w:t>
      </w:r>
    </w:p>
    <w:p>
      <w:pPr>
        <w:spacing w:after="0" w:line="90" w:lineRule="exact"/>
        <w:rPr>
          <w:rFonts w:ascii="Arial" w:cs="Arial" w:eastAsia="Arial" w:hAnsi="Arial"/>
          <w:sz w:val="18"/>
          <w:szCs w:val="18"/>
          <w:color w:val="auto"/>
        </w:rPr>
      </w:pPr>
    </w:p>
    <w:p>
      <w:pPr>
        <w:ind w:right="240" w:firstLine="443"/>
        <w:spacing w:after="0" w:line="268"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Morgan Stanley &amp; Co. Incorporated shall have received the Adviser Sales Load payment with respect to the Firm Shares and, if applicable, the Additional Shares, from the Adviser.</w:t>
      </w:r>
    </w:p>
    <w:p>
      <w:pPr>
        <w:spacing w:after="0" w:line="50" w:lineRule="exact"/>
        <w:rPr>
          <w:rFonts w:ascii="Arial" w:cs="Arial" w:eastAsia="Arial" w:hAnsi="Arial"/>
          <w:sz w:val="18"/>
          <w:szCs w:val="18"/>
          <w:color w:val="auto"/>
        </w:rPr>
      </w:pPr>
    </w:p>
    <w:p>
      <w:pPr>
        <w:ind w:right="100" w:firstLine="443"/>
        <w:spacing w:after="0" w:line="268"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Global Market or NASDAQ Global Select Market, subject only to notice of issuance at or prior to the time of purchase and the additional time of purchase, as the case may be.</w:t>
      </w:r>
    </w:p>
    <w:p>
      <w:pPr>
        <w:spacing w:after="0" w:line="50" w:lineRule="exact"/>
        <w:rPr>
          <w:rFonts w:ascii="Arial" w:cs="Arial" w:eastAsia="Arial" w:hAnsi="Arial"/>
          <w:sz w:val="18"/>
          <w:szCs w:val="18"/>
          <w:color w:val="auto"/>
        </w:rPr>
      </w:pPr>
    </w:p>
    <w:p>
      <w:pPr>
        <w:ind w:right="60" w:firstLine="443"/>
        <w:spacing w:after="0" w:line="259" w:lineRule="auto"/>
        <w:tabs>
          <w:tab w:leader="none" w:pos="6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40" w:lineRule="exact"/>
        <w:rPr>
          <w:rFonts w:ascii="Arial" w:cs="Arial" w:eastAsia="Arial" w:hAnsi="Arial"/>
          <w:sz w:val="18"/>
          <w:szCs w:val="18"/>
          <w:color w:val="auto"/>
        </w:rPr>
      </w:pPr>
    </w:p>
    <w:p>
      <w:pPr>
        <w:ind w:left="-460" w:firstLine="464"/>
        <w:spacing w:after="0" w:line="308" w:lineRule="auto"/>
        <w:tabs>
          <w:tab w:leader="none" w:pos="172"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the NASDAQ Global Market or NASDAQ Global Select Market; (ii) a suspension or material limitation in trading in the Company’s securities on any exchange on which the Company’s securities are listed; (iii) a general moratorium on commercial banking activities declared by either federal or New York State authorities or a material disruption in commercial banking or securities settlement, payment or clearance services in the United States; (iv) an</w:t>
      </w:r>
    </w:p>
    <w:p>
      <w:pPr>
        <w:sectPr>
          <w:pgSz w:w="11900" w:h="16838" w:orient="portrait"/>
          <w:cols w:equalWidth="0" w:num="1">
            <w:col w:w="10940"/>
          </w:cols>
          <w:pgMar w:left="70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outbreak or escalation of hostilities or acts of terrorism involving the United States or a declaration by the United States of a national emergency or war; or</w:t>
      </w:r>
    </w:p>
    <w:p>
      <w:pPr>
        <w:spacing w:after="0" w:line="38" w:lineRule="exact"/>
        <w:rPr>
          <w:sz w:val="20"/>
          <w:szCs w:val="20"/>
          <w:color w:val="auto"/>
        </w:rPr>
      </w:pPr>
    </w:p>
    <w:p>
      <w:pPr>
        <w:ind w:right="80" w:firstLine="8"/>
        <w:spacing w:after="0" w:line="254"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44"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8), and the Underwriters shall be under no obligation or liability to the Company under this Agreement (except to the extent provided in Section 9 hereof) or to one another hereunder.</w:t>
      </w:r>
    </w:p>
    <w:p>
      <w:pPr>
        <w:spacing w:after="0" w:line="113" w:lineRule="exact"/>
        <w:rPr>
          <w:sz w:val="20"/>
          <w:szCs w:val="20"/>
          <w:color w:val="auto"/>
        </w:rPr>
      </w:pPr>
    </w:p>
    <w:p>
      <w:pPr>
        <w:ind w:right="20" w:firstLine="464"/>
        <w:spacing w:after="0" w:line="288" w:lineRule="auto"/>
        <w:tabs>
          <w:tab w:leader="none" w:pos="63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ectPr>
          <w:pgSz w:w="11900" w:h="16838" w:orient="portrait"/>
          <w:cols w:equalWidth="0" w:num="1">
            <w:col w:w="11360"/>
          </w:cols>
          <w:pgMar w:left="240" w:top="280" w:right="299" w:bottom="1440" w:gutter="0" w:footer="0" w:header="0"/>
        </w:sectPr>
      </w:pPr>
    </w:p>
    <w:bookmarkStart w:id="27" w:name="page28"/>
    <w:bookmarkEnd w:id="27"/>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201"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Indemnity and Contribution.</w:t>
      </w:r>
    </w:p>
    <w:p>
      <w:pPr>
        <w:spacing w:after="0" w:line="90" w:lineRule="exact"/>
        <w:rPr>
          <w:rFonts w:ascii="Arial" w:cs="Arial" w:eastAsia="Arial" w:hAnsi="Arial"/>
          <w:sz w:val="18"/>
          <w:szCs w:val="18"/>
          <w:color w:val="auto"/>
        </w:rPr>
      </w:pPr>
    </w:p>
    <w:p>
      <w:pPr>
        <w:ind w:firstLine="921"/>
        <w:spacing w:after="0" w:line="285" w:lineRule="auto"/>
        <w:tabs>
          <w:tab w:leader="none" w:pos="1152" w:val="left"/>
        </w:tabs>
        <w:numPr>
          <w:ilvl w:val="1"/>
          <w:numId w:val="34"/>
        </w:numPr>
        <w:rPr>
          <w:rFonts w:ascii="Arial" w:cs="Arial" w:eastAsia="Arial" w:hAnsi="Arial"/>
          <w:sz w:val="16"/>
          <w:szCs w:val="16"/>
          <w:color w:val="auto"/>
        </w:rPr>
      </w:pPr>
      <w:r>
        <w:rPr>
          <w:rFonts w:ascii="Arial" w:cs="Arial" w:eastAsia="Arial" w:hAnsi="Arial"/>
          <w:sz w:val="16"/>
          <w:szCs w:val="16"/>
          <w:color w:val="auto"/>
        </w:rPr>
        <w:t>(1)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or the Prospectus or arising out of or based upon any omission or alleged omission to state a material 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24" w:lineRule="exact"/>
        <w:rPr>
          <w:sz w:val="20"/>
          <w:szCs w:val="20"/>
          <w:color w:val="auto"/>
        </w:rPr>
      </w:pPr>
    </w:p>
    <w:p>
      <w:pPr>
        <w:ind w:firstLine="464"/>
        <w:spacing w:after="0" w:line="256"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w:t>
      </w:r>
    </w:p>
    <w:p>
      <w:pPr>
        <w:sectPr>
          <w:pgSz w:w="11900" w:h="16838" w:orient="portrait"/>
          <w:cols w:equalWidth="0" w:num="1">
            <w:col w:w="11420"/>
          </w:cols>
          <w:pgMar w:left="240" w:top="280" w:right="239" w:bottom="1440" w:gutter="0" w:footer="0" w:header="0"/>
        </w:sectPr>
      </w:pPr>
    </w:p>
    <w:bookmarkStart w:id="28" w:name="page29"/>
    <w:bookmarkEnd w:id="2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untrue statement of a material fact contained in the Registration Statement (or in the Registration Statement as amended by any post-effective amendment thereof by the Company), the Pricing Prospectus, any Road Show Materials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Road Show Materials or the Prospectus or necessary to make the statements made therein not misleading or (y) any untrue statement or alleged untrue statement made by the Adviser or the Administrator in Section 4 hereof.</w:t>
      </w:r>
    </w:p>
    <w:p>
      <w:pPr>
        <w:spacing w:after="0" w:line="116" w:lineRule="exact"/>
        <w:rPr>
          <w:sz w:val="20"/>
          <w:szCs w:val="20"/>
          <w:color w:val="auto"/>
        </w:rPr>
      </w:pPr>
    </w:p>
    <w:p>
      <w:pPr>
        <w:ind w:firstLine="464"/>
        <w:spacing w:after="0" w:line="284"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If any action, suit or proceeding (each, a “Proceeding”)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w:t>
      </w:r>
    </w:p>
    <w:p>
      <w:pPr>
        <w:sectPr>
          <w:pgSz w:w="11900" w:h="16838" w:orient="portrait"/>
          <w:cols w:equalWidth="0" w:num="1">
            <w:col w:w="11400"/>
          </w:cols>
          <w:pgMar w:left="240" w:top="280" w:right="259" w:bottom="1440" w:gutter="0" w:footer="0" w:header="0"/>
        </w:sectPr>
      </w:pPr>
    </w:p>
    <w:bookmarkStart w:id="29" w:name="page30"/>
    <w:bookmarkEnd w:id="29"/>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20" w:lineRule="exact"/>
        <w:rPr>
          <w:sz w:val="20"/>
          <w:szCs w:val="20"/>
          <w:color w:val="auto"/>
        </w:rPr>
      </w:pPr>
    </w:p>
    <w:p>
      <w:pPr>
        <w:ind w:firstLine="921"/>
        <w:spacing w:after="0" w:line="286" w:lineRule="auto"/>
        <w:tabs>
          <w:tab w:leader="none" w:pos="11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w:t>
      </w:r>
    </w:p>
    <w:p>
      <w:pPr>
        <w:sectPr>
          <w:pgSz w:w="11900" w:h="16838" w:orient="portrait"/>
          <w:cols w:equalWidth="0" w:num="1">
            <w:col w:w="11400"/>
          </w:cols>
          <w:pgMar w:left="240" w:top="280" w:right="259" w:bottom="1440" w:gutter="0" w:footer="0" w:header="0"/>
        </w:sectPr>
      </w:pPr>
    </w:p>
    <w:bookmarkStart w:id="30" w:name="page31"/>
    <w:bookmarkEnd w:id="3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8" w:lineRule="exact"/>
        <w:rPr>
          <w:sz w:val="20"/>
          <w:szCs w:val="20"/>
          <w:color w:val="auto"/>
        </w:rPr>
      </w:pPr>
    </w:p>
    <w:p>
      <w:pPr>
        <w:ind w:right="260" w:firstLine="921"/>
        <w:spacing w:after="0" w:line="303" w:lineRule="auto"/>
        <w:tabs>
          <w:tab w:leader="none" w:pos="1152" w:val="left"/>
        </w:tabs>
        <w:numPr>
          <w:ilvl w:val="1"/>
          <w:numId w:val="38"/>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w:t>
      </w:r>
    </w:p>
    <w:p>
      <w:pPr>
        <w:spacing w:after="0" w:line="1" w:lineRule="exact"/>
        <w:rPr>
          <w:rFonts w:ascii="Arial" w:cs="Arial" w:eastAsia="Arial" w:hAnsi="Arial"/>
          <w:sz w:val="15"/>
          <w:szCs w:val="15"/>
          <w:color w:val="auto"/>
        </w:rPr>
      </w:pPr>
    </w:p>
    <w:p>
      <w:pPr>
        <w:ind w:right="100" w:firstLine="8"/>
        <w:spacing w:after="0" w:line="286" w:lineRule="auto"/>
        <w:tabs>
          <w:tab w:leader="none" w:pos="2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w:t>
      </w:r>
    </w:p>
    <w:p>
      <w:pPr>
        <w:sectPr>
          <w:pgSz w:w="11900" w:h="16838" w:orient="portrait"/>
          <w:cols w:equalWidth="0" w:num="1">
            <w:col w:w="11400"/>
          </w:cols>
          <w:pgMar w:left="240" w:top="280" w:right="2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40" w:lineRule="exact"/>
        <w:rPr>
          <w:sz w:val="20"/>
          <w:szCs w:val="20"/>
          <w:color w:val="auto"/>
        </w:rPr>
      </w:pPr>
    </w:p>
    <w:p>
      <w:pPr>
        <w:ind w:right="20" w:firstLine="921"/>
        <w:spacing w:after="0" w:line="289" w:lineRule="auto"/>
        <w:tabs>
          <w:tab w:leader="none" w:pos="116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18" w:lineRule="exact"/>
        <w:rPr>
          <w:rFonts w:ascii="Arial" w:cs="Arial" w:eastAsia="Arial" w:hAnsi="Arial"/>
          <w:sz w:val="16"/>
          <w:szCs w:val="16"/>
          <w:color w:val="auto"/>
        </w:rPr>
      </w:pPr>
    </w:p>
    <w:p>
      <w:pPr>
        <w:ind w:right="180" w:firstLine="921"/>
        <w:spacing w:after="0" w:line="287" w:lineRule="auto"/>
        <w:tabs>
          <w:tab w:leader="none" w:pos="11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Pricing Prospectus or the Prospectus.</w:t>
      </w:r>
    </w:p>
    <w:p>
      <w:pPr>
        <w:spacing w:after="0" w:line="122" w:lineRule="exact"/>
        <w:rPr>
          <w:rFonts w:ascii="Arial" w:cs="Arial" w:eastAsia="Arial" w:hAnsi="Arial"/>
          <w:sz w:val="16"/>
          <w:szCs w:val="16"/>
          <w:color w:val="auto"/>
        </w:rPr>
      </w:pPr>
    </w:p>
    <w:p>
      <w:pPr>
        <w:ind w:right="60" w:firstLine="464"/>
        <w:spacing w:after="0" w:line="255"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w:t>
      </w:r>
      <w:r>
        <w:rPr>
          <w:rFonts w:ascii="Arial" w:cs="Arial" w:eastAsia="Arial" w:hAnsi="Arial"/>
          <w:sz w:val="18"/>
          <w:szCs w:val="18"/>
          <w:color w:val="auto"/>
        </w:rPr>
        <w:t>. The Company acknowledges that (i) the statements regarding delivery of the Firm Shares set forth in the last paragraph of the cover page and in the second and third paragraphs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42" w:lineRule="exact"/>
        <w:rPr>
          <w:rFonts w:ascii="Arial" w:cs="Arial" w:eastAsia="Arial" w:hAnsi="Arial"/>
          <w:sz w:val="18"/>
          <w:szCs w:val="18"/>
          <w:color w:val="auto"/>
        </w:rPr>
      </w:pPr>
    </w:p>
    <w:p>
      <w:pPr>
        <w:ind w:right="760" w:firstLine="464"/>
        <w:spacing w:after="0" w:line="332" w:lineRule="auto"/>
        <w:tabs>
          <w:tab w:leader="none" w:pos="71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and, if to the Underwriters, shall be sufficient in all</w:t>
      </w:r>
    </w:p>
    <w:p>
      <w:pPr>
        <w:sectPr>
          <w:pgSz w:w="11900" w:h="16838" w:orient="portrait"/>
          <w:cols w:equalWidth="0" w:num="1">
            <w:col w:w="11420"/>
          </w:cols>
          <w:pgMar w:left="240" w:top="280" w:right="239" w:bottom="1440" w:gutter="0" w:footer="0" w:header="0"/>
        </w:sectPr>
      </w:pPr>
    </w:p>
    <w:bookmarkStart w:id="32" w:name="page33"/>
    <w:bookmarkEnd w:id="3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respects if delivered or sent to Morgan Stanley &amp; Co. Incorporated, 1585 Broadway, New York, New York 10036, Attention: Equity Syndicate Desk, with a copy to the Legal Department and a copy, which shall not constitute notice, to Fried, Frank, Harris, Shriver &amp; Jacobson LLP, One New York Plaza, New York, NY 10004, attention of Paul Tropp, Esq. and, if to the Company, the Adviser or the Administrator shall be sufficient in all respects if delivered or sent to the Company at the offices of the Company at 590 Madison Avenue, 15th Floor, New York, NY 10022, facsimile no. (212) 905-1075, Attention: Arthur Penn.</w:t>
      </w:r>
    </w:p>
    <w:p>
      <w:pPr>
        <w:spacing w:after="0" w:line="113" w:lineRule="exact"/>
        <w:rPr>
          <w:sz w:val="20"/>
          <w:szCs w:val="20"/>
          <w:color w:val="auto"/>
        </w:rPr>
      </w:pPr>
    </w:p>
    <w:p>
      <w:pPr>
        <w:ind w:right="20" w:firstLine="464"/>
        <w:spacing w:after="0" w:line="294"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Governing Law; Construction</w:t>
      </w:r>
      <w:r>
        <w:rPr>
          <w:rFonts w:ascii="Arial" w:cs="Arial" w:eastAsia="Arial" w:hAnsi="Arial"/>
          <w:sz w:val="16"/>
          <w:szCs w:val="16"/>
          <w:color w:val="auto"/>
        </w:rPr>
        <w:t>. This Agreement and any claim, counterclaim or dispute of any kind or nature whatsoever arising out of or in any way relating to this Agreement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15" w:lineRule="exact"/>
        <w:rPr>
          <w:rFonts w:ascii="Arial" w:cs="Arial" w:eastAsia="Arial" w:hAnsi="Arial"/>
          <w:sz w:val="16"/>
          <w:szCs w:val="16"/>
          <w:color w:val="auto"/>
        </w:rPr>
      </w:pPr>
    </w:p>
    <w:p>
      <w:pPr>
        <w:ind w:right="100" w:firstLine="464"/>
        <w:spacing w:after="0" w:line="286"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27" w:lineRule="exact"/>
        <w:rPr>
          <w:rFonts w:ascii="Arial" w:cs="Arial" w:eastAsia="Arial" w:hAnsi="Arial"/>
          <w:sz w:val="16"/>
          <w:szCs w:val="16"/>
          <w:color w:val="auto"/>
        </w:rPr>
      </w:pPr>
    </w:p>
    <w:p>
      <w:pPr>
        <w:ind w:right="240" w:firstLine="464"/>
        <w:spacing w:after="0" w:line="298"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12" w:lineRule="exact"/>
        <w:rPr>
          <w:rFonts w:ascii="Arial" w:cs="Arial" w:eastAsia="Arial" w:hAnsi="Arial"/>
          <w:sz w:val="16"/>
          <w:szCs w:val="16"/>
          <w:color w:val="auto"/>
        </w:rPr>
      </w:pPr>
    </w:p>
    <w:p>
      <w:pPr>
        <w:ind w:right="300" w:firstLine="464"/>
        <w:spacing w:after="0" w:line="26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ectPr>
          <w:pgSz w:w="11900" w:h="16838" w:orient="portrait"/>
          <w:cols w:equalWidth="0" w:num="1">
            <w:col w:w="11420"/>
          </w:cols>
          <w:pgMar w:left="240" w:top="280" w:right="239" w:bottom="1440" w:gutter="0" w:footer="0" w:header="0"/>
        </w:sectPr>
      </w:pPr>
    </w:p>
    <w:bookmarkStart w:id="33" w:name="page34"/>
    <w:bookmarkEnd w:id="33"/>
    <w:p>
      <w:pPr>
        <w:ind w:left="-60" w:firstLine="464"/>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40" w:lineRule="exact"/>
        <w:rPr>
          <w:rFonts w:ascii="Arial" w:cs="Arial" w:eastAsia="Arial" w:hAnsi="Arial"/>
          <w:sz w:val="18"/>
          <w:szCs w:val="18"/>
          <w:color w:val="auto"/>
        </w:rPr>
      </w:pPr>
    </w:p>
    <w:p>
      <w:pPr>
        <w:ind w:left="-60" w:firstLine="464"/>
        <w:spacing w:after="0" w:line="28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deemed appropriate.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300"/>
          </w:cols>
          <w:pgMar w:left="300" w:top="280" w:right="299" w:bottom="1440" w:gutter="0" w:footer="0" w:header="0"/>
        </w:sectPr>
      </w:pPr>
    </w:p>
    <w:bookmarkStart w:id="34" w:name="page35"/>
    <w:bookmarkEnd w:id="34"/>
    <w:p>
      <w:pPr>
        <w:ind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LTD.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Chairman of the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Board of Directors</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LLC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ADMINISTRATION, LLC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ectPr>
          <w:pgSz w:w="11900" w:h="16838" w:orient="portrait"/>
          <w:cols w:equalWidth="0" w:num="1">
            <w:col w:w="11240"/>
          </w:cols>
          <w:pgMar w:left="240" w:top="280"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behalf of themselves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other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 MORGAN STANLEY &amp; CO. INCORPORATED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2400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 SUNTRUST ROBINSON HUMPHREY,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2400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UBS SECURITIES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2400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24009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(k)(5)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PennantPark Floating Rate Capital Ltd.]</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April</w:t>
        <w:tab/>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-13970</wp:posOffset>
            </wp:positionV>
            <wp:extent cx="111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Repayment of Sales Load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your agreement to pay to the underwriters 2.0% of the sales load in connection with the initial public offering of common stock (the “IPO”)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(“PFLT”), we hereby agree as follows:</w:t>
      </w:r>
    </w:p>
    <w:p>
      <w:pPr>
        <w:spacing w:after="0" w:line="165" w:lineRule="exact"/>
        <w:rPr>
          <w:sz w:val="20"/>
          <w:szCs w:val="20"/>
          <w:color w:val="auto"/>
        </w:rPr>
      </w:pPr>
    </w:p>
    <w:p>
      <w:pPr>
        <w:ind w:right="140" w:firstLine="8"/>
        <w:spacing w:after="0" w:line="268" w:lineRule="auto"/>
        <w:tabs>
          <w:tab w:leader="none" w:pos="1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$3,000,000 (or up to $3,450,000 upon exercise by the underwriters in full of their overallotment option) paid by you (the “Sales Load Amount”) shall not bear interest at any time.</w:t>
      </w:r>
    </w:p>
    <w:p>
      <w:pPr>
        <w:spacing w:after="0" w:line="131" w:lineRule="exact"/>
        <w:rPr>
          <w:rFonts w:ascii="Arial" w:cs="Arial" w:eastAsia="Arial" w:hAnsi="Arial"/>
          <w:sz w:val="18"/>
          <w:szCs w:val="18"/>
          <w:color w:val="auto"/>
        </w:rPr>
      </w:pPr>
    </w:p>
    <w:p>
      <w:pPr>
        <w:ind w:right="160" w:firstLine="8"/>
        <w:spacing w:after="0" w:line="291" w:lineRule="auto"/>
        <w:tabs>
          <w:tab w:leader="none" w:pos="176"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later than two business days after a Payment Event (as defined below) has been determined to have occurred, PFLT shall pay you the Sales Load Amount. In this letter agreement, we refer to the payment date with respect to any Payment Event as the “Payment Date.” On the Payment Date, (a) PFLT shall pay the Final Amount to you in cash, and (b) you, directly or through your affiliates or employees, shall use all of such payment amount to purchase shares of common stock of PFLT in the secondary market within 180 days of the Payment Date or as soon as reasonably practicable thereafter. All cash payments in respect of the Final Amount shall be made to you in U.S. dollars by wire transfer of immediately available funds. In the event of any liquidation, dissolution or winding up of PFLT, the Final Amount shall be paid to you prior to the distribution of any assets to holders of PFLT’s common stock.</w:t>
      </w:r>
    </w:p>
    <w:p>
      <w:pPr>
        <w:spacing w:after="0" w:line="120" w:lineRule="exact"/>
        <w:rPr>
          <w:sz w:val="20"/>
          <w:szCs w:val="20"/>
          <w:color w:val="auto"/>
        </w:rPr>
      </w:pPr>
    </w:p>
    <w:p>
      <w:pPr>
        <w:spacing w:after="0"/>
        <w:tabs>
          <w:tab w:leader="none" w:pos="7560" w:val="left"/>
        </w:tabs>
        <w:rPr>
          <w:sz w:val="20"/>
          <w:szCs w:val="20"/>
          <w:color w:val="auto"/>
        </w:rPr>
      </w:pPr>
      <w:r>
        <w:rPr>
          <w:rFonts w:ascii="Arial" w:cs="Arial" w:eastAsia="Arial" w:hAnsi="Arial"/>
          <w:sz w:val="16"/>
          <w:szCs w:val="16"/>
          <w:color w:val="auto"/>
        </w:rPr>
        <w:t>3. A Payment Event shall mean the occurrence of one or more of the following events on or before April</w:t>
      </w:r>
      <w:r>
        <w:rPr>
          <w:sz w:val="20"/>
          <w:szCs w:val="20"/>
          <w:color w:val="auto"/>
        </w:rPr>
        <w:tab/>
      </w:r>
      <w:r>
        <w:rPr>
          <w:rFonts w:ascii="Arial" w:cs="Arial" w:eastAsia="Arial" w:hAnsi="Arial"/>
          <w:sz w:val="15"/>
          <w:szCs w:val="15"/>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0</wp:posOffset>
            </wp:positionV>
            <wp:extent cx="111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ind w:right="20" w:firstLine="464"/>
        <w:spacing w:after="0" w:line="268"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during any consecutive four calendar quarter period ending on or after the one year anniversary of the date of the closing of the IPO, the pre-Incentive Fee net investment income of PFLT (as such term is defined in the Investment Advisory Agreement dated as</w:t>
      </w:r>
    </w:p>
    <w:p>
      <w:pPr>
        <w:sectPr>
          <w:pgSz w:w="11900" w:h="16838" w:orient="portrait"/>
          <w:cols w:equalWidth="0" w:num="1">
            <w:col w:w="11420"/>
          </w:cols>
          <w:pgMar w:left="240" w:top="125" w:right="239" w:bottom="1440" w:gutter="0" w:footer="0" w:header="0"/>
        </w:sectPr>
      </w:pPr>
    </w:p>
    <w:bookmarkStart w:id="37" w:name="page38"/>
    <w:bookmarkEnd w:id="37"/>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April __, 2011 between you and PFLT) equals or exceeds 7.0% of PFLT’s net assets at the beginning of such period (as adjusted for any share issuances or repurchases);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upon any liquidation, dissolution or winding up of PFLT.</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4. If a Payment Event does not occur on or before April , 2015, PFLT’s obligation to pay you the Final Amount shall automatically terminate, and this letter agreement shall be of no further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-175895</wp:posOffset>
            </wp:positionV>
            <wp:extent cx="111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2" w:lineRule="exact"/>
        <w:rPr>
          <w:sz w:val="20"/>
          <w:szCs w:val="20"/>
          <w:color w:val="auto"/>
        </w:rPr>
      </w:pPr>
    </w:p>
    <w:p>
      <w:pPr>
        <w:ind w:right="760" w:firstLine="8"/>
        <w:spacing w:after="0" w:line="332" w:lineRule="auto"/>
        <w:tabs>
          <w:tab w:leader="none" w:pos="17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rights and obligations of PFLT hereunder shall be binding upon PFLT and its successors in interest and shall inure to the benefit of you and your successors, assigns, and transferees. Neither party may assign this letter agreement without the consent of the other party hereto.</w:t>
      </w:r>
    </w:p>
    <w:p>
      <w:pPr>
        <w:spacing w:after="0" w:line="85" w:lineRule="exact"/>
        <w:rPr>
          <w:rFonts w:ascii="Arial" w:cs="Arial" w:eastAsia="Arial" w:hAnsi="Arial"/>
          <w:sz w:val="16"/>
          <w:szCs w:val="16"/>
          <w:color w:val="auto"/>
        </w:rPr>
      </w:pPr>
    </w:p>
    <w:p>
      <w:pPr>
        <w:ind w:firstLine="8"/>
        <w:spacing w:after="0" w:line="294" w:lineRule="auto"/>
        <w:tabs>
          <w:tab w:leader="none" w:pos="17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Any action or proceeding seeking to enforce any provision of, or based on any right arising out of, this Agreement may be brought against any of the parties in the courts of the State of New York, or, if it has or can acquire jurisdiction, in the U.S. District Court for the Southern District of New York,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1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letter agreement may be executed in one or more counterparts, each of which shall be deemed to be an original copy of this letter agreement and all of which, when taken together, shall be deemed to constitute one and the same agreement.</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letter agreement may not be modified, waived, discharged, or terminated orally, but only by an instrument in writing signed by the parties hereto.</w:t>
      </w:r>
    </w:p>
    <w:p>
      <w:pPr>
        <w:spacing w:after="0" w:line="194" w:lineRule="exact"/>
        <w:rPr>
          <w:rFonts w:ascii="Arial" w:cs="Arial" w:eastAsia="Arial" w:hAnsi="Arial"/>
          <w:sz w:val="16"/>
          <w:szCs w:val="16"/>
          <w:color w:val="auto"/>
        </w:rPr>
      </w:pPr>
    </w:p>
    <w:p>
      <w:pPr>
        <w:ind w:firstLine="8"/>
        <w:spacing w:after="0" w:line="332" w:lineRule="auto"/>
        <w:tabs>
          <w:tab w:leader="none" w:pos="17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any provision of this letter agreement shall for any reason be held to be invalid or unenforceable, such invalidity or unenforceability shall not affect any other provision hereof, but this letter agreement shall be construed as if such invalid or unenforceable provision had never been contained herein.</w:t>
      </w:r>
    </w:p>
    <w:p>
      <w:pPr>
        <w:sectPr>
          <w:pgSz w:w="11900" w:h="16838" w:orient="portrait"/>
          <w:cols w:equalWidth="0" w:num="1">
            <w:col w:w="11400"/>
          </w:cols>
          <w:pgMar w:left="240" w:top="280" w:right="25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signature below shall signify your agreement with the foregoing letter agreement. Please sign two copies of this letter agreement, retaining one for your files and returning the other copy to PennantPark Floating Rate Capital Ltd.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Arthur H. Penn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10"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Duly executed and agreed on April</w:t>
      </w:r>
      <w:r>
        <w:rPr>
          <w:sz w:val="20"/>
          <w:szCs w:val="20"/>
          <w:color w:val="auto"/>
        </w:rPr>
        <w:tab/>
      </w:r>
      <w:r>
        <w:rPr>
          <w:rFonts w:ascii="Arial" w:cs="Arial" w:eastAsia="Arial" w:hAnsi="Arial"/>
          <w:sz w:val="16"/>
          <w:szCs w:val="16"/>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-13970</wp:posOffset>
            </wp:positionV>
            <wp:extent cx="1117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ectPr>
          <w:pgSz w:w="11900" w:h="16838" w:orient="portrait"/>
          <w:cols w:equalWidth="0" w:num="1">
            <w:col w:w="11400"/>
          </w:cols>
          <w:pgMar w:left="240" w:top="280"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(l)(1)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2780" w:type="dxa"/>
            <w:vAlign w:val="bottom"/>
            <w:gridSpan w:val="4"/>
          </w:tcPr>
          <w:p>
            <w:pPr>
              <w:ind w:left="160"/>
              <w:spacing w:after="0"/>
              <w:rPr>
                <w:sz w:val="20"/>
                <w:szCs w:val="20"/>
                <w:color w:val="auto"/>
              </w:rPr>
            </w:pPr>
            <w:r>
              <w:rPr>
                <w:rFonts w:ascii="Arial" w:cs="Arial" w:eastAsia="Arial" w:hAnsi="Arial"/>
                <w:sz w:val="18"/>
                <w:szCs w:val="18"/>
                <w:color w:val="auto"/>
                <w:w w:val="88"/>
              </w:rPr>
              <w:t>Registration Statement on Form N-2:</w:t>
            </w:r>
          </w:p>
        </w:tc>
      </w:tr>
      <w:tr>
        <w:trPr>
          <w:trHeight w:val="216"/>
        </w:trPr>
        <w:tc>
          <w:tcPr>
            <w:tcW w:w="40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1933</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Act File No.: 333-170243</w:t>
            </w:r>
          </w:p>
        </w:tc>
      </w:tr>
      <w:tr>
        <w:trPr>
          <w:trHeight w:val="184"/>
        </w:trPr>
        <w:tc>
          <w:tcPr>
            <w:tcW w:w="400" w:type="dxa"/>
            <w:vAlign w:val="bottom"/>
          </w:tcPr>
          <w:p>
            <w:pPr>
              <w:spacing w:after="0"/>
              <w:rPr>
                <w:sz w:val="15"/>
                <w:szCs w:val="15"/>
                <w:color w:val="auto"/>
              </w:rPr>
            </w:pPr>
          </w:p>
        </w:tc>
        <w:tc>
          <w:tcPr>
            <w:tcW w:w="540" w:type="dxa"/>
            <w:vAlign w:val="bottom"/>
            <w:gridSpan w:val="2"/>
          </w:tcPr>
          <w:p>
            <w:pPr>
              <w:ind w:left="180"/>
              <w:spacing w:after="0" w:line="184" w:lineRule="exact"/>
              <w:rPr>
                <w:sz w:val="20"/>
                <w:szCs w:val="20"/>
                <w:color w:val="auto"/>
              </w:rPr>
            </w:pPr>
            <w:r>
              <w:rPr>
                <w:rFonts w:ascii="Arial" w:cs="Arial" w:eastAsia="Arial" w:hAnsi="Arial"/>
                <w:sz w:val="18"/>
                <w:szCs w:val="18"/>
                <w:color w:val="auto"/>
                <w:w w:val="84"/>
              </w:rPr>
              <w:t>1940</w:t>
            </w:r>
          </w:p>
        </w:tc>
        <w:tc>
          <w:tcPr>
            <w:tcW w:w="224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Act File No.: 811-22489</w:t>
            </w: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registered under the Investment Company Act of 1940, as amended (the “1940 Act”), as a closed-end management investment company (that intends to file an election to be treated as a business development company under the 1940 Act), in connection with certain matters of Maryland law arising out of the registration of up to 11,500,000 shares (the “Shares”) of common stock, $0.001 par value per share (the “Common Stock”), of the Company (including up to 1,500,000 Shares which the underwriters in the Offering (as defined herein) have the option to purchase solely to cover overallotments) to be issued in the Company’s initial public offering (the “Offering”), covered by the above-referenced Registration Statement, and all amendments thereto (the “Registration Statement”), filed by the Company with the Securities and Exchange Commission (the “Commission”) under the Securities Act of 1933, as amended (the “1933 Act”) and the 1940 Act. Unless otherwise defined herein, capitalized terms used herein shall have the meanings assigned to them in the Registration Statement.</w:t>
      </w:r>
    </w:p>
    <w:p>
      <w:pPr>
        <w:spacing w:after="0" w:line="118"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right="600" w:firstLine="921"/>
        <w:spacing w:after="0" w:line="268" w:lineRule="auto"/>
        <w:tabs>
          <w:tab w:leader="none" w:pos="10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 and the 1940 Act;</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charter of the Company (the “Charter”), certified as of the date hereof by an officer of the Company;</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100" w:hanging="179"/>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certificate of the State Department of Assessments and Taxation of Maryland (the “SDAT”) as to the good standing of the Company, dated as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 recent date;</w:t>
      </w:r>
    </w:p>
    <w:p>
      <w:pPr>
        <w:spacing w:after="0" w:line="164" w:lineRule="exact"/>
        <w:rPr>
          <w:rFonts w:ascii="Arial" w:cs="Arial" w:eastAsia="Arial" w:hAnsi="Arial"/>
          <w:sz w:val="15"/>
          <w:szCs w:val="15"/>
          <w:color w:val="auto"/>
        </w:rPr>
      </w:pPr>
    </w:p>
    <w:p>
      <w:pPr>
        <w:ind w:right="120" w:firstLine="921"/>
        <w:spacing w:after="0" w:line="332" w:lineRule="auto"/>
        <w:tabs>
          <w:tab w:leader="none" w:pos="10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Resolutions (the “Resolutions”) adopted by the Board of Directors of the Company (the “Board of Directors”) relating to the authorization of the filing of the Registration Statement and the sale and issuance of the Shares, certified as of the date hereof by an officer of the Company;</w:t>
      </w:r>
    </w:p>
    <w:p>
      <w:pPr>
        <w:spacing w:after="0" w:line="85" w:lineRule="exact"/>
        <w:rPr>
          <w:rFonts w:ascii="Arial" w:cs="Arial" w:eastAsia="Arial" w:hAnsi="Arial"/>
          <w:sz w:val="16"/>
          <w:szCs w:val="16"/>
          <w:color w:val="auto"/>
        </w:rPr>
      </w:pPr>
    </w:p>
    <w:p>
      <w:pPr>
        <w:ind w:left="1100" w:hanging="179"/>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60" w:firstLine="921"/>
        <w:spacing w:after="0" w:line="268" w:lineRule="auto"/>
        <w:tabs>
          <w:tab w:leader="none" w:pos="10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1100" w:hanging="179"/>
        <w:spacing w:after="0"/>
        <w:tabs>
          <w:tab w:leader="none" w:pos="11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1100" w:hanging="179"/>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40" w:firstLine="921"/>
        <w:spacing w:after="0" w:line="259" w:lineRule="auto"/>
        <w:tabs>
          <w:tab w:leader="none" w:pos="10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40" w:lineRule="exact"/>
        <w:rPr>
          <w:rFonts w:ascii="Arial" w:cs="Arial" w:eastAsia="Arial" w:hAnsi="Arial"/>
          <w:sz w:val="18"/>
          <w:szCs w:val="18"/>
          <w:color w:val="auto"/>
        </w:rPr>
      </w:pPr>
    </w:p>
    <w:p>
      <w:pPr>
        <w:ind w:firstLine="921"/>
        <w:spacing w:after="0" w:line="294" w:lineRule="auto"/>
        <w:tabs>
          <w:tab w:leader="none" w:pos="10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4,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waiver of any provision of any of the Documents, by action or omission of the parties or otherwise.</w:t>
      </w:r>
    </w:p>
    <w:p>
      <w:pPr>
        <w:spacing w:after="0" w:line="171" w:lineRule="exact"/>
        <w:rPr>
          <w:sz w:val="20"/>
          <w:szCs w:val="20"/>
          <w:color w:val="auto"/>
        </w:rPr>
      </w:pPr>
    </w:p>
    <w:p>
      <w:pPr>
        <w:jc w:val="both"/>
        <w:ind w:right="140" w:firstLine="921"/>
        <w:spacing w:after="0" w:line="335" w:lineRule="auto"/>
        <w:tabs>
          <w:tab w:leader="none" w:pos="1088"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Prior to the issuance of the Shares, a duly authorized committee of the Board of Directors will determine the price, and certain terms of issuance, of the Shares in accordance with the Resolutions (the “Corporate Proceedings”). Upon any issuance of the Shares, the total number of shares of Common Stock issued and outstanding will not exceed the total number of shares of Common Stock that the Company is then authorized to issue under the Charter.</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1100" w:hanging="179"/>
        <w:spacing w:after="0"/>
        <w:tabs>
          <w:tab w:leader="none" w:pos="11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SDAT.</w:t>
      </w:r>
    </w:p>
    <w:p>
      <w:pPr>
        <w:spacing w:after="0" w:line="164" w:lineRule="exact"/>
        <w:rPr>
          <w:rFonts w:ascii="Arial" w:cs="Arial" w:eastAsia="Arial" w:hAnsi="Arial"/>
          <w:sz w:val="16"/>
          <w:szCs w:val="16"/>
          <w:color w:val="auto"/>
        </w:rPr>
      </w:pPr>
    </w:p>
    <w:p>
      <w:pPr>
        <w:ind w:right="540" w:firstLine="921"/>
        <w:spacing w:after="0" w:line="332" w:lineRule="auto"/>
        <w:tabs>
          <w:tab w:leader="none" w:pos="10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and if issued and delivered against payment therefor in accordance with the Resolutions, the Corporate Proceedings and the Registration Statement, the Shares will be validly issued, fully paid and nonassessable.</w:t>
      </w:r>
    </w:p>
    <w:p>
      <w:pPr>
        <w:spacing w:after="0" w:line="85"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The foregoing opinion is limited to the substantive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8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9"/>
    </w:lvl>
  </w:abstractNum>
  <w:abstractNum w:abstractNumId="4">
    <w:nsid w:val="2CA88611"/>
    <w:multiLevelType w:val="hybridMultilevel"/>
    <w:lvl w:ilvl="0">
      <w:lvlJc w:val="left"/>
      <w:lvlText w:val="(%1)"/>
      <w:numFmt w:val="lowerLetter"/>
      <w:start w:val="13"/>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2"/>
    </w:lvl>
  </w:abstractNum>
  <w:abstractNum w:abstractNumId="8">
    <w:nsid w:val="8138641"/>
    <w:multiLevelType w:val="hybridMultilevel"/>
    <w:lvl w:ilvl="0">
      <w:lvlJc w:val="left"/>
      <w:lvlText w:val="%1."/>
      <w:numFmt w:val="decimal"/>
      <w:start w:val="3"/>
    </w:lvl>
    <w:lvl w:ilvl="1">
      <w:lvlJc w:val="left"/>
      <w:lvlText w:val="(%2)"/>
      <w:numFmt w:val="lowerLetter"/>
      <w:start w:val="1"/>
    </w:lvl>
  </w:abstractNum>
  <w:abstractNum w:abstractNumId="9">
    <w:nsid w:val="1E7FF521"/>
    <w:multiLevelType w:val="hybridMultilevel"/>
    <w:lvl w:ilvl="0">
      <w:lvlJc w:val="left"/>
      <w:lvlText w:val="(%1)"/>
      <w:numFmt w:val="lowerLetter"/>
      <w:start w:val="2"/>
    </w:lvl>
  </w:abstractNum>
  <w:abstractNum w:abstractNumId="10">
    <w:nsid w:val="7C3DBD3D"/>
    <w:multiLevelType w:val="hybridMultilevel"/>
    <w:lvl w:ilvl="0">
      <w:lvlJc w:val="left"/>
      <w:lvlText w:val="(%1)"/>
      <w:numFmt w:val="lowerLetter"/>
      <w:start w:val="8"/>
    </w:lvl>
  </w:abstractNum>
  <w:abstractNum w:abstractNumId="11">
    <w:nsid w:val="737B8DDC"/>
    <w:multiLevelType w:val="hybridMultilevel"/>
    <w:lvl w:ilvl="0">
      <w:lvlJc w:val="left"/>
      <w:lvlText w:val="(%1)"/>
      <w:numFmt w:val="lowerLetter"/>
      <w:start w:val="12"/>
    </w:lvl>
  </w:abstractNum>
  <w:abstractNum w:abstractNumId="12">
    <w:nsid w:val="6CEAF087"/>
    <w:multiLevelType w:val="hybridMultilevel"/>
    <w:lvl w:ilvl="0">
      <w:lvlJc w:val="left"/>
      <w:lvlText w:val="(%1)"/>
      <w:numFmt w:val="lowerLetter"/>
      <w:start w:val="17"/>
    </w:lvl>
  </w:abstractNum>
  <w:abstractNum w:abstractNumId="13">
    <w:nsid w:val="22221A70"/>
    <w:multiLevelType w:val="hybridMultilevel"/>
    <w:lvl w:ilvl="0">
      <w:lvlJc w:val="left"/>
      <w:lvlText w:val="(%1)"/>
      <w:numFmt w:val="lowerLetter"/>
      <w:start w:val="24"/>
    </w:lvl>
  </w:abstractNum>
  <w:abstractNum w:abstractNumId="14">
    <w:nsid w:val="4516DDE9"/>
    <w:multiLevelType w:val="hybridMultilevel"/>
    <w:lvl w:ilvl="0">
      <w:lvlJc w:val="left"/>
      <w:lvlText w:val="(%1)"/>
      <w:numFmt w:val="lowerLetter"/>
      <w:start w:val="27"/>
    </w:lvl>
  </w:abstractNum>
  <w:abstractNum w:abstractNumId="15">
    <w:nsid w:val="3006C83E"/>
    <w:multiLevelType w:val="hybridMultilevel"/>
    <w:lvl w:ilvl="0">
      <w:lvlJc w:val="left"/>
      <w:lvlText w:val="(%1)"/>
      <w:numFmt w:val="lowerLetter"/>
      <w:start w:val="29"/>
    </w:lvl>
  </w:abstractNum>
  <w:abstractNum w:abstractNumId="16">
    <w:nsid w:val="614FD4A1"/>
    <w:multiLevelType w:val="hybridMultilevel"/>
    <w:lvl w:ilvl="0">
      <w:lvlJc w:val="left"/>
      <w:lvlText w:val="(%1)"/>
      <w:numFmt w:val="lowerLetter"/>
      <w:start w:val="37"/>
    </w:lvl>
  </w:abstractNum>
  <w:abstractNum w:abstractNumId="17">
    <w:nsid w:val="419AC241"/>
    <w:multiLevelType w:val="hybridMultilevel"/>
    <w:lvl w:ilvl="0">
      <w:lvlJc w:val="left"/>
      <w:lvlText w:val="%1."/>
      <w:numFmt w:val="decimal"/>
      <w:start w:val="4"/>
    </w:lvl>
    <w:lvl w:ilvl="1">
      <w:lvlJc w:val="left"/>
      <w:lvlText w:val="(%2)"/>
      <w:numFmt w:val="lowerLetter"/>
      <w:start w:val="1"/>
    </w:lvl>
  </w:abstractNum>
  <w:abstractNum w:abstractNumId="18">
    <w:nsid w:val="5577F8E1"/>
    <w:multiLevelType w:val="hybridMultilevel"/>
    <w:lvl w:ilvl="0">
      <w:lvlJc w:val="left"/>
      <w:lvlText w:val="(%1)"/>
      <w:numFmt w:val="lowerLetter"/>
      <w:start w:val="2"/>
    </w:lvl>
  </w:abstractNum>
  <w:abstractNum w:abstractNumId="19">
    <w:nsid w:val="440BADFC"/>
    <w:multiLevelType w:val="hybridMultilevel"/>
    <w:lvl w:ilvl="0">
      <w:lvlJc w:val="left"/>
      <w:lvlText w:val="(%1)"/>
      <w:numFmt w:val="lowerLetter"/>
      <w:start w:val="5"/>
    </w:lvl>
  </w:abstractNum>
  <w:abstractNum w:abstractNumId="20">
    <w:nsid w:val="5072367"/>
    <w:multiLevelType w:val="hybridMultilevel"/>
    <w:lvl w:ilvl="0">
      <w:lvlJc w:val="left"/>
      <w:lvlText w:val="%1"/>
      <w:numFmt w:val="lowerLetter"/>
      <w:start w:val="1"/>
    </w:lvl>
    <w:lvl w:ilvl="1">
      <w:lvlJc w:val="left"/>
      <w:lvlText w:val="(%2)"/>
      <w:numFmt w:val="lowerLetter"/>
      <w:start w:val="10"/>
    </w:lvl>
  </w:abstractNum>
  <w:abstractNum w:abstractNumId="21">
    <w:nsid w:val="3804823E"/>
    <w:multiLevelType w:val="hybridMultilevel"/>
    <w:lvl w:ilvl="0">
      <w:lvlJc w:val="left"/>
      <w:lvlText w:val="(%1)"/>
      <w:numFmt w:val="lowerLetter"/>
      <w:start w:val="35"/>
    </w:lvl>
    <w:lvl w:ilvl="1">
      <w:lvlJc w:val="left"/>
      <w:lvlText w:val="(%2)"/>
      <w:numFmt w:val="lowerLetter"/>
      <w:start w:val="15"/>
    </w:lvl>
  </w:abstractNum>
  <w:abstractNum w:abstractNumId="22">
    <w:nsid w:val="77465F01"/>
    <w:multiLevelType w:val="hybridMultilevel"/>
    <w:lvl w:ilvl="0">
      <w:lvlJc w:val="left"/>
      <w:lvlText w:val="%1"/>
      <w:numFmt w:val="decimal"/>
      <w:start w:val="1"/>
    </w:lvl>
    <w:lvl w:ilvl="1">
      <w:lvlJc w:val="left"/>
      <w:lvlText w:val="(%2)"/>
      <w:numFmt w:val="lowerLetter"/>
      <w:start w:val="16"/>
    </w:lvl>
  </w:abstractNum>
  <w:abstractNum w:abstractNumId="23">
    <w:nsid w:val="7724C67E"/>
    <w:multiLevelType w:val="hybridMultilevel"/>
    <w:lvl w:ilvl="0">
      <w:lvlJc w:val="left"/>
      <w:lvlText w:val="%1."/>
      <w:numFmt w:val="decimal"/>
      <w:start w:val="5"/>
    </w:lvl>
    <w:lvl w:ilvl="1">
      <w:lvlJc w:val="left"/>
      <w:lvlText w:val="(%2)"/>
      <w:numFmt w:val="lowerLetter"/>
      <w:start w:val="1"/>
    </w:lvl>
  </w:abstractNum>
  <w:abstractNum w:abstractNumId="24">
    <w:nsid w:val="5C482A97"/>
    <w:multiLevelType w:val="hybridMultilevel"/>
    <w:lvl w:ilvl="0">
      <w:lvlJc w:val="left"/>
      <w:lvlText w:val="(%1)"/>
      <w:numFmt w:val="lowerLetter"/>
      <w:start w:val="4"/>
    </w:lvl>
  </w:abstractNum>
  <w:abstractNum w:abstractNumId="25">
    <w:nsid w:val="2463B9EA"/>
    <w:multiLevelType w:val="hybridMultilevel"/>
    <w:lvl w:ilvl="0">
      <w:lvlJc w:val="left"/>
      <w:lvlText w:val="(%1)"/>
      <w:numFmt w:val="lowerLetter"/>
      <w:start w:val="10"/>
    </w:lvl>
  </w:abstractNum>
  <w:abstractNum w:abstractNumId="26">
    <w:nsid w:val="5E884ADC"/>
    <w:multiLevelType w:val="hybridMultilevel"/>
    <w:lvl w:ilvl="0">
      <w:lvlJc w:val="left"/>
      <w:lvlText w:val="(%1)"/>
      <w:numFmt w:val="lowerRoman"/>
      <w:start w:val="7"/>
    </w:lvl>
    <w:lvl w:ilvl="1">
      <w:lvlJc w:val="left"/>
      <w:lvlText w:val="(%2)"/>
      <w:numFmt w:val="lowerLetter"/>
      <w:start w:val="17"/>
    </w:lvl>
  </w:abstractNum>
  <w:abstractNum w:abstractNumId="27">
    <w:nsid w:val="51EAD36B"/>
    <w:multiLevelType w:val="hybridMultilevel"/>
    <w:lvl w:ilvl="0">
      <w:lvlJc w:val="left"/>
      <w:lvlText w:val="%1"/>
      <w:numFmt w:val="decimal"/>
      <w:start w:val="1"/>
    </w:lvl>
    <w:lvl w:ilvl="1">
      <w:lvlJc w:val="left"/>
      <w:lvlText w:val="(%2)"/>
      <w:numFmt w:val="lowerLetter"/>
      <w:start w:val="18"/>
    </w:lvl>
  </w:abstractNum>
  <w:abstractNum w:abstractNumId="28">
    <w:nsid w:val="2D517796"/>
    <w:multiLevelType w:val="hybridMultilevel"/>
    <w:lvl w:ilvl="0">
      <w:lvlJc w:val="left"/>
      <w:lvlText w:val="%1."/>
      <w:numFmt w:val="decimal"/>
      <w:start w:val="6"/>
    </w:lvl>
    <w:lvl w:ilvl="1">
      <w:lvlJc w:val="left"/>
      <w:lvlText w:val="(%2)"/>
      <w:numFmt w:val="lowerLetter"/>
      <w:start w:val="1"/>
    </w:lvl>
  </w:abstractNum>
  <w:abstractNum w:abstractNumId="29">
    <w:nsid w:val="580BD78F"/>
    <w:multiLevelType w:val="hybridMultilevel"/>
    <w:lvl w:ilvl="0">
      <w:lvlJc w:val="left"/>
      <w:lvlText w:val="%1"/>
      <w:numFmt w:val="decimal"/>
      <w:start w:val="1"/>
    </w:lvl>
    <w:lvl w:ilvl="1">
      <w:lvlJc w:val="left"/>
      <w:lvlText w:val="(%2)"/>
      <w:numFmt w:val="lowerLetter"/>
      <w:start w:val="6"/>
    </w:lvl>
  </w:abstractNum>
  <w:abstractNum w:abstractNumId="30">
    <w:nsid w:val="153EA438"/>
    <w:multiLevelType w:val="hybridMultilevel"/>
    <w:lvl w:ilvl="0">
      <w:lvlJc w:val="left"/>
      <w:lvlText w:val="%1."/>
      <w:numFmt w:val="decimal"/>
      <w:start w:val="7"/>
    </w:lvl>
    <w:lvl w:ilvl="1">
      <w:lvlJc w:val="left"/>
      <w:lvlText w:val="%2"/>
      <w:numFmt w:val="lowerLetter"/>
      <w:start w:val="1"/>
    </w:lvl>
  </w:abstractNum>
  <w:abstractNum w:abstractNumId="31">
    <w:nsid w:val="3855585C"/>
    <w:multiLevelType w:val="hybridMultilevel"/>
    <w:lvl w:ilvl="0">
      <w:lvlJc w:val="left"/>
      <w:lvlText w:val="(%1)"/>
      <w:numFmt w:val="lowerRoman"/>
      <w:start w:val="5"/>
    </w:lvl>
  </w:abstractNum>
  <w:abstractNum w:abstractNumId="32">
    <w:nsid w:val="70A64E2A"/>
    <w:multiLevelType w:val="hybridMultilevel"/>
    <w:lvl w:ilvl="0">
      <w:lvlJc w:val="left"/>
      <w:lvlText w:val="%1."/>
      <w:numFmt w:val="decimal"/>
      <w:start w:val="8"/>
    </w:lvl>
  </w:abstractNum>
  <w:abstractNum w:abstractNumId="33">
    <w:nsid w:val="6A2342EC"/>
    <w:multiLevelType w:val="hybridMultilevel"/>
    <w:lvl w:ilvl="0">
      <w:lvlJc w:val="left"/>
      <w:lvlText w:val="%1."/>
      <w:numFmt w:val="decimal"/>
      <w:start w:val="9"/>
    </w:lvl>
    <w:lvl w:ilvl="1">
      <w:lvlJc w:val="left"/>
      <w:lvlText w:val="(%2)"/>
      <w:numFmt w:val="lowerLetter"/>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lowerLetter"/>
      <w:start w:val="1"/>
    </w:lvl>
    <w:lvl w:ilvl="1">
      <w:lvlJc w:val="left"/>
      <w:lvlText w:val="(%2)"/>
      <w:numFmt w:val="lowerLetter"/>
      <w:start w:val="3"/>
    </w:lvl>
  </w:abstractNum>
  <w:abstractNum w:abstractNumId="38">
    <w:nsid w:val="57E4CCAF"/>
    <w:multiLevelType w:val="hybridMultilevel"/>
    <w:lvl w:ilvl="0">
      <w:lvlJc w:val="left"/>
      <w:lvlText w:val="(%1)"/>
      <w:numFmt w:val="lowerLetter"/>
      <w:start w:val="9"/>
    </w:lvl>
    <w:lvl w:ilvl="1">
      <w:lvlJc w:val="left"/>
      <w:lvlText w:val="%2"/>
      <w:numFmt w:val="lowerLetter"/>
      <w:start w:val="1"/>
    </w:lvl>
  </w:abstractNum>
  <w:abstractNum w:abstractNumId="39">
    <w:nsid w:val="7A6D8D3C"/>
    <w:multiLevelType w:val="hybridMultilevel"/>
    <w:lvl w:ilvl="0">
      <w:lvlJc w:val="left"/>
      <w:lvlText w:val="%1"/>
      <w:numFmt w:val="decimal"/>
      <w:start w:val="1"/>
    </w:lvl>
    <w:lvl w:ilvl="1">
      <w:lvlJc w:val="left"/>
      <w:lvlText w:val="(%2)"/>
      <w:numFmt w:val="lowerLetter"/>
      <w:start w:val="4"/>
    </w:lvl>
  </w:abstractNum>
  <w:abstractNum w:abstractNumId="40">
    <w:nsid w:val="4B588F54"/>
    <w:multiLevelType w:val="hybridMultilevel"/>
    <w:lvl w:ilvl="0">
      <w:lvlJc w:val="left"/>
      <w:lvlText w:val="%1."/>
      <w:numFmt w:val="decimal"/>
      <w:start w:val="10"/>
    </w:lvl>
    <w:lvl w:ilvl="1">
      <w:lvlJc w:val="left"/>
      <w:lvlText w:val="%2"/>
      <w:numFmt w:val="lowerLetter"/>
      <w:start w:val="1"/>
    </w:lvl>
  </w:abstractNum>
  <w:abstractNum w:abstractNumId="41">
    <w:nsid w:val="542289EC"/>
    <w:multiLevelType w:val="hybridMultilevel"/>
    <w:lvl w:ilvl="0">
      <w:lvlJc w:val="left"/>
      <w:lvlText w:val="%1."/>
      <w:numFmt w:val="decimal"/>
      <w:start w:val="12"/>
    </w:lvl>
  </w:abstractNum>
  <w:abstractNum w:abstractNumId="42">
    <w:nsid w:val="6DE91B18"/>
    <w:multiLevelType w:val="hybridMultilevel"/>
    <w:lvl w:ilvl="0">
      <w:lvlJc w:val="left"/>
      <w:lvlText w:val="%1."/>
      <w:numFmt w:val="decimal"/>
      <w:start w:val="16"/>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5"/>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3"/>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2019-12-11T09:21:56Z</dcterms:created>
  <dcterms:modified xsi:type="dcterms:W3CDTF">2019-12-11T09:21:56Z</dcterms:modified>
</cp:coreProperties>
</file>