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3"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65"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FORM 10-K</w:t>
      </w:r>
    </w:p>
    <w:p>
      <w:pPr>
        <w:spacing w:after="0" w:line="214" w:lineRule="exact"/>
        <w:rPr>
          <w:sz w:val="24"/>
          <w:szCs w:val="24"/>
          <w:color w:val="auto"/>
        </w:rPr>
      </w:pPr>
    </w:p>
    <w:p>
      <w:pPr>
        <w:spacing w:after="0"/>
        <w:rPr>
          <w:sz w:val="20"/>
          <w:szCs w:val="20"/>
          <w:color w:val="auto"/>
        </w:rPr>
      </w:pPr>
      <w:r>
        <w:rPr>
          <w:rFonts w:ascii="Arial" w:cs="Arial" w:eastAsia="Arial" w:hAnsi="Arial"/>
          <w:sz w:val="13"/>
          <w:szCs w:val="13"/>
          <w:color w:val="auto"/>
        </w:rPr>
        <w:t>(Mark One)</w:t>
      </w:r>
    </w:p>
    <w:p>
      <w:pPr>
        <w:spacing w:after="0" w:line="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53" w:lineRule="exact"/>
        <w:rPr>
          <w:sz w:val="24"/>
          <w:szCs w:val="24"/>
          <w:color w:val="auto"/>
        </w:rPr>
      </w:pPr>
    </w:p>
    <w:p>
      <w:pPr>
        <w:jc w:val="center"/>
        <w:ind w:right="-39"/>
        <w:spacing w:after="0"/>
        <w:rPr>
          <w:sz w:val="20"/>
          <w:szCs w:val="20"/>
          <w:color w:val="auto"/>
        </w:rPr>
      </w:pPr>
      <w:r>
        <w:rPr>
          <w:rFonts w:ascii="Arial" w:cs="Arial" w:eastAsia="Arial" w:hAnsi="Arial"/>
          <w:sz w:val="13"/>
          <w:szCs w:val="13"/>
          <w:color w:val="auto"/>
        </w:rPr>
        <w:t>FOR THE FISCAL YEAR ENDED SEPTEMBER 30, 2012</w:t>
      </w:r>
    </w:p>
    <w:p>
      <w:pPr>
        <w:spacing w:after="0" w:line="53" w:lineRule="exact"/>
        <w:rPr>
          <w:sz w:val="24"/>
          <w:szCs w:val="24"/>
          <w:color w:val="auto"/>
        </w:rPr>
      </w:pPr>
    </w:p>
    <w:p>
      <w:pPr>
        <w:jc w:val="center"/>
        <w:ind w:right="-39"/>
        <w:spacing w:after="0"/>
        <w:rPr>
          <w:sz w:val="20"/>
          <w:szCs w:val="20"/>
          <w:color w:val="auto"/>
        </w:rPr>
      </w:pPr>
      <w:r>
        <w:rPr>
          <w:rFonts w:ascii="Arial" w:cs="Arial" w:eastAsia="Arial" w:hAnsi="Arial"/>
          <w:sz w:val="13"/>
          <w:szCs w:val="13"/>
          <w:color w:val="auto"/>
        </w:rPr>
        <w:t>OR</w:t>
      </w:r>
    </w:p>
    <w:p>
      <w:pPr>
        <w:spacing w:after="0" w:line="6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7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6480" w:type="dxa"/>
            <w:vAlign w:val="bottom"/>
          </w:tcPr>
          <w:p>
            <w:pPr>
              <w:ind w:left="3900"/>
              <w:spacing w:after="0"/>
              <w:rPr>
                <w:sz w:val="20"/>
                <w:szCs w:val="20"/>
                <w:color w:val="auto"/>
              </w:rPr>
            </w:pPr>
            <w:r>
              <w:rPr>
                <w:rFonts w:ascii="Arial" w:cs="Arial" w:eastAsia="Arial" w:hAnsi="Arial"/>
                <w:sz w:val="13"/>
                <w:szCs w:val="13"/>
                <w:color w:val="auto"/>
              </w:rPr>
              <w:t>FOR THE TRANSITION PERIOD FROM</w:t>
            </w:r>
          </w:p>
        </w:tc>
        <w:tc>
          <w:tcPr>
            <w:tcW w:w="540" w:type="dxa"/>
            <w:vAlign w:val="bottom"/>
          </w:tcPr>
          <w:p>
            <w:pPr>
              <w:ind w:left="240"/>
              <w:spacing w:after="0"/>
              <w:rPr>
                <w:sz w:val="20"/>
                <w:szCs w:val="20"/>
                <w:color w:val="auto"/>
              </w:rPr>
            </w:pPr>
            <w:r>
              <w:rPr>
                <w:rFonts w:ascii="Arial" w:cs="Arial" w:eastAsia="Arial" w:hAnsi="Arial"/>
                <w:sz w:val="13"/>
                <w:szCs w:val="13"/>
                <w:color w:val="auto"/>
              </w:rPr>
              <w:t>TO</w:t>
            </w:r>
          </w:p>
        </w:tc>
        <w:tc>
          <w:tcPr>
            <w:tcW w:w="520" w:type="dxa"/>
            <w:vAlign w:val="bottom"/>
          </w:tcPr>
          <w:p>
            <w:pPr>
              <w:spacing w:after="0"/>
              <w:rPr>
                <w:sz w:val="14"/>
                <w:szCs w:val="14"/>
                <w:color w:val="auto"/>
              </w:rPr>
            </w:pPr>
          </w:p>
        </w:tc>
        <w:tc>
          <w:tcPr>
            <w:tcW w:w="3660" w:type="dxa"/>
            <w:vAlign w:val="bottom"/>
          </w:tcPr>
          <w:p>
            <w:pPr>
              <w:spacing w:after="0"/>
              <w:rPr>
                <w:sz w:val="14"/>
                <w:szCs w:val="14"/>
                <w:color w:val="auto"/>
              </w:rPr>
            </w:pPr>
          </w:p>
        </w:tc>
      </w:tr>
      <w:tr>
        <w:trPr>
          <w:trHeight w:val="229"/>
        </w:trPr>
        <w:tc>
          <w:tcPr>
            <w:tcW w:w="7020" w:type="dxa"/>
            <w:vAlign w:val="bottom"/>
            <w:gridSpan w:val="2"/>
          </w:tcPr>
          <w:p>
            <w:pPr>
              <w:jc w:val="center"/>
              <w:ind w:left="4150"/>
              <w:spacing w:after="0"/>
              <w:rPr>
                <w:sz w:val="20"/>
                <w:szCs w:val="20"/>
                <w:color w:val="auto"/>
              </w:rPr>
            </w:pPr>
            <w:r>
              <w:rPr>
                <w:rFonts w:ascii="Arial" w:cs="Arial" w:eastAsia="Arial" w:hAnsi="Arial"/>
                <w:sz w:val="13"/>
                <w:szCs w:val="13"/>
                <w:color w:val="auto"/>
                <w:w w:val="99"/>
              </w:rPr>
              <w:t>COMMISSION FILE NUMBER: 814-00891</w:t>
            </w:r>
          </w:p>
        </w:tc>
        <w:tc>
          <w:tcPr>
            <w:tcW w:w="520" w:type="dxa"/>
            <w:vAlign w:val="bottom"/>
          </w:tcPr>
          <w:p>
            <w:pPr>
              <w:spacing w:after="0"/>
              <w:rPr>
                <w:sz w:val="19"/>
                <w:szCs w:val="19"/>
                <w:color w:val="auto"/>
              </w:rPr>
            </w:pPr>
          </w:p>
        </w:tc>
        <w:tc>
          <w:tcPr>
            <w:tcW w:w="3660" w:type="dxa"/>
            <w:vAlign w:val="bottom"/>
          </w:tcPr>
          <w:p>
            <w:pPr>
              <w:spacing w:after="0"/>
              <w:rPr>
                <w:sz w:val="19"/>
                <w:szCs w:val="19"/>
                <w:color w:val="auto"/>
              </w:rPr>
            </w:pPr>
          </w:p>
        </w:tc>
      </w:tr>
      <w:tr>
        <w:trPr>
          <w:trHeight w:val="447"/>
        </w:trPr>
        <w:tc>
          <w:tcPr>
            <w:tcW w:w="11200" w:type="dxa"/>
            <w:vAlign w:val="bottom"/>
            <w:gridSpan w:val="4"/>
          </w:tcPr>
          <w:p>
            <w:pPr>
              <w:jc w:val="center"/>
              <w:spacing w:after="0"/>
              <w:rPr>
                <w:sz w:val="20"/>
                <w:szCs w:val="20"/>
                <w:color w:val="auto"/>
              </w:rPr>
            </w:pPr>
            <w:r>
              <w:rPr>
                <w:rFonts w:ascii="Arial" w:cs="Arial" w:eastAsia="Arial" w:hAnsi="Arial"/>
                <w:sz w:val="24"/>
                <w:szCs w:val="24"/>
                <w:b w:val="1"/>
                <w:bCs w:val="1"/>
                <w:color w:val="auto"/>
              </w:rPr>
              <w:t>PENNANTPARK FLOATING RATE CAPITAL LTD.</w:t>
            </w:r>
          </w:p>
        </w:tc>
      </w:tr>
      <w:tr>
        <w:trPr>
          <w:trHeight w:val="174"/>
        </w:trPr>
        <w:tc>
          <w:tcPr>
            <w:tcW w:w="7540" w:type="dxa"/>
            <w:vAlign w:val="bottom"/>
            <w:gridSpan w:val="3"/>
          </w:tcPr>
          <w:p>
            <w:pPr>
              <w:jc w:val="center"/>
              <w:ind w:left="3650"/>
              <w:spacing w:after="0"/>
              <w:rPr>
                <w:sz w:val="20"/>
                <w:szCs w:val="20"/>
                <w:color w:val="auto"/>
              </w:rPr>
            </w:pPr>
            <w:r>
              <w:rPr>
                <w:rFonts w:ascii="Arial" w:cs="Arial" w:eastAsia="Arial" w:hAnsi="Arial"/>
                <w:sz w:val="13"/>
                <w:szCs w:val="13"/>
                <w:b w:val="1"/>
                <w:bCs w:val="1"/>
                <w:color w:val="auto"/>
                <w:w w:val="93"/>
              </w:rPr>
              <w:t>(Exact name of registrant as specified in its charter)</w:t>
            </w:r>
          </w:p>
        </w:tc>
        <w:tc>
          <w:tcPr>
            <w:tcW w:w="3660" w:type="dxa"/>
            <w:vAlign w:val="bottom"/>
          </w:tcPr>
          <w:p>
            <w:pPr>
              <w:spacing w:after="0"/>
              <w:rPr>
                <w:sz w:val="15"/>
                <w:szCs w:val="15"/>
                <w:color w:val="auto"/>
              </w:rPr>
            </w:pPr>
          </w:p>
        </w:tc>
      </w:tr>
      <w:tr>
        <w:trPr>
          <w:trHeight w:val="204"/>
        </w:trPr>
        <w:tc>
          <w:tcPr>
            <w:tcW w:w="6480" w:type="dxa"/>
            <w:vAlign w:val="bottom"/>
          </w:tcPr>
          <w:p>
            <w:pPr>
              <w:jc w:val="center"/>
              <w:ind w:right="770"/>
              <w:spacing w:after="0"/>
              <w:rPr>
                <w:sz w:val="20"/>
                <w:szCs w:val="20"/>
                <w:color w:val="auto"/>
              </w:rPr>
            </w:pPr>
            <w:r>
              <w:rPr>
                <w:rFonts w:ascii="Arial" w:cs="Arial" w:eastAsia="Arial" w:hAnsi="Arial"/>
                <w:sz w:val="13"/>
                <w:szCs w:val="13"/>
                <w:b w:val="1"/>
                <w:bCs w:val="1"/>
                <w:color w:val="auto"/>
              </w:rPr>
              <w:t>MARYLAND</w:t>
            </w: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60" w:type="dxa"/>
            <w:vAlign w:val="bottom"/>
          </w:tcPr>
          <w:p>
            <w:pPr>
              <w:jc w:val="right"/>
              <w:ind w:right="2273"/>
              <w:spacing w:after="0"/>
              <w:rPr>
                <w:sz w:val="20"/>
                <w:szCs w:val="20"/>
                <w:color w:val="auto"/>
              </w:rPr>
            </w:pPr>
            <w:r>
              <w:rPr>
                <w:rFonts w:ascii="Arial" w:cs="Arial" w:eastAsia="Arial" w:hAnsi="Arial"/>
                <w:sz w:val="13"/>
                <w:szCs w:val="13"/>
                <w:b w:val="1"/>
                <w:bCs w:val="1"/>
                <w:color w:val="auto"/>
              </w:rPr>
              <w:t>27-3794690</w:t>
            </w:r>
          </w:p>
        </w:tc>
      </w:tr>
      <w:tr>
        <w:trPr>
          <w:trHeight w:val="174"/>
        </w:trPr>
        <w:tc>
          <w:tcPr>
            <w:tcW w:w="6480" w:type="dxa"/>
            <w:vAlign w:val="bottom"/>
          </w:tcPr>
          <w:p>
            <w:pPr>
              <w:jc w:val="center"/>
              <w:ind w:right="770"/>
              <w:spacing w:after="0"/>
              <w:rPr>
                <w:sz w:val="20"/>
                <w:szCs w:val="20"/>
                <w:color w:val="auto"/>
              </w:rPr>
            </w:pPr>
            <w:r>
              <w:rPr>
                <w:rFonts w:ascii="Arial" w:cs="Arial" w:eastAsia="Arial" w:hAnsi="Arial"/>
                <w:sz w:val="13"/>
                <w:szCs w:val="13"/>
                <w:b w:val="1"/>
                <w:bCs w:val="1"/>
                <w:color w:val="auto"/>
                <w:w w:val="94"/>
              </w:rPr>
              <w:t>(State or other jurisdiction of incorporation or organization)</w:t>
            </w:r>
          </w:p>
        </w:tc>
        <w:tc>
          <w:tcPr>
            <w:tcW w:w="540" w:type="dxa"/>
            <w:vAlign w:val="bottom"/>
          </w:tcPr>
          <w:p>
            <w:pPr>
              <w:spacing w:after="0"/>
              <w:rPr>
                <w:sz w:val="15"/>
                <w:szCs w:val="15"/>
                <w:color w:val="auto"/>
              </w:rPr>
            </w:pPr>
          </w:p>
        </w:tc>
        <w:tc>
          <w:tcPr>
            <w:tcW w:w="4180" w:type="dxa"/>
            <w:vAlign w:val="bottom"/>
            <w:gridSpan w:val="2"/>
          </w:tcPr>
          <w:p>
            <w:pPr>
              <w:jc w:val="center"/>
              <w:ind w:right="1073"/>
              <w:spacing w:after="0"/>
              <w:rPr>
                <w:sz w:val="20"/>
                <w:szCs w:val="20"/>
                <w:color w:val="auto"/>
              </w:rPr>
            </w:pPr>
            <w:r>
              <w:rPr>
                <w:rFonts w:ascii="Arial" w:cs="Arial" w:eastAsia="Arial" w:hAnsi="Arial"/>
                <w:sz w:val="13"/>
                <w:szCs w:val="13"/>
                <w:b w:val="1"/>
                <w:bCs w:val="1"/>
                <w:color w:val="auto"/>
                <w:w w:val="97"/>
              </w:rPr>
              <w:t>(I.R.S. Employer Identification No.)</w:t>
            </w:r>
          </w:p>
        </w:tc>
      </w:tr>
      <w:tr>
        <w:trPr>
          <w:trHeight w:val="217"/>
        </w:trPr>
        <w:tc>
          <w:tcPr>
            <w:tcW w:w="6480" w:type="dxa"/>
            <w:vAlign w:val="bottom"/>
          </w:tcPr>
          <w:p>
            <w:pPr>
              <w:jc w:val="center"/>
              <w:ind w:right="770"/>
              <w:spacing w:after="0"/>
              <w:rPr>
                <w:sz w:val="20"/>
                <w:szCs w:val="20"/>
                <w:color w:val="auto"/>
              </w:rPr>
            </w:pPr>
            <w:r>
              <w:rPr>
                <w:rFonts w:ascii="Arial" w:cs="Arial" w:eastAsia="Arial" w:hAnsi="Arial"/>
                <w:sz w:val="13"/>
                <w:szCs w:val="13"/>
                <w:b w:val="1"/>
                <w:bCs w:val="1"/>
                <w:color w:val="auto"/>
                <w:w w:val="93"/>
              </w:rPr>
              <w:t>590 Madison Avenue,</w:t>
            </w: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60" w:type="dxa"/>
            <w:vAlign w:val="bottom"/>
          </w:tcPr>
          <w:p>
            <w:pPr>
              <w:spacing w:after="0"/>
              <w:rPr>
                <w:sz w:val="18"/>
                <w:szCs w:val="18"/>
                <w:color w:val="auto"/>
              </w:rPr>
            </w:pPr>
          </w:p>
        </w:tc>
      </w:tr>
      <w:tr>
        <w:trPr>
          <w:trHeight w:val="176"/>
        </w:trPr>
        <w:tc>
          <w:tcPr>
            <w:tcW w:w="6480" w:type="dxa"/>
            <w:vAlign w:val="bottom"/>
          </w:tcPr>
          <w:p>
            <w:pPr>
              <w:jc w:val="center"/>
              <w:ind w:right="770"/>
              <w:spacing w:after="0" w:line="176" w:lineRule="exact"/>
              <w:rPr>
                <w:sz w:val="20"/>
                <w:szCs w:val="20"/>
                <w:color w:val="auto"/>
              </w:rPr>
            </w:pPr>
            <w:r>
              <w:rPr>
                <w:rFonts w:ascii="Arial" w:cs="Arial" w:eastAsia="Arial" w:hAnsi="Arial"/>
                <w:sz w:val="12"/>
                <w:szCs w:val="12"/>
                <w:b w:val="1"/>
                <w:bCs w:val="1"/>
                <w:color w:val="auto"/>
              </w:rPr>
              <w:t>15</w:t>
            </w:r>
            <w:r>
              <w:rPr>
                <w:rFonts w:ascii="Arial" w:cs="Arial" w:eastAsia="Arial" w:hAnsi="Arial"/>
                <w:sz w:val="20"/>
                <w:szCs w:val="20"/>
                <w:b w:val="1"/>
                <w:bCs w:val="1"/>
                <w:color w:val="auto"/>
                <w:vertAlign w:val="superscript"/>
              </w:rPr>
              <w:t>th</w:t>
            </w:r>
            <w:r>
              <w:rPr>
                <w:rFonts w:ascii="Arial" w:cs="Arial" w:eastAsia="Arial" w:hAnsi="Arial"/>
                <w:sz w:val="12"/>
                <w:szCs w:val="12"/>
                <w:b w:val="1"/>
                <w:bCs w:val="1"/>
                <w:color w:val="auto"/>
              </w:rPr>
              <w:t xml:space="preserve"> Floor New York, N.Y.</w:t>
            </w: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60" w:type="dxa"/>
            <w:vAlign w:val="bottom"/>
          </w:tcPr>
          <w:p>
            <w:pPr>
              <w:jc w:val="right"/>
              <w:ind w:right="2433"/>
              <w:spacing w:after="0"/>
              <w:rPr>
                <w:sz w:val="20"/>
                <w:szCs w:val="20"/>
                <w:color w:val="auto"/>
              </w:rPr>
            </w:pPr>
            <w:r>
              <w:rPr>
                <w:rFonts w:ascii="Arial" w:cs="Arial" w:eastAsia="Arial" w:hAnsi="Arial"/>
                <w:sz w:val="13"/>
                <w:szCs w:val="13"/>
                <w:b w:val="1"/>
                <w:bCs w:val="1"/>
                <w:color w:val="auto"/>
              </w:rPr>
              <w:t>10022</w:t>
            </w:r>
          </w:p>
        </w:tc>
      </w:tr>
      <w:tr>
        <w:trPr>
          <w:trHeight w:val="174"/>
        </w:trPr>
        <w:tc>
          <w:tcPr>
            <w:tcW w:w="6480" w:type="dxa"/>
            <w:vAlign w:val="bottom"/>
          </w:tcPr>
          <w:p>
            <w:pPr>
              <w:jc w:val="center"/>
              <w:ind w:right="770"/>
              <w:spacing w:after="0"/>
              <w:rPr>
                <w:sz w:val="20"/>
                <w:szCs w:val="20"/>
                <w:color w:val="auto"/>
              </w:rPr>
            </w:pPr>
            <w:r>
              <w:rPr>
                <w:rFonts w:ascii="Arial" w:cs="Arial" w:eastAsia="Arial" w:hAnsi="Arial"/>
                <w:sz w:val="13"/>
                <w:szCs w:val="13"/>
                <w:b w:val="1"/>
                <w:bCs w:val="1"/>
                <w:color w:val="auto"/>
                <w:w w:val="92"/>
              </w:rPr>
              <w:t>(Address of principal executive offices)</w:t>
            </w: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60" w:type="dxa"/>
            <w:vAlign w:val="bottom"/>
          </w:tcPr>
          <w:p>
            <w:pPr>
              <w:jc w:val="center"/>
              <w:ind w:right="1593"/>
              <w:spacing w:after="0"/>
              <w:rPr>
                <w:sz w:val="20"/>
                <w:szCs w:val="20"/>
                <w:color w:val="auto"/>
              </w:rPr>
            </w:pPr>
            <w:r>
              <w:rPr>
                <w:rFonts w:ascii="Arial" w:cs="Arial" w:eastAsia="Arial" w:hAnsi="Arial"/>
                <w:sz w:val="13"/>
                <w:szCs w:val="13"/>
                <w:b w:val="1"/>
                <w:bCs w:val="1"/>
                <w:color w:val="auto"/>
                <w:w w:val="99"/>
              </w:rPr>
              <w:t>(Zip Code)</w:t>
            </w:r>
          </w:p>
        </w:tc>
      </w:tr>
      <w:tr>
        <w:trPr>
          <w:trHeight w:val="229"/>
        </w:trPr>
        <w:tc>
          <w:tcPr>
            <w:tcW w:w="7540" w:type="dxa"/>
            <w:vAlign w:val="bottom"/>
            <w:gridSpan w:val="3"/>
          </w:tcPr>
          <w:p>
            <w:pPr>
              <w:jc w:val="center"/>
              <w:ind w:left="3630"/>
              <w:spacing w:after="0"/>
              <w:rPr>
                <w:sz w:val="20"/>
                <w:szCs w:val="20"/>
                <w:color w:val="auto"/>
              </w:rPr>
            </w:pPr>
            <w:r>
              <w:rPr>
                <w:rFonts w:ascii="Arial" w:cs="Arial" w:eastAsia="Arial" w:hAnsi="Arial"/>
                <w:sz w:val="13"/>
                <w:szCs w:val="13"/>
                <w:b w:val="1"/>
                <w:bCs w:val="1"/>
                <w:color w:val="auto"/>
                <w:w w:val="92"/>
              </w:rPr>
              <w:t>Registrant’s telephone number, including area code (212)-905-1000</w:t>
            </w:r>
          </w:p>
        </w:tc>
        <w:tc>
          <w:tcPr>
            <w:tcW w:w="3660" w:type="dxa"/>
            <w:vAlign w:val="bottom"/>
          </w:tcPr>
          <w:p>
            <w:pPr>
              <w:spacing w:after="0"/>
              <w:rPr>
                <w:sz w:val="19"/>
                <w:szCs w:val="19"/>
                <w:color w:val="auto"/>
              </w:rPr>
            </w:pPr>
          </w:p>
        </w:tc>
      </w:tr>
      <w:tr>
        <w:trPr>
          <w:trHeight w:val="229"/>
        </w:trPr>
        <w:tc>
          <w:tcPr>
            <w:tcW w:w="7540" w:type="dxa"/>
            <w:vAlign w:val="bottom"/>
            <w:gridSpan w:val="3"/>
          </w:tcPr>
          <w:p>
            <w:pPr>
              <w:jc w:val="center"/>
              <w:ind w:left="3650"/>
              <w:spacing w:after="0"/>
              <w:rPr>
                <w:sz w:val="20"/>
                <w:szCs w:val="20"/>
                <w:color w:val="auto"/>
              </w:rPr>
            </w:pPr>
            <w:r>
              <w:rPr>
                <w:rFonts w:ascii="Arial" w:cs="Arial" w:eastAsia="Arial" w:hAnsi="Arial"/>
                <w:sz w:val="13"/>
                <w:szCs w:val="13"/>
                <w:b w:val="1"/>
                <w:bCs w:val="1"/>
                <w:color w:val="auto"/>
                <w:w w:val="92"/>
              </w:rPr>
              <w:t>Securities registered pursuant to Section 12(b) of the Act:</w:t>
            </w:r>
          </w:p>
        </w:tc>
        <w:tc>
          <w:tcPr>
            <w:tcW w:w="3660" w:type="dxa"/>
            <w:vAlign w:val="bottom"/>
          </w:tcPr>
          <w:p>
            <w:pPr>
              <w:spacing w:after="0"/>
              <w:rPr>
                <w:sz w:val="19"/>
                <w:szCs w:val="19"/>
                <w:color w:val="auto"/>
              </w:rPr>
            </w:pPr>
          </w:p>
        </w:tc>
      </w:tr>
      <w:tr>
        <w:trPr>
          <w:trHeight w:val="327"/>
        </w:trPr>
        <w:tc>
          <w:tcPr>
            <w:tcW w:w="6480" w:type="dxa"/>
            <w:vAlign w:val="bottom"/>
          </w:tcPr>
          <w:p>
            <w:pPr>
              <w:jc w:val="center"/>
              <w:ind w:right="770"/>
              <w:spacing w:after="0"/>
              <w:rPr>
                <w:sz w:val="20"/>
                <w:szCs w:val="20"/>
                <w:color w:val="auto"/>
              </w:rPr>
            </w:pPr>
            <w:r>
              <w:rPr>
                <w:rFonts w:ascii="Arial" w:cs="Arial" w:eastAsia="Arial" w:hAnsi="Arial"/>
                <w:sz w:val="13"/>
                <w:szCs w:val="13"/>
                <w:b w:val="1"/>
                <w:bCs w:val="1"/>
                <w:color w:val="auto"/>
                <w:w w:val="93"/>
              </w:rPr>
              <w:t>Title of Each Class</w:t>
            </w:r>
          </w:p>
        </w:tc>
        <w:tc>
          <w:tcPr>
            <w:tcW w:w="540" w:type="dxa"/>
            <w:vAlign w:val="bottom"/>
          </w:tcPr>
          <w:p>
            <w:pPr>
              <w:spacing w:after="0"/>
              <w:rPr>
                <w:sz w:val="24"/>
                <w:szCs w:val="24"/>
                <w:color w:val="auto"/>
              </w:rPr>
            </w:pPr>
          </w:p>
        </w:tc>
        <w:tc>
          <w:tcPr>
            <w:tcW w:w="4180" w:type="dxa"/>
            <w:vAlign w:val="bottom"/>
            <w:gridSpan w:val="2"/>
          </w:tcPr>
          <w:p>
            <w:pPr>
              <w:jc w:val="center"/>
              <w:ind w:right="1073"/>
              <w:spacing w:after="0"/>
              <w:rPr>
                <w:sz w:val="20"/>
                <w:szCs w:val="20"/>
                <w:color w:val="auto"/>
              </w:rPr>
            </w:pPr>
            <w:r>
              <w:rPr>
                <w:rFonts w:ascii="Arial" w:cs="Arial" w:eastAsia="Arial" w:hAnsi="Arial"/>
                <w:sz w:val="13"/>
                <w:szCs w:val="13"/>
                <w:b w:val="1"/>
                <w:bCs w:val="1"/>
                <w:color w:val="auto"/>
                <w:w w:val="92"/>
              </w:rPr>
              <w:t>Name of Each Exchange on Which Registered</w:t>
            </w:r>
          </w:p>
        </w:tc>
      </w:tr>
      <w:tr>
        <w:trPr>
          <w:trHeight w:val="172"/>
        </w:trPr>
        <w:tc>
          <w:tcPr>
            <w:tcW w:w="6480" w:type="dxa"/>
            <w:vAlign w:val="bottom"/>
          </w:tcPr>
          <w:p>
            <w:pPr>
              <w:jc w:val="center"/>
              <w:ind w:right="790"/>
              <w:spacing w:after="0"/>
              <w:rPr>
                <w:sz w:val="20"/>
                <w:szCs w:val="20"/>
                <w:color w:val="auto"/>
              </w:rPr>
            </w:pPr>
            <w:r>
              <w:rPr>
                <w:rFonts w:ascii="Arial" w:cs="Arial" w:eastAsia="Arial" w:hAnsi="Arial"/>
                <w:sz w:val="13"/>
                <w:szCs w:val="13"/>
                <w:color w:val="auto"/>
                <w:w w:val="93"/>
              </w:rPr>
              <w:t>Common Stock, par value $0.001 per share</w:t>
            </w: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60" w:type="dxa"/>
            <w:vAlign w:val="bottom"/>
          </w:tcPr>
          <w:p>
            <w:pPr>
              <w:jc w:val="center"/>
              <w:ind w:right="1573"/>
              <w:spacing w:after="0"/>
              <w:rPr>
                <w:sz w:val="20"/>
                <w:szCs w:val="20"/>
                <w:color w:val="auto"/>
              </w:rPr>
            </w:pPr>
            <w:r>
              <w:rPr>
                <w:rFonts w:ascii="Arial" w:cs="Arial" w:eastAsia="Arial" w:hAnsi="Arial"/>
                <w:sz w:val="13"/>
                <w:szCs w:val="13"/>
                <w:color w:val="auto"/>
                <w:w w:val="98"/>
              </w:rPr>
              <w:t>The NASDAQ Stock Market LLC</w:t>
            </w:r>
          </w:p>
        </w:tc>
      </w:tr>
      <w:tr>
        <w:trPr>
          <w:trHeight w:val="229"/>
        </w:trPr>
        <w:tc>
          <w:tcPr>
            <w:tcW w:w="7540" w:type="dxa"/>
            <w:vAlign w:val="bottom"/>
            <w:gridSpan w:val="3"/>
          </w:tcPr>
          <w:p>
            <w:pPr>
              <w:jc w:val="center"/>
              <w:ind w:left="3650"/>
              <w:spacing w:after="0"/>
              <w:rPr>
                <w:sz w:val="20"/>
                <w:szCs w:val="20"/>
                <w:color w:val="auto"/>
              </w:rPr>
            </w:pPr>
            <w:r>
              <w:rPr>
                <w:rFonts w:ascii="Arial" w:cs="Arial" w:eastAsia="Arial" w:hAnsi="Arial"/>
                <w:sz w:val="13"/>
                <w:szCs w:val="13"/>
                <w:b w:val="1"/>
                <w:bCs w:val="1"/>
                <w:color w:val="auto"/>
                <w:w w:val="92"/>
              </w:rPr>
              <w:t>Securities registered pursuant to Section 12(g) of the Act: None</w:t>
            </w:r>
          </w:p>
        </w:tc>
        <w:tc>
          <w:tcPr>
            <w:tcW w:w="3660" w:type="dxa"/>
            <w:vAlign w:val="bottom"/>
          </w:tcPr>
          <w:p>
            <w:pPr>
              <w:spacing w:after="0"/>
              <w:rPr>
                <w:sz w:val="19"/>
                <w:szCs w:val="19"/>
                <w:color w:val="auto"/>
              </w:rPr>
            </w:pPr>
          </w:p>
        </w:tc>
      </w:tr>
      <w:tr>
        <w:trPr>
          <w:trHeight w:val="325"/>
        </w:trPr>
        <w:tc>
          <w:tcPr>
            <w:tcW w:w="7020" w:type="dxa"/>
            <w:vAlign w:val="bottom"/>
            <w:gridSpan w:val="2"/>
          </w:tcPr>
          <w:p>
            <w:pPr>
              <w:ind w:left="560"/>
              <w:spacing w:after="0"/>
              <w:rPr>
                <w:sz w:val="20"/>
                <w:szCs w:val="20"/>
                <w:color w:val="auto"/>
              </w:rPr>
            </w:pPr>
            <w:r>
              <w:rPr>
                <w:rFonts w:ascii="Arial" w:cs="Arial" w:eastAsia="Arial" w:hAnsi="Arial"/>
                <w:sz w:val="13"/>
                <w:szCs w:val="13"/>
                <w:color w:val="auto"/>
                <w:w w:val="95"/>
              </w:rPr>
              <w:t>Indicate by check mark if the registrant is a well-known seasoned issuer, as defined in Rule 405 of the Securities Act.</w:t>
            </w:r>
          </w:p>
        </w:tc>
        <w:tc>
          <w:tcPr>
            <w:tcW w:w="520" w:type="dxa"/>
            <w:vAlign w:val="bottom"/>
          </w:tcPr>
          <w:p>
            <w:pPr>
              <w:jc w:val="right"/>
              <w:ind w:right="53"/>
              <w:spacing w:after="0" w:line="150" w:lineRule="exact"/>
              <w:rPr>
                <w:sz w:val="20"/>
                <w:szCs w:val="20"/>
                <w:color w:val="auto"/>
              </w:rPr>
            </w:pPr>
            <w:r>
              <w:rPr>
                <w:rFonts w:ascii="Arial" w:cs="Arial" w:eastAsia="Arial" w:hAnsi="Arial"/>
                <w:sz w:val="13"/>
                <w:szCs w:val="13"/>
                <w:color w:val="auto"/>
                <w:w w:val="97"/>
              </w:rPr>
              <w:t xml:space="preserve">Yes </w:t>
            </w:r>
            <w:r>
              <w:rPr>
                <w:rFonts w:ascii="MS PGothic" w:cs="MS PGothic" w:eastAsia="MS PGothic" w:hAnsi="MS PGothic"/>
                <w:sz w:val="13"/>
                <w:szCs w:val="13"/>
                <w:color w:val="auto"/>
                <w:w w:val="97"/>
              </w:rPr>
              <w:t>☐</w:t>
            </w:r>
          </w:p>
        </w:tc>
        <w:tc>
          <w:tcPr>
            <w:tcW w:w="3660" w:type="dxa"/>
            <w:vAlign w:val="bottom"/>
          </w:tcPr>
          <w:p>
            <w:pPr>
              <w:ind w:left="2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r>
              <w:rPr>
                <w:rFonts w:ascii="Arial" w:cs="Arial" w:eastAsia="Arial" w:hAnsi="Arial"/>
                <w:sz w:val="13"/>
                <w:szCs w:val="13"/>
                <w:color w:val="auto"/>
              </w:rPr>
              <w:t>.</w:t>
            </w:r>
          </w:p>
        </w:tc>
      </w:tr>
      <w:tr>
        <w:trPr>
          <w:trHeight w:val="230"/>
        </w:trPr>
        <w:tc>
          <w:tcPr>
            <w:tcW w:w="7020" w:type="dxa"/>
            <w:vAlign w:val="bottom"/>
            <w:gridSpan w:val="2"/>
          </w:tcPr>
          <w:p>
            <w:pPr>
              <w:ind w:left="560"/>
              <w:spacing w:after="0"/>
              <w:rPr>
                <w:sz w:val="20"/>
                <w:szCs w:val="20"/>
                <w:color w:val="auto"/>
              </w:rPr>
            </w:pPr>
            <w:r>
              <w:rPr>
                <w:rFonts w:ascii="Arial" w:cs="Arial" w:eastAsia="Arial" w:hAnsi="Arial"/>
                <w:sz w:val="13"/>
                <w:szCs w:val="13"/>
                <w:color w:val="auto"/>
                <w:w w:val="94"/>
              </w:rPr>
              <w:t>Indicate by check mark if the registrant is not required to file reports pursuant to Section 13 or Section 15(d) of the Act.</w:t>
            </w:r>
          </w:p>
        </w:tc>
        <w:tc>
          <w:tcPr>
            <w:tcW w:w="520" w:type="dxa"/>
            <w:vAlign w:val="bottom"/>
          </w:tcPr>
          <w:p>
            <w:pPr>
              <w:jc w:val="right"/>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p>
        </w:tc>
        <w:tc>
          <w:tcPr>
            <w:tcW w:w="3660" w:type="dxa"/>
            <w:vAlign w:val="bottom"/>
          </w:tcPr>
          <w:p>
            <w:pPr>
              <w:ind w:left="14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r>
              <w:rPr>
                <w:rFonts w:ascii="Arial" w:cs="Arial" w:eastAsia="Arial" w:hAnsi="Arial"/>
                <w:sz w:val="13"/>
                <w:szCs w:val="13"/>
                <w:color w:val="auto"/>
              </w:rPr>
              <w:t>.</w:t>
            </w:r>
          </w:p>
        </w:tc>
      </w:tr>
      <w:tr>
        <w:trPr>
          <w:trHeight w:val="175"/>
        </w:trPr>
        <w:tc>
          <w:tcPr>
            <w:tcW w:w="11200" w:type="dxa"/>
            <w:vAlign w:val="bottom"/>
            <w:gridSpan w:val="4"/>
          </w:tcPr>
          <w:p>
            <w:pPr>
              <w:ind w:left="560"/>
              <w:spacing w:after="0"/>
              <w:rPr>
                <w:sz w:val="20"/>
                <w:szCs w:val="20"/>
                <w:color w:val="auto"/>
              </w:rPr>
            </w:pPr>
            <w:r>
              <w:rPr>
                <w:rFonts w:ascii="Arial" w:cs="Arial" w:eastAsia="Arial" w:hAnsi="Arial"/>
                <w:sz w:val="13"/>
                <w:szCs w:val="13"/>
                <w:color w:val="auto"/>
                <w:w w:val="94"/>
              </w:rPr>
              <w:t>Indicate by check mark whether the registrant (1) has filed all reports required to be filed by Section 13 or 15(d) of the Securities Exchange Act of 1934 during the preceding 12 months (or for such</w:t>
            </w:r>
          </w:p>
        </w:tc>
      </w:tr>
      <w:tr>
        <w:trPr>
          <w:trHeight w:val="211"/>
        </w:trPr>
        <w:tc>
          <w:tcPr>
            <w:tcW w:w="7540" w:type="dxa"/>
            <w:vAlign w:val="bottom"/>
            <w:gridSpan w:val="3"/>
          </w:tcPr>
          <w:p>
            <w:pPr>
              <w:jc w:val="right"/>
              <w:spacing w:after="0"/>
              <w:rPr>
                <w:sz w:val="20"/>
                <w:szCs w:val="20"/>
                <w:color w:val="auto"/>
              </w:rPr>
            </w:pPr>
            <w:r>
              <w:rPr>
                <w:rFonts w:ascii="Arial" w:cs="Arial" w:eastAsia="Arial" w:hAnsi="Arial"/>
                <w:sz w:val="13"/>
                <w:szCs w:val="13"/>
                <w:color w:val="auto"/>
                <w:w w:val="93"/>
              </w:rPr>
              <w:t>shorter period that the registrant was required to file such reports), and (2) has been subject to such filing requirements for the past 90 days.</w:t>
            </w:r>
          </w:p>
        </w:tc>
        <w:tc>
          <w:tcPr>
            <w:tcW w:w="3660" w:type="dxa"/>
            <w:vAlign w:val="bottom"/>
          </w:tcPr>
          <w:p>
            <w:pPr>
              <w:ind w:left="120"/>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w:t>
            </w:r>
          </w:p>
        </w:tc>
      </w:tr>
    </w:tbl>
    <w:p>
      <w:pPr>
        <w:spacing w:after="0" w:line="34" w:lineRule="exact"/>
        <w:rPr>
          <w:sz w:val="24"/>
          <w:szCs w:val="24"/>
          <w:color w:val="auto"/>
        </w:rPr>
      </w:pPr>
    </w:p>
    <w:p>
      <w:pPr>
        <w:ind w:right="140" w:firstLine="562"/>
        <w:spacing w:after="0" w:line="168" w:lineRule="exact"/>
        <w:rPr>
          <w:sz w:val="20"/>
          <w:szCs w:val="20"/>
          <w:color w:val="auto"/>
        </w:rPr>
      </w:pPr>
      <w:r>
        <w:rPr>
          <w:rFonts w:ascii="Arial" w:cs="Arial" w:eastAsia="Arial" w:hAnsi="Arial"/>
          <w:sz w:val="12"/>
          <w:szCs w:val="12"/>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43" w:lineRule="exact"/>
        <w:rPr>
          <w:sz w:val="24"/>
          <w:szCs w:val="24"/>
          <w:color w:val="auto"/>
        </w:rPr>
      </w:pPr>
    </w:p>
    <w:p>
      <w:pPr>
        <w:ind w:right="500" w:firstLine="562"/>
        <w:spacing w:after="0" w:line="167" w:lineRule="exact"/>
        <w:rPr>
          <w:sz w:val="20"/>
          <w:szCs w:val="20"/>
          <w:color w:val="auto"/>
        </w:rPr>
      </w:pPr>
      <w:r>
        <w:rPr>
          <w:rFonts w:ascii="Arial" w:cs="Arial" w:eastAsia="Arial" w:hAnsi="Arial"/>
          <w:sz w:val="13"/>
          <w:szCs w:val="13"/>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3"/>
          <w:szCs w:val="13"/>
          <w:color w:val="auto"/>
        </w:rPr>
        <w:t>☐</w:t>
      </w:r>
    </w:p>
    <w:p>
      <w:pPr>
        <w:spacing w:after="0" w:line="44" w:lineRule="exact"/>
        <w:rPr>
          <w:sz w:val="24"/>
          <w:szCs w:val="24"/>
          <w:color w:val="auto"/>
        </w:rPr>
      </w:pPr>
    </w:p>
    <w:p>
      <w:pPr>
        <w:ind w:firstLine="562"/>
        <w:spacing w:after="0" w:line="274" w:lineRule="auto"/>
        <w:rPr>
          <w:sz w:val="20"/>
          <w:szCs w:val="20"/>
          <w:color w:val="auto"/>
        </w:rPr>
      </w:pPr>
      <w:r>
        <w:rPr>
          <w:rFonts w:ascii="Arial" w:cs="Arial" w:eastAsia="Arial" w:hAnsi="Arial"/>
          <w:sz w:val="13"/>
          <w:szCs w:val="13"/>
          <w:color w:val="auto"/>
        </w:rPr>
        <w:t>Indicate by check mark whether the registrant is a large accelerated filer, an accelerated filer, or a non-accelerated filer or a smaller reporting company. See definition of “accelerated filer” and large accelerated filer” in Rule 12b-2 of the Exchange Act. (Check one):</w:t>
      </w:r>
    </w:p>
    <w:p>
      <w:pPr>
        <w:sectPr>
          <w:pgSz w:w="11900" w:h="16838" w:orient="portrait"/>
          <w:cols w:equalWidth="0" w:num="1">
            <w:col w:w="11200"/>
          </w:cols>
          <w:pgMar w:left="320" w:top="230" w:right="379" w:bottom="1440" w:gutter="0" w:footer="0" w:header="0"/>
        </w:sectPr>
      </w:pPr>
    </w:p>
    <w:p>
      <w:pPr>
        <w:spacing w:after="0" w:line="12" w:lineRule="exact"/>
        <w:rPr>
          <w:sz w:val="24"/>
          <w:szCs w:val="24"/>
          <w:color w:val="auto"/>
        </w:rPr>
      </w:pPr>
    </w:p>
    <w:p>
      <w:pPr>
        <w:ind w:left="1360"/>
        <w:spacing w:after="0" w:line="138" w:lineRule="exact"/>
        <w:rPr>
          <w:sz w:val="20"/>
          <w:szCs w:val="20"/>
          <w:color w:val="auto"/>
        </w:rPr>
      </w:pPr>
      <w:r>
        <w:rPr>
          <w:rFonts w:ascii="Arial" w:cs="Arial" w:eastAsia="Arial" w:hAnsi="Arial"/>
          <w:sz w:val="12"/>
          <w:szCs w:val="12"/>
          <w:color w:val="auto"/>
        </w:rPr>
        <w:t xml:space="preserve">Large accelerated filer </w:t>
      </w:r>
      <w:r>
        <w:rPr>
          <w:rFonts w:ascii="MS PGothic" w:cs="MS PGothic" w:eastAsia="MS PGothic" w:hAnsi="MS PGothic"/>
          <w:sz w:val="12"/>
          <w:szCs w:val="12"/>
          <w:color w:val="auto"/>
        </w:rPr>
        <w:t>☐</w:t>
      </w:r>
      <w:r>
        <w:rPr>
          <w:rFonts w:ascii="Arial" w:cs="Arial" w:eastAsia="Arial" w:hAnsi="Arial"/>
          <w:sz w:val="12"/>
          <w:szCs w:val="12"/>
          <w:color w:val="auto"/>
        </w:rPr>
        <w:t>.</w:t>
      </w:r>
    </w:p>
    <w:p>
      <w:pPr>
        <w:spacing w:after="0" w:line="20" w:lineRule="exact"/>
        <w:rPr>
          <w:sz w:val="24"/>
          <w:szCs w:val="24"/>
          <w:color w:val="auto"/>
        </w:rPr>
      </w:pPr>
      <w:r>
        <w:rPr>
          <w:sz w:val="24"/>
          <w:szCs w:val="24"/>
          <w:color w:val="auto"/>
        </w:rPr>
        <w:br w:type="column"/>
      </w:r>
    </w:p>
    <w:p>
      <w:pPr>
        <w:jc w:val="center"/>
        <w:ind w:right="200"/>
        <w:spacing w:after="0" w:line="130" w:lineRule="exact"/>
        <w:rPr>
          <w:sz w:val="20"/>
          <w:szCs w:val="20"/>
          <w:color w:val="auto"/>
        </w:rPr>
      </w:pPr>
      <w:r>
        <w:rPr>
          <w:rFonts w:ascii="Arial" w:cs="Arial" w:eastAsia="Arial" w:hAnsi="Arial"/>
          <w:sz w:val="12"/>
          <w:szCs w:val="12"/>
          <w:color w:val="auto"/>
        </w:rPr>
        <w:t xml:space="preserve">Accelerated filer </w:t>
      </w:r>
      <w:r>
        <w:rPr>
          <w:rFonts w:ascii="MS PGothic" w:cs="MS PGothic" w:eastAsia="MS PGothic" w:hAnsi="MS PGothic"/>
          <w:sz w:val="12"/>
          <w:szCs w:val="12"/>
          <w:color w:val="auto"/>
        </w:rPr>
        <w:t>☒</w:t>
      </w:r>
      <w:r>
        <w:rPr>
          <w:rFonts w:ascii="Arial" w:cs="Arial" w:eastAsia="Arial" w:hAnsi="Arial"/>
          <w:sz w:val="12"/>
          <w:szCs w:val="12"/>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2"/>
          <w:szCs w:val="12"/>
          <w:color w:val="auto"/>
        </w:rPr>
        <w:t xml:space="preserve">Non-accelerated filer </w:t>
      </w:r>
      <w:r>
        <w:rPr>
          <w:rFonts w:ascii="MS PGothic" w:cs="MS PGothic" w:eastAsia="MS PGothic" w:hAnsi="MS PGothic"/>
          <w:sz w:val="12"/>
          <w:szCs w:val="12"/>
          <w:color w:val="auto"/>
        </w:rPr>
        <w:t>☐</w:t>
      </w:r>
      <w:r>
        <w:rPr>
          <w:rFonts w:ascii="Arial" w:cs="Arial" w:eastAsia="Arial" w:hAnsi="Arial"/>
          <w:sz w:val="12"/>
          <w:szCs w:val="12"/>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2"/>
          <w:szCs w:val="12"/>
          <w:color w:val="auto"/>
        </w:rPr>
        <w:t xml:space="preserve">Smaller Reporting Company </w:t>
      </w:r>
      <w:r>
        <w:rPr>
          <w:rFonts w:ascii="MS PGothic" w:cs="MS PGothic" w:eastAsia="MS PGothic" w:hAnsi="MS PGothic"/>
          <w:sz w:val="12"/>
          <w:szCs w:val="12"/>
          <w:color w:val="auto"/>
        </w:rPr>
        <w:t>☐</w:t>
      </w:r>
      <w:r>
        <w:rPr>
          <w:rFonts w:ascii="Arial" w:cs="Arial" w:eastAsia="Arial" w:hAnsi="Arial"/>
          <w:sz w:val="12"/>
          <w:szCs w:val="12"/>
          <w:color w:val="auto"/>
        </w:rPr>
        <w:t>.</w:t>
      </w:r>
    </w:p>
    <w:p>
      <w:pPr>
        <w:spacing w:after="0" w:line="92" w:lineRule="exact"/>
        <w:rPr>
          <w:sz w:val="24"/>
          <w:szCs w:val="24"/>
          <w:color w:val="auto"/>
        </w:rPr>
      </w:pPr>
    </w:p>
    <w:p>
      <w:pPr>
        <w:sectPr>
          <w:pgSz w:w="11900" w:h="16838" w:orient="portrait"/>
          <w:cols w:equalWidth="0" w:num="4">
            <w:col w:w="2920" w:space="720"/>
            <w:col w:w="1300" w:space="720"/>
            <w:col w:w="1760" w:space="720"/>
            <w:col w:w="3060"/>
          </w:cols>
          <w:pgMar w:left="320" w:top="230" w:right="379" w:bottom="1440" w:gutter="0" w:footer="0" w:header="0"/>
          <w:type w:val="continuous"/>
        </w:sectPr>
      </w:pPr>
    </w:p>
    <w:p>
      <w:pPr>
        <w:spacing w:after="0" w:line="25" w:lineRule="exact"/>
        <w:rPr>
          <w:sz w:val="24"/>
          <w:szCs w:val="24"/>
          <w:color w:val="auto"/>
        </w:rPr>
      </w:pPr>
    </w:p>
    <w:p>
      <w:pPr>
        <w:ind w:left="560"/>
        <w:spacing w:after="0"/>
        <w:rPr>
          <w:sz w:val="20"/>
          <w:szCs w:val="20"/>
          <w:color w:val="auto"/>
        </w:rPr>
      </w:pPr>
      <w:r>
        <w:rPr>
          <w:rFonts w:ascii="Arial" w:cs="Arial" w:eastAsia="Arial" w:hAnsi="Arial"/>
          <w:sz w:val="12"/>
          <w:szCs w:val="12"/>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3"/>
          <w:szCs w:val="13"/>
          <w:color w:val="auto"/>
        </w:rPr>
        <w:t>No</w:t>
      </w:r>
    </w:p>
    <w:p>
      <w:pPr>
        <w:spacing w:after="0" w:line="20" w:lineRule="exact"/>
        <w:rPr>
          <w:sz w:val="24"/>
          <w:szCs w:val="24"/>
          <w:color w:val="auto"/>
        </w:rPr>
      </w:pPr>
      <w:r>
        <w:rPr>
          <w:sz w:val="24"/>
          <w:szCs w:val="24"/>
          <w:color w:val="auto"/>
        </w:rPr>
        <w:br w:type="column"/>
      </w:r>
    </w:p>
    <w:p>
      <w:pPr>
        <w:spacing w:after="0" w:line="11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w:t>
      </w:r>
    </w:p>
    <w:p>
      <w:pPr>
        <w:spacing w:after="0" w:line="116" w:lineRule="exact"/>
        <w:rPr>
          <w:sz w:val="24"/>
          <w:szCs w:val="24"/>
          <w:color w:val="auto"/>
        </w:rPr>
      </w:pPr>
    </w:p>
    <w:p>
      <w:pPr>
        <w:sectPr>
          <w:pgSz w:w="11900" w:h="16838" w:orient="portrait"/>
          <w:cols w:equalWidth="0" w:num="5">
            <w:col w:w="6700" w:space="120"/>
            <w:col w:w="200" w:space="60"/>
            <w:col w:w="120" w:space="140"/>
            <w:col w:w="180" w:space="60"/>
            <w:col w:w="3620"/>
          </w:cols>
          <w:pgMar w:left="320" w:top="230" w:right="379" w:bottom="1440" w:gutter="0" w:footer="0" w:header="0"/>
          <w:type w:val="continuous"/>
        </w:sectPr>
      </w:pPr>
    </w:p>
    <w:p>
      <w:pPr>
        <w:ind w:right="40" w:firstLine="562"/>
        <w:spacing w:after="0" w:line="256" w:lineRule="auto"/>
        <w:rPr>
          <w:sz w:val="20"/>
          <w:szCs w:val="20"/>
          <w:color w:val="auto"/>
        </w:rPr>
      </w:pPr>
      <w:r>
        <w:rPr>
          <w:rFonts w:ascii="Arial" w:cs="Arial" w:eastAsia="Arial" w:hAnsi="Arial"/>
          <w:sz w:val="13"/>
          <w:szCs w:val="13"/>
          <w:color w:val="auto"/>
        </w:rPr>
        <w:t>The aggregate market value of common stock held by non-affiliates of the Registrant on September 30, 2012 based on the closing price on that date of $12.67 on the NASDAQ Global Select Market was approximately $86.3 million. For the purposes of calculating this amount only, all directors and executive officers of the Registrant have been treated as affiliates. There were 6,850,667 shares of the Registrant’s common stock outstanding as of November 14, 2012.</w:t>
      </w:r>
    </w:p>
    <w:p>
      <w:pPr>
        <w:spacing w:after="0" w:line="48" w:lineRule="exact"/>
        <w:rPr>
          <w:sz w:val="24"/>
          <w:szCs w:val="24"/>
          <w:color w:val="auto"/>
        </w:rPr>
      </w:pPr>
    </w:p>
    <w:p>
      <w:pPr>
        <w:ind w:right="180" w:firstLine="562"/>
        <w:spacing w:after="0" w:line="274" w:lineRule="auto"/>
        <w:rPr>
          <w:sz w:val="20"/>
          <w:szCs w:val="20"/>
          <w:color w:val="auto"/>
        </w:rPr>
      </w:pPr>
      <w:r>
        <w:rPr>
          <w:rFonts w:ascii="Arial" w:cs="Arial" w:eastAsia="Arial" w:hAnsi="Arial"/>
          <w:sz w:val="13"/>
          <w:szCs w:val="13"/>
          <w:color w:val="auto"/>
        </w:rPr>
        <w:t>Documents Incorporated by Reference: Portions of the Registrant’s Proxy Statement relating to the Registrant’s 2013 Annual Meeting of Stockholders to be filed not later than 120 days after the end of the fiscal year covered by this Annual Report on Form 10-K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30" w:right="37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60" w:type="dxa"/>
            <w:vAlign w:val="bottom"/>
          </w:tcPr>
          <w:p>
            <w:pPr>
              <w:spacing w:after="0"/>
              <w:rPr>
                <w:sz w:val="13"/>
                <w:szCs w:val="13"/>
                <w:color w:val="auto"/>
              </w:rPr>
            </w:pPr>
          </w:p>
        </w:tc>
        <w:tc>
          <w:tcPr>
            <w:tcW w:w="8560" w:type="dxa"/>
            <w:vAlign w:val="bottom"/>
          </w:tcPr>
          <w:p>
            <w:pPr>
              <w:jc w:val="center"/>
              <w:ind w:left="893"/>
              <w:spacing w:after="0"/>
              <w:rPr>
                <w:sz w:val="20"/>
                <w:szCs w:val="20"/>
                <w:color w:val="auto"/>
              </w:rPr>
            </w:pPr>
            <w:r>
              <w:rPr>
                <w:rFonts w:ascii="Arial" w:cs="Arial" w:eastAsia="Arial" w:hAnsi="Arial"/>
                <w:sz w:val="13"/>
                <w:szCs w:val="13"/>
                <w:b w:val="1"/>
                <w:bCs w:val="1"/>
                <w:color w:val="auto"/>
              </w:rPr>
              <w:t>PENNANTPARK FLOATING RATE CAPITAL LTD. AND SUBSIDIARY</w:t>
            </w:r>
          </w:p>
        </w:tc>
        <w:tc>
          <w:tcPr>
            <w:tcW w:w="1760" w:type="dxa"/>
            <w:vAlign w:val="bottom"/>
          </w:tcPr>
          <w:p>
            <w:pPr>
              <w:spacing w:after="0"/>
              <w:rPr>
                <w:sz w:val="13"/>
                <w:szCs w:val="13"/>
                <w:color w:val="auto"/>
              </w:rPr>
            </w:pPr>
          </w:p>
        </w:tc>
      </w:tr>
      <w:tr>
        <w:trPr>
          <w:trHeight w:val="149"/>
        </w:trPr>
        <w:tc>
          <w:tcPr>
            <w:tcW w:w="860" w:type="dxa"/>
            <w:vAlign w:val="bottom"/>
          </w:tcPr>
          <w:p>
            <w:pPr>
              <w:spacing w:after="0"/>
              <w:rPr>
                <w:sz w:val="12"/>
                <w:szCs w:val="12"/>
                <w:color w:val="auto"/>
              </w:rPr>
            </w:pPr>
          </w:p>
        </w:tc>
        <w:tc>
          <w:tcPr>
            <w:tcW w:w="8560" w:type="dxa"/>
            <w:vAlign w:val="bottom"/>
          </w:tcPr>
          <w:p>
            <w:pPr>
              <w:jc w:val="center"/>
              <w:ind w:left="893"/>
              <w:spacing w:after="0"/>
              <w:rPr>
                <w:sz w:val="20"/>
                <w:szCs w:val="20"/>
                <w:color w:val="auto"/>
              </w:rPr>
            </w:pPr>
            <w:r>
              <w:rPr>
                <w:rFonts w:ascii="Arial" w:cs="Arial" w:eastAsia="Arial" w:hAnsi="Arial"/>
                <w:sz w:val="13"/>
                <w:szCs w:val="13"/>
                <w:b w:val="1"/>
                <w:bCs w:val="1"/>
                <w:color w:val="auto"/>
              </w:rPr>
              <w:t>FORM 10-K</w:t>
            </w:r>
          </w:p>
        </w:tc>
        <w:tc>
          <w:tcPr>
            <w:tcW w:w="1760" w:type="dxa"/>
            <w:vAlign w:val="bottom"/>
          </w:tcPr>
          <w:p>
            <w:pPr>
              <w:spacing w:after="0"/>
              <w:rPr>
                <w:sz w:val="12"/>
                <w:szCs w:val="12"/>
                <w:color w:val="auto"/>
              </w:rPr>
            </w:pPr>
          </w:p>
        </w:tc>
      </w:tr>
      <w:tr>
        <w:trPr>
          <w:trHeight w:val="174"/>
        </w:trPr>
        <w:tc>
          <w:tcPr>
            <w:tcW w:w="860" w:type="dxa"/>
            <w:vAlign w:val="bottom"/>
          </w:tcPr>
          <w:p>
            <w:pPr>
              <w:spacing w:after="0"/>
              <w:rPr>
                <w:sz w:val="15"/>
                <w:szCs w:val="15"/>
                <w:color w:val="auto"/>
              </w:rPr>
            </w:pPr>
          </w:p>
        </w:tc>
        <w:tc>
          <w:tcPr>
            <w:tcW w:w="8560" w:type="dxa"/>
            <w:vAlign w:val="bottom"/>
          </w:tcPr>
          <w:p>
            <w:pPr>
              <w:jc w:val="center"/>
              <w:ind w:left="913"/>
              <w:spacing w:after="0"/>
              <w:rPr>
                <w:sz w:val="20"/>
                <w:szCs w:val="20"/>
                <w:color w:val="auto"/>
              </w:rPr>
            </w:pPr>
            <w:r>
              <w:rPr>
                <w:rFonts w:ascii="Arial" w:cs="Arial" w:eastAsia="Arial" w:hAnsi="Arial"/>
                <w:sz w:val="13"/>
                <w:szCs w:val="13"/>
                <w:b w:val="1"/>
                <w:bCs w:val="1"/>
                <w:color w:val="auto"/>
              </w:rPr>
              <w:t>FOR THE FISCAL YEAR ENDED SEPTEMBER 30, 2012</w:t>
            </w:r>
          </w:p>
        </w:tc>
        <w:tc>
          <w:tcPr>
            <w:tcW w:w="1760" w:type="dxa"/>
            <w:vAlign w:val="bottom"/>
          </w:tcPr>
          <w:p>
            <w:pPr>
              <w:spacing w:after="0"/>
              <w:rPr>
                <w:sz w:val="15"/>
                <w:szCs w:val="15"/>
                <w:color w:val="auto"/>
              </w:rPr>
            </w:pPr>
          </w:p>
        </w:tc>
      </w:tr>
      <w:tr>
        <w:trPr>
          <w:trHeight w:val="203"/>
        </w:trPr>
        <w:tc>
          <w:tcPr>
            <w:tcW w:w="860" w:type="dxa"/>
            <w:vAlign w:val="bottom"/>
          </w:tcPr>
          <w:p>
            <w:pPr>
              <w:spacing w:after="0"/>
              <w:rPr>
                <w:sz w:val="17"/>
                <w:szCs w:val="17"/>
                <w:color w:val="auto"/>
              </w:rPr>
            </w:pPr>
          </w:p>
        </w:tc>
        <w:tc>
          <w:tcPr>
            <w:tcW w:w="8560" w:type="dxa"/>
            <w:vAlign w:val="bottom"/>
          </w:tcPr>
          <w:p>
            <w:pPr>
              <w:jc w:val="center"/>
              <w:ind w:left="893"/>
              <w:spacing w:after="0"/>
              <w:rPr>
                <w:sz w:val="20"/>
                <w:szCs w:val="20"/>
                <w:color w:val="auto"/>
              </w:rPr>
            </w:pPr>
            <w:r>
              <w:rPr>
                <w:rFonts w:ascii="Arial" w:cs="Arial" w:eastAsia="Arial" w:hAnsi="Arial"/>
                <w:sz w:val="13"/>
                <w:szCs w:val="13"/>
                <w:b w:val="1"/>
                <w:bCs w:val="1"/>
                <w:color w:val="auto"/>
              </w:rPr>
              <w:t>TABLE OF CONTENTS</w:t>
            </w:r>
          </w:p>
        </w:tc>
        <w:tc>
          <w:tcPr>
            <w:tcW w:w="1760" w:type="dxa"/>
            <w:vAlign w:val="bottom"/>
          </w:tcPr>
          <w:p>
            <w:pPr>
              <w:spacing w:after="0"/>
              <w:rPr>
                <w:sz w:val="17"/>
                <w:szCs w:val="17"/>
                <w:color w:val="auto"/>
              </w:rPr>
            </w:pPr>
          </w:p>
        </w:tc>
      </w:tr>
      <w:tr>
        <w:trPr>
          <w:trHeight w:val="283"/>
        </w:trPr>
        <w:tc>
          <w:tcPr>
            <w:tcW w:w="860" w:type="dxa"/>
            <w:vAlign w:val="bottom"/>
          </w:tcPr>
          <w:p>
            <w:pPr>
              <w:spacing w:after="0"/>
              <w:rPr>
                <w:sz w:val="24"/>
                <w:szCs w:val="24"/>
                <w:color w:val="auto"/>
              </w:rPr>
            </w:pPr>
          </w:p>
        </w:tc>
        <w:tc>
          <w:tcPr>
            <w:tcW w:w="8560" w:type="dxa"/>
            <w:vAlign w:val="bottom"/>
          </w:tcPr>
          <w:p>
            <w:pPr>
              <w:jc w:val="center"/>
              <w:ind w:left="893"/>
              <w:spacing w:after="0"/>
              <w:rPr>
                <w:sz w:val="20"/>
                <w:szCs w:val="20"/>
                <w:color w:val="auto"/>
              </w:rPr>
            </w:pPr>
            <w:r>
              <w:rPr>
                <w:rFonts w:ascii="Arial" w:cs="Arial" w:eastAsia="Arial" w:hAnsi="Arial"/>
                <w:sz w:val="13"/>
                <w:szCs w:val="13"/>
                <w:b w:val="1"/>
                <w:bCs w:val="1"/>
                <w:color w:val="auto"/>
              </w:rPr>
              <w:t>PART I</w:t>
            </w:r>
          </w:p>
        </w:tc>
        <w:tc>
          <w:tcPr>
            <w:tcW w:w="1760" w:type="dxa"/>
            <w:vAlign w:val="bottom"/>
          </w:tcPr>
          <w:p>
            <w:pPr>
              <w:spacing w:after="0"/>
              <w:rPr>
                <w:sz w:val="24"/>
                <w:szCs w:val="24"/>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3"/>
                <w:szCs w:val="13"/>
                <w:b w:val="1"/>
                <w:bCs w:val="1"/>
                <w:color w:val="auto"/>
              </w:rPr>
              <w:t>Item 1</w:t>
            </w:r>
          </w:p>
        </w:tc>
        <w:tc>
          <w:tcPr>
            <w:tcW w:w="8560" w:type="dxa"/>
            <w:vAlign w:val="bottom"/>
          </w:tcPr>
          <w:p>
            <w:pPr>
              <w:ind w:left="360"/>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Business</w:t>
              </w:r>
            </w:hyperlink>
          </w:p>
        </w:tc>
        <w:tc>
          <w:tcPr>
            <w:tcW w:w="1760" w:type="dxa"/>
            <w:vAlign w:val="bottom"/>
          </w:tcPr>
          <w:p>
            <w:pPr>
              <w:jc w:val="right"/>
              <w:spacing w:after="0"/>
              <w:rPr>
                <w:sz w:val="20"/>
                <w:szCs w:val="20"/>
                <w:color w:val="auto"/>
              </w:rPr>
            </w:pPr>
            <w:r>
              <w:rPr>
                <w:rFonts w:ascii="Arial" w:cs="Arial" w:eastAsia="Arial" w:hAnsi="Arial"/>
                <w:sz w:val="13"/>
                <w:szCs w:val="13"/>
                <w:b w:val="1"/>
                <w:bCs w:val="1"/>
                <w:color w:val="auto"/>
              </w:rPr>
              <w:t>1</w:t>
            </w:r>
          </w:p>
        </w:tc>
      </w:tr>
      <w:tr>
        <w:trPr>
          <w:trHeight w:val="216"/>
        </w:trPr>
        <w:tc>
          <w:tcPr>
            <w:tcW w:w="860" w:type="dxa"/>
            <w:vAlign w:val="bottom"/>
          </w:tcPr>
          <w:p>
            <w:pPr>
              <w:spacing w:after="0"/>
              <w:rPr>
                <w:sz w:val="20"/>
                <w:szCs w:val="20"/>
                <w:color w:val="auto"/>
              </w:rPr>
            </w:pPr>
            <w:r>
              <w:rPr>
                <w:rFonts w:ascii="Arial" w:cs="Arial" w:eastAsia="Arial" w:hAnsi="Arial"/>
                <w:sz w:val="13"/>
                <w:szCs w:val="13"/>
                <w:b w:val="1"/>
                <w:bCs w:val="1"/>
                <w:color w:val="auto"/>
              </w:rPr>
              <w:t>Item 1A.</w:t>
            </w:r>
          </w:p>
        </w:tc>
        <w:tc>
          <w:tcPr>
            <w:tcW w:w="8560" w:type="dxa"/>
            <w:vAlign w:val="bottom"/>
          </w:tcPr>
          <w:p>
            <w:pPr>
              <w:ind w:left="360"/>
              <w:spacing w:after="0"/>
              <w:rPr>
                <w:rFonts w:ascii="Arial" w:cs="Arial" w:eastAsia="Arial" w:hAnsi="Arial"/>
                <w:sz w:val="13"/>
                <w:szCs w:val="13"/>
                <w:u w:val="single" w:color="auto"/>
                <w:color w:val="0000EE"/>
              </w:rPr>
            </w:pPr>
            <w:hyperlink w:anchor="page22">
              <w:r>
                <w:rPr>
                  <w:rFonts w:ascii="Arial" w:cs="Arial" w:eastAsia="Arial" w:hAnsi="Arial"/>
                  <w:sz w:val="13"/>
                  <w:szCs w:val="13"/>
                  <w:u w:val="single" w:color="auto"/>
                  <w:color w:val="0000EE"/>
                </w:rPr>
                <w:t>Risk Factors</w:t>
              </w:r>
            </w:hyperlink>
          </w:p>
        </w:tc>
        <w:tc>
          <w:tcPr>
            <w:tcW w:w="1760" w:type="dxa"/>
            <w:vAlign w:val="bottom"/>
          </w:tcPr>
          <w:p>
            <w:pPr>
              <w:jc w:val="right"/>
              <w:spacing w:after="0"/>
              <w:rPr>
                <w:sz w:val="20"/>
                <w:szCs w:val="20"/>
                <w:color w:val="auto"/>
              </w:rPr>
            </w:pPr>
            <w:r>
              <w:rPr>
                <w:rFonts w:ascii="Arial" w:cs="Arial" w:eastAsia="Arial" w:hAnsi="Arial"/>
                <w:sz w:val="13"/>
                <w:szCs w:val="13"/>
                <w:b w:val="1"/>
                <w:bCs w:val="1"/>
                <w:color w:val="auto"/>
              </w:rPr>
              <w:t>20</w:t>
            </w:r>
          </w:p>
        </w:tc>
      </w:tr>
      <w:tr>
        <w:trPr>
          <w:trHeight w:val="216"/>
        </w:trPr>
        <w:tc>
          <w:tcPr>
            <w:tcW w:w="860" w:type="dxa"/>
            <w:vAlign w:val="bottom"/>
          </w:tcPr>
          <w:p>
            <w:pPr>
              <w:spacing w:after="0"/>
              <w:rPr>
                <w:sz w:val="20"/>
                <w:szCs w:val="20"/>
                <w:color w:val="auto"/>
              </w:rPr>
            </w:pPr>
            <w:r>
              <w:rPr>
                <w:rFonts w:ascii="Arial" w:cs="Arial" w:eastAsia="Arial" w:hAnsi="Arial"/>
                <w:sz w:val="13"/>
                <w:szCs w:val="13"/>
                <w:b w:val="1"/>
                <w:bCs w:val="1"/>
                <w:color w:val="auto"/>
              </w:rPr>
              <w:t>Item 1B.</w:t>
            </w:r>
          </w:p>
        </w:tc>
        <w:tc>
          <w:tcPr>
            <w:tcW w:w="8560" w:type="dxa"/>
            <w:vAlign w:val="bottom"/>
          </w:tcPr>
          <w:p>
            <w:pPr>
              <w:ind w:left="360"/>
              <w:spacing w:after="0"/>
              <w:rPr>
                <w:rFonts w:ascii="Arial" w:cs="Arial" w:eastAsia="Arial" w:hAnsi="Arial"/>
                <w:sz w:val="13"/>
                <w:szCs w:val="13"/>
                <w:u w:val="single" w:color="auto"/>
                <w:color w:val="0000EE"/>
              </w:rPr>
            </w:pPr>
            <w:hyperlink w:anchor="page39">
              <w:r>
                <w:rPr>
                  <w:rFonts w:ascii="Arial" w:cs="Arial" w:eastAsia="Arial" w:hAnsi="Arial"/>
                  <w:sz w:val="13"/>
                  <w:szCs w:val="13"/>
                  <w:u w:val="single" w:color="auto"/>
                  <w:color w:val="0000EE"/>
                </w:rPr>
                <w:t>Unresolved Staff Comments</w:t>
              </w:r>
            </w:hyperlink>
          </w:p>
        </w:tc>
        <w:tc>
          <w:tcPr>
            <w:tcW w:w="1760" w:type="dxa"/>
            <w:vAlign w:val="bottom"/>
          </w:tcPr>
          <w:p>
            <w:pPr>
              <w:jc w:val="right"/>
              <w:spacing w:after="0"/>
              <w:rPr>
                <w:sz w:val="20"/>
                <w:szCs w:val="20"/>
                <w:color w:val="auto"/>
              </w:rPr>
            </w:pPr>
            <w:r>
              <w:rPr>
                <w:rFonts w:ascii="Arial" w:cs="Arial" w:eastAsia="Arial" w:hAnsi="Arial"/>
                <w:sz w:val="13"/>
                <w:szCs w:val="13"/>
                <w:b w:val="1"/>
                <w:bCs w:val="1"/>
                <w:color w:val="auto"/>
              </w:rPr>
              <w:t>37</w:t>
            </w:r>
          </w:p>
        </w:tc>
      </w:tr>
      <w:tr>
        <w:trPr>
          <w:trHeight w:val="216"/>
        </w:trPr>
        <w:tc>
          <w:tcPr>
            <w:tcW w:w="860" w:type="dxa"/>
            <w:vAlign w:val="bottom"/>
          </w:tcPr>
          <w:p>
            <w:pPr>
              <w:spacing w:after="0"/>
              <w:rPr>
                <w:sz w:val="20"/>
                <w:szCs w:val="20"/>
                <w:color w:val="auto"/>
              </w:rPr>
            </w:pPr>
            <w:r>
              <w:rPr>
                <w:rFonts w:ascii="Arial" w:cs="Arial" w:eastAsia="Arial" w:hAnsi="Arial"/>
                <w:sz w:val="13"/>
                <w:szCs w:val="13"/>
                <w:b w:val="1"/>
                <w:bCs w:val="1"/>
                <w:color w:val="auto"/>
              </w:rPr>
              <w:t>Item 2.</w:t>
            </w:r>
          </w:p>
        </w:tc>
        <w:tc>
          <w:tcPr>
            <w:tcW w:w="8560" w:type="dxa"/>
            <w:vAlign w:val="bottom"/>
          </w:tcPr>
          <w:p>
            <w:pPr>
              <w:ind w:left="360"/>
              <w:spacing w:after="0"/>
              <w:rPr>
                <w:rFonts w:ascii="Arial" w:cs="Arial" w:eastAsia="Arial" w:hAnsi="Arial"/>
                <w:sz w:val="13"/>
                <w:szCs w:val="13"/>
                <w:u w:val="single" w:color="auto"/>
                <w:color w:val="0000EE"/>
              </w:rPr>
            </w:pPr>
            <w:hyperlink w:anchor="page39">
              <w:r>
                <w:rPr>
                  <w:rFonts w:ascii="Arial" w:cs="Arial" w:eastAsia="Arial" w:hAnsi="Arial"/>
                  <w:sz w:val="13"/>
                  <w:szCs w:val="13"/>
                  <w:u w:val="single" w:color="auto"/>
                  <w:color w:val="0000EE"/>
                </w:rPr>
                <w:t>Properties</w:t>
              </w:r>
            </w:hyperlink>
          </w:p>
        </w:tc>
        <w:tc>
          <w:tcPr>
            <w:tcW w:w="1760" w:type="dxa"/>
            <w:vAlign w:val="bottom"/>
          </w:tcPr>
          <w:p>
            <w:pPr>
              <w:jc w:val="right"/>
              <w:spacing w:after="0"/>
              <w:rPr>
                <w:sz w:val="20"/>
                <w:szCs w:val="20"/>
                <w:color w:val="auto"/>
              </w:rPr>
            </w:pPr>
            <w:r>
              <w:rPr>
                <w:rFonts w:ascii="Arial" w:cs="Arial" w:eastAsia="Arial" w:hAnsi="Arial"/>
                <w:sz w:val="13"/>
                <w:szCs w:val="13"/>
                <w:b w:val="1"/>
                <w:bCs w:val="1"/>
                <w:color w:val="auto"/>
              </w:rPr>
              <w:t>37</w:t>
            </w:r>
          </w:p>
        </w:tc>
      </w:tr>
      <w:tr>
        <w:trPr>
          <w:trHeight w:val="216"/>
        </w:trPr>
        <w:tc>
          <w:tcPr>
            <w:tcW w:w="860" w:type="dxa"/>
            <w:vAlign w:val="bottom"/>
          </w:tcPr>
          <w:p>
            <w:pPr>
              <w:spacing w:after="0"/>
              <w:rPr>
                <w:sz w:val="20"/>
                <w:szCs w:val="20"/>
                <w:color w:val="auto"/>
              </w:rPr>
            </w:pPr>
            <w:r>
              <w:rPr>
                <w:rFonts w:ascii="Arial" w:cs="Arial" w:eastAsia="Arial" w:hAnsi="Arial"/>
                <w:sz w:val="13"/>
                <w:szCs w:val="13"/>
                <w:b w:val="1"/>
                <w:bCs w:val="1"/>
                <w:color w:val="auto"/>
              </w:rPr>
              <w:t>Item 3.</w:t>
            </w:r>
          </w:p>
        </w:tc>
        <w:tc>
          <w:tcPr>
            <w:tcW w:w="8560" w:type="dxa"/>
            <w:vAlign w:val="bottom"/>
          </w:tcPr>
          <w:p>
            <w:pPr>
              <w:ind w:left="360"/>
              <w:spacing w:after="0"/>
              <w:rPr>
                <w:rFonts w:ascii="Arial" w:cs="Arial" w:eastAsia="Arial" w:hAnsi="Arial"/>
                <w:sz w:val="13"/>
                <w:szCs w:val="13"/>
                <w:u w:val="single" w:color="auto"/>
                <w:color w:val="0000EE"/>
              </w:rPr>
            </w:pPr>
            <w:hyperlink w:anchor="page39">
              <w:r>
                <w:rPr>
                  <w:rFonts w:ascii="Arial" w:cs="Arial" w:eastAsia="Arial" w:hAnsi="Arial"/>
                  <w:sz w:val="13"/>
                  <w:szCs w:val="13"/>
                  <w:u w:val="single" w:color="auto"/>
                  <w:color w:val="0000EE"/>
                </w:rPr>
                <w:t>Legal Proceedings</w:t>
              </w:r>
            </w:hyperlink>
          </w:p>
        </w:tc>
        <w:tc>
          <w:tcPr>
            <w:tcW w:w="1760" w:type="dxa"/>
            <w:vAlign w:val="bottom"/>
          </w:tcPr>
          <w:p>
            <w:pPr>
              <w:jc w:val="right"/>
              <w:spacing w:after="0"/>
              <w:rPr>
                <w:sz w:val="20"/>
                <w:szCs w:val="20"/>
                <w:color w:val="auto"/>
              </w:rPr>
            </w:pPr>
            <w:r>
              <w:rPr>
                <w:rFonts w:ascii="Arial" w:cs="Arial" w:eastAsia="Arial" w:hAnsi="Arial"/>
                <w:sz w:val="13"/>
                <w:szCs w:val="13"/>
                <w:b w:val="1"/>
                <w:bCs w:val="1"/>
                <w:color w:val="auto"/>
              </w:rPr>
              <w:t>37</w:t>
            </w:r>
          </w:p>
        </w:tc>
      </w:tr>
      <w:tr>
        <w:trPr>
          <w:trHeight w:val="230"/>
        </w:trPr>
        <w:tc>
          <w:tcPr>
            <w:tcW w:w="860" w:type="dxa"/>
            <w:vAlign w:val="bottom"/>
          </w:tcPr>
          <w:p>
            <w:pPr>
              <w:spacing w:after="0"/>
              <w:rPr>
                <w:sz w:val="20"/>
                <w:szCs w:val="20"/>
                <w:color w:val="auto"/>
              </w:rPr>
            </w:pPr>
            <w:r>
              <w:rPr>
                <w:rFonts w:ascii="Arial" w:cs="Arial" w:eastAsia="Arial" w:hAnsi="Arial"/>
                <w:sz w:val="13"/>
                <w:szCs w:val="13"/>
                <w:b w:val="1"/>
                <w:bCs w:val="1"/>
                <w:color w:val="auto"/>
              </w:rPr>
              <w:t>Item 4.</w:t>
            </w:r>
          </w:p>
        </w:tc>
        <w:tc>
          <w:tcPr>
            <w:tcW w:w="8560" w:type="dxa"/>
            <w:vAlign w:val="bottom"/>
          </w:tcPr>
          <w:p>
            <w:pPr>
              <w:ind w:left="360"/>
              <w:spacing w:after="0"/>
              <w:rPr>
                <w:rFonts w:ascii="Arial" w:cs="Arial" w:eastAsia="Arial" w:hAnsi="Arial"/>
                <w:sz w:val="13"/>
                <w:szCs w:val="13"/>
                <w:u w:val="single" w:color="auto"/>
                <w:color w:val="0000EE"/>
              </w:rPr>
            </w:pPr>
            <w:hyperlink w:anchor="page39">
              <w:r>
                <w:rPr>
                  <w:rFonts w:ascii="Arial" w:cs="Arial" w:eastAsia="Arial" w:hAnsi="Arial"/>
                  <w:sz w:val="13"/>
                  <w:szCs w:val="13"/>
                  <w:u w:val="single" w:color="auto"/>
                  <w:color w:val="0000EE"/>
                </w:rPr>
                <w:t>Mine Safety Disclosures</w:t>
              </w:r>
            </w:hyperlink>
          </w:p>
        </w:tc>
        <w:tc>
          <w:tcPr>
            <w:tcW w:w="1760" w:type="dxa"/>
            <w:vAlign w:val="bottom"/>
          </w:tcPr>
          <w:p>
            <w:pPr>
              <w:jc w:val="right"/>
              <w:spacing w:after="0"/>
              <w:rPr>
                <w:sz w:val="20"/>
                <w:szCs w:val="20"/>
                <w:color w:val="auto"/>
              </w:rPr>
            </w:pPr>
            <w:r>
              <w:rPr>
                <w:rFonts w:ascii="Arial" w:cs="Arial" w:eastAsia="Arial" w:hAnsi="Arial"/>
                <w:sz w:val="13"/>
                <w:szCs w:val="13"/>
                <w:b w:val="1"/>
                <w:bCs w:val="1"/>
                <w:color w:val="auto"/>
              </w:rPr>
              <w:t>37</w:t>
            </w:r>
          </w:p>
        </w:tc>
      </w:tr>
      <w:tr>
        <w:trPr>
          <w:trHeight w:val="216"/>
        </w:trPr>
        <w:tc>
          <w:tcPr>
            <w:tcW w:w="860" w:type="dxa"/>
            <w:vAlign w:val="bottom"/>
          </w:tcPr>
          <w:p>
            <w:pPr>
              <w:spacing w:after="0"/>
              <w:rPr>
                <w:sz w:val="18"/>
                <w:szCs w:val="18"/>
                <w:color w:val="auto"/>
              </w:rPr>
            </w:pPr>
          </w:p>
        </w:tc>
        <w:tc>
          <w:tcPr>
            <w:tcW w:w="8560" w:type="dxa"/>
            <w:vAlign w:val="bottom"/>
          </w:tcPr>
          <w:p>
            <w:pPr>
              <w:ind w:left="4960"/>
              <w:spacing w:after="0"/>
              <w:rPr>
                <w:sz w:val="20"/>
                <w:szCs w:val="20"/>
                <w:color w:val="auto"/>
              </w:rPr>
            </w:pPr>
            <w:r>
              <w:rPr>
                <w:rFonts w:ascii="Arial" w:cs="Arial" w:eastAsia="Arial" w:hAnsi="Arial"/>
                <w:sz w:val="13"/>
                <w:szCs w:val="13"/>
                <w:b w:val="1"/>
                <w:bCs w:val="1"/>
                <w:color w:val="auto"/>
              </w:rPr>
              <w:t>PART II</w:t>
            </w:r>
          </w:p>
        </w:tc>
        <w:tc>
          <w:tcPr>
            <w:tcW w:w="1760" w:type="dxa"/>
            <w:vAlign w:val="bottom"/>
          </w:tcPr>
          <w:p>
            <w:pPr>
              <w:spacing w:after="0"/>
              <w:rPr>
                <w:sz w:val="18"/>
                <w:szCs w:val="18"/>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3"/>
                <w:szCs w:val="13"/>
                <w:b w:val="1"/>
                <w:bCs w:val="1"/>
                <w:color w:val="auto"/>
              </w:rPr>
              <w:t>Item 5.</w:t>
            </w:r>
          </w:p>
        </w:tc>
        <w:tc>
          <w:tcPr>
            <w:tcW w:w="8560" w:type="dxa"/>
            <w:vAlign w:val="bottom"/>
          </w:tcPr>
          <w:p>
            <w:pPr>
              <w:ind w:left="360"/>
              <w:spacing w:after="0"/>
              <w:rPr>
                <w:rFonts w:ascii="Arial" w:cs="Arial" w:eastAsia="Arial" w:hAnsi="Arial"/>
                <w:sz w:val="13"/>
                <w:szCs w:val="13"/>
                <w:u w:val="single" w:color="auto"/>
                <w:color w:val="0000EE"/>
              </w:rPr>
            </w:pPr>
            <w:hyperlink w:anchor="page40">
              <w:r>
                <w:rPr>
                  <w:rFonts w:ascii="Arial" w:cs="Arial" w:eastAsia="Arial" w:hAnsi="Arial"/>
                  <w:sz w:val="13"/>
                  <w:szCs w:val="13"/>
                  <w:u w:val="single" w:color="auto"/>
                  <w:color w:val="0000EE"/>
                </w:rPr>
                <w:t>Market For Registrant’s Common Equity, Related Stockholder Matters and Issuer Purchases of Equity Securities</w:t>
              </w:r>
            </w:hyperlink>
          </w:p>
        </w:tc>
        <w:tc>
          <w:tcPr>
            <w:tcW w:w="1760" w:type="dxa"/>
            <w:vAlign w:val="bottom"/>
          </w:tcPr>
          <w:p>
            <w:pPr>
              <w:jc w:val="right"/>
              <w:spacing w:after="0"/>
              <w:rPr>
                <w:sz w:val="20"/>
                <w:szCs w:val="20"/>
                <w:color w:val="auto"/>
              </w:rPr>
            </w:pPr>
            <w:r>
              <w:rPr>
                <w:rFonts w:ascii="Arial" w:cs="Arial" w:eastAsia="Arial" w:hAnsi="Arial"/>
                <w:sz w:val="13"/>
                <w:szCs w:val="13"/>
                <w:b w:val="1"/>
                <w:bCs w:val="1"/>
                <w:color w:val="auto"/>
              </w:rPr>
              <w:t>38</w:t>
            </w:r>
          </w:p>
        </w:tc>
      </w:tr>
      <w:tr>
        <w:trPr>
          <w:trHeight w:val="216"/>
        </w:trPr>
        <w:tc>
          <w:tcPr>
            <w:tcW w:w="860" w:type="dxa"/>
            <w:vAlign w:val="bottom"/>
          </w:tcPr>
          <w:p>
            <w:pPr>
              <w:spacing w:after="0"/>
              <w:rPr>
                <w:sz w:val="20"/>
                <w:szCs w:val="20"/>
                <w:color w:val="auto"/>
              </w:rPr>
            </w:pPr>
            <w:r>
              <w:rPr>
                <w:rFonts w:ascii="Arial" w:cs="Arial" w:eastAsia="Arial" w:hAnsi="Arial"/>
                <w:sz w:val="13"/>
                <w:szCs w:val="13"/>
                <w:b w:val="1"/>
                <w:bCs w:val="1"/>
                <w:color w:val="auto"/>
              </w:rPr>
              <w:t>Item 6.</w:t>
            </w:r>
          </w:p>
        </w:tc>
        <w:tc>
          <w:tcPr>
            <w:tcW w:w="8560" w:type="dxa"/>
            <w:vAlign w:val="bottom"/>
          </w:tcPr>
          <w:p>
            <w:pPr>
              <w:ind w:left="360"/>
              <w:spacing w:after="0"/>
              <w:rPr>
                <w:rFonts w:ascii="Arial" w:cs="Arial" w:eastAsia="Arial" w:hAnsi="Arial"/>
                <w:sz w:val="13"/>
                <w:szCs w:val="13"/>
                <w:u w:val="single" w:color="auto"/>
                <w:color w:val="0000EE"/>
              </w:rPr>
            </w:pPr>
            <w:hyperlink w:anchor="page43">
              <w:r>
                <w:rPr>
                  <w:rFonts w:ascii="Arial" w:cs="Arial" w:eastAsia="Arial" w:hAnsi="Arial"/>
                  <w:sz w:val="13"/>
                  <w:szCs w:val="13"/>
                  <w:u w:val="single" w:color="auto"/>
                  <w:color w:val="0000EE"/>
                </w:rPr>
                <w:t>Selected Financial Data</w:t>
              </w:r>
            </w:hyperlink>
          </w:p>
        </w:tc>
        <w:tc>
          <w:tcPr>
            <w:tcW w:w="1760" w:type="dxa"/>
            <w:vAlign w:val="bottom"/>
          </w:tcPr>
          <w:p>
            <w:pPr>
              <w:jc w:val="right"/>
              <w:spacing w:after="0"/>
              <w:rPr>
                <w:sz w:val="20"/>
                <w:szCs w:val="20"/>
                <w:color w:val="auto"/>
              </w:rPr>
            </w:pPr>
            <w:r>
              <w:rPr>
                <w:rFonts w:ascii="Arial" w:cs="Arial" w:eastAsia="Arial" w:hAnsi="Arial"/>
                <w:sz w:val="13"/>
                <w:szCs w:val="13"/>
                <w:b w:val="1"/>
                <w:bCs w:val="1"/>
                <w:color w:val="auto"/>
              </w:rPr>
              <w:t>41</w:t>
            </w:r>
          </w:p>
        </w:tc>
      </w:tr>
      <w:tr>
        <w:trPr>
          <w:trHeight w:val="216"/>
        </w:trPr>
        <w:tc>
          <w:tcPr>
            <w:tcW w:w="860" w:type="dxa"/>
            <w:vAlign w:val="bottom"/>
          </w:tcPr>
          <w:p>
            <w:pPr>
              <w:spacing w:after="0"/>
              <w:rPr>
                <w:sz w:val="20"/>
                <w:szCs w:val="20"/>
                <w:color w:val="auto"/>
              </w:rPr>
            </w:pPr>
            <w:r>
              <w:rPr>
                <w:rFonts w:ascii="Arial" w:cs="Arial" w:eastAsia="Arial" w:hAnsi="Arial"/>
                <w:sz w:val="13"/>
                <w:szCs w:val="13"/>
                <w:b w:val="1"/>
                <w:bCs w:val="1"/>
                <w:color w:val="auto"/>
              </w:rPr>
              <w:t>Item 7.</w:t>
            </w:r>
          </w:p>
        </w:tc>
        <w:tc>
          <w:tcPr>
            <w:tcW w:w="8560" w:type="dxa"/>
            <w:vAlign w:val="bottom"/>
          </w:tcPr>
          <w:p>
            <w:pPr>
              <w:ind w:left="360"/>
              <w:spacing w:after="0"/>
              <w:rPr>
                <w:rFonts w:ascii="Arial" w:cs="Arial" w:eastAsia="Arial" w:hAnsi="Arial"/>
                <w:sz w:val="13"/>
                <w:szCs w:val="13"/>
                <w:u w:val="single" w:color="auto"/>
                <w:color w:val="0000EE"/>
              </w:rPr>
            </w:pPr>
            <w:hyperlink w:anchor="page44">
              <w:r>
                <w:rPr>
                  <w:rFonts w:ascii="Arial" w:cs="Arial" w:eastAsia="Arial" w:hAnsi="Arial"/>
                  <w:sz w:val="13"/>
                  <w:szCs w:val="13"/>
                  <w:u w:val="single" w:color="auto"/>
                  <w:color w:val="0000EE"/>
                </w:rPr>
                <w:t>Management’s Discussion and Analysis of Financial Condition and Results of Operations</w:t>
              </w:r>
            </w:hyperlink>
          </w:p>
        </w:tc>
        <w:tc>
          <w:tcPr>
            <w:tcW w:w="1760" w:type="dxa"/>
            <w:vAlign w:val="bottom"/>
          </w:tcPr>
          <w:p>
            <w:pPr>
              <w:jc w:val="right"/>
              <w:spacing w:after="0"/>
              <w:rPr>
                <w:sz w:val="20"/>
                <w:szCs w:val="20"/>
                <w:color w:val="auto"/>
              </w:rPr>
            </w:pPr>
            <w:r>
              <w:rPr>
                <w:rFonts w:ascii="Arial" w:cs="Arial" w:eastAsia="Arial" w:hAnsi="Arial"/>
                <w:sz w:val="13"/>
                <w:szCs w:val="13"/>
                <w:b w:val="1"/>
                <w:bCs w:val="1"/>
                <w:color w:val="auto"/>
              </w:rPr>
              <w:t>42</w:t>
            </w:r>
          </w:p>
        </w:tc>
      </w:tr>
      <w:tr>
        <w:trPr>
          <w:trHeight w:val="216"/>
        </w:trPr>
        <w:tc>
          <w:tcPr>
            <w:tcW w:w="860" w:type="dxa"/>
            <w:vAlign w:val="bottom"/>
          </w:tcPr>
          <w:p>
            <w:pPr>
              <w:spacing w:after="0"/>
              <w:rPr>
                <w:sz w:val="20"/>
                <w:szCs w:val="20"/>
                <w:color w:val="auto"/>
              </w:rPr>
            </w:pPr>
            <w:r>
              <w:rPr>
                <w:rFonts w:ascii="Arial" w:cs="Arial" w:eastAsia="Arial" w:hAnsi="Arial"/>
                <w:sz w:val="13"/>
                <w:szCs w:val="13"/>
                <w:b w:val="1"/>
                <w:bCs w:val="1"/>
                <w:color w:val="auto"/>
              </w:rPr>
              <w:t>Item 7A.</w:t>
            </w:r>
          </w:p>
        </w:tc>
        <w:tc>
          <w:tcPr>
            <w:tcW w:w="8560" w:type="dxa"/>
            <w:vAlign w:val="bottom"/>
          </w:tcPr>
          <w:p>
            <w:pPr>
              <w:ind w:left="360"/>
              <w:spacing w:after="0"/>
              <w:rPr>
                <w:rFonts w:ascii="Arial" w:cs="Arial" w:eastAsia="Arial" w:hAnsi="Arial"/>
                <w:sz w:val="13"/>
                <w:szCs w:val="13"/>
                <w:u w:val="single" w:color="auto"/>
                <w:color w:val="0000EE"/>
              </w:rPr>
            </w:pPr>
            <w:hyperlink w:anchor="page53">
              <w:r>
                <w:rPr>
                  <w:rFonts w:ascii="Arial" w:cs="Arial" w:eastAsia="Arial" w:hAnsi="Arial"/>
                  <w:sz w:val="13"/>
                  <w:szCs w:val="13"/>
                  <w:u w:val="single" w:color="auto"/>
                  <w:color w:val="0000EE"/>
                </w:rPr>
                <w:t>Quantitative And Qualitative Disclosures About Market Risk</w:t>
              </w:r>
            </w:hyperlink>
          </w:p>
        </w:tc>
        <w:tc>
          <w:tcPr>
            <w:tcW w:w="1760" w:type="dxa"/>
            <w:vAlign w:val="bottom"/>
          </w:tcPr>
          <w:p>
            <w:pPr>
              <w:jc w:val="right"/>
              <w:spacing w:after="0"/>
              <w:rPr>
                <w:sz w:val="20"/>
                <w:szCs w:val="20"/>
                <w:color w:val="auto"/>
              </w:rPr>
            </w:pPr>
            <w:r>
              <w:rPr>
                <w:rFonts w:ascii="Arial" w:cs="Arial" w:eastAsia="Arial" w:hAnsi="Arial"/>
                <w:sz w:val="13"/>
                <w:szCs w:val="13"/>
                <w:b w:val="1"/>
                <w:bCs w:val="1"/>
                <w:color w:val="auto"/>
              </w:rPr>
              <w:t>51</w:t>
            </w:r>
          </w:p>
        </w:tc>
      </w:tr>
      <w:tr>
        <w:trPr>
          <w:trHeight w:val="216"/>
        </w:trPr>
        <w:tc>
          <w:tcPr>
            <w:tcW w:w="860" w:type="dxa"/>
            <w:vAlign w:val="bottom"/>
          </w:tcPr>
          <w:p>
            <w:pPr>
              <w:spacing w:after="0"/>
              <w:rPr>
                <w:sz w:val="20"/>
                <w:szCs w:val="20"/>
                <w:color w:val="auto"/>
              </w:rPr>
            </w:pPr>
            <w:r>
              <w:rPr>
                <w:rFonts w:ascii="Arial" w:cs="Arial" w:eastAsia="Arial" w:hAnsi="Arial"/>
                <w:sz w:val="13"/>
                <w:szCs w:val="13"/>
                <w:b w:val="1"/>
                <w:bCs w:val="1"/>
                <w:color w:val="auto"/>
              </w:rPr>
              <w:t>Item 8.</w:t>
            </w:r>
          </w:p>
        </w:tc>
        <w:tc>
          <w:tcPr>
            <w:tcW w:w="8560" w:type="dxa"/>
            <w:vAlign w:val="bottom"/>
          </w:tcPr>
          <w:p>
            <w:pPr>
              <w:ind w:left="360"/>
              <w:spacing w:after="0"/>
              <w:rPr>
                <w:rFonts w:ascii="Arial" w:cs="Arial" w:eastAsia="Arial" w:hAnsi="Arial"/>
                <w:sz w:val="13"/>
                <w:szCs w:val="13"/>
                <w:u w:val="single" w:color="auto"/>
                <w:color w:val="0000EE"/>
              </w:rPr>
            </w:pPr>
            <w:hyperlink w:anchor="page54">
              <w:r>
                <w:rPr>
                  <w:rFonts w:ascii="Arial" w:cs="Arial" w:eastAsia="Arial" w:hAnsi="Arial"/>
                  <w:sz w:val="13"/>
                  <w:szCs w:val="13"/>
                  <w:u w:val="single" w:color="auto"/>
                  <w:color w:val="0000EE"/>
                </w:rPr>
                <w:t>Consolidated Financial Statements and Supplementary Data</w:t>
              </w:r>
            </w:hyperlink>
          </w:p>
        </w:tc>
        <w:tc>
          <w:tcPr>
            <w:tcW w:w="1760" w:type="dxa"/>
            <w:vAlign w:val="bottom"/>
          </w:tcPr>
          <w:p>
            <w:pPr>
              <w:jc w:val="right"/>
              <w:spacing w:after="0"/>
              <w:rPr>
                <w:sz w:val="20"/>
                <w:szCs w:val="20"/>
                <w:color w:val="auto"/>
              </w:rPr>
            </w:pPr>
            <w:r>
              <w:rPr>
                <w:rFonts w:ascii="Arial" w:cs="Arial" w:eastAsia="Arial" w:hAnsi="Arial"/>
                <w:sz w:val="13"/>
                <w:szCs w:val="13"/>
                <w:b w:val="1"/>
                <w:bCs w:val="1"/>
                <w:color w:val="auto"/>
              </w:rPr>
              <w:t>52</w:t>
            </w:r>
          </w:p>
        </w:tc>
      </w:tr>
      <w:tr>
        <w:trPr>
          <w:trHeight w:val="216"/>
        </w:trPr>
        <w:tc>
          <w:tcPr>
            <w:tcW w:w="860" w:type="dxa"/>
            <w:vAlign w:val="bottom"/>
          </w:tcPr>
          <w:p>
            <w:pPr>
              <w:spacing w:after="0"/>
              <w:rPr>
                <w:sz w:val="20"/>
                <w:szCs w:val="20"/>
                <w:color w:val="auto"/>
              </w:rPr>
            </w:pPr>
            <w:r>
              <w:rPr>
                <w:rFonts w:ascii="Arial" w:cs="Arial" w:eastAsia="Arial" w:hAnsi="Arial"/>
                <w:sz w:val="13"/>
                <w:szCs w:val="13"/>
                <w:b w:val="1"/>
                <w:bCs w:val="1"/>
                <w:color w:val="auto"/>
              </w:rPr>
              <w:t>Item 9.</w:t>
            </w:r>
          </w:p>
        </w:tc>
        <w:tc>
          <w:tcPr>
            <w:tcW w:w="8560" w:type="dxa"/>
            <w:vAlign w:val="bottom"/>
          </w:tcPr>
          <w:p>
            <w:pPr>
              <w:ind w:left="360"/>
              <w:spacing w:after="0"/>
              <w:rPr>
                <w:rFonts w:ascii="Arial" w:cs="Arial" w:eastAsia="Arial" w:hAnsi="Arial"/>
                <w:sz w:val="13"/>
                <w:szCs w:val="13"/>
                <w:u w:val="single" w:color="auto"/>
                <w:color w:val="0000EE"/>
              </w:rPr>
            </w:pPr>
            <w:hyperlink w:anchor="page80">
              <w:r>
                <w:rPr>
                  <w:rFonts w:ascii="Arial" w:cs="Arial" w:eastAsia="Arial" w:hAnsi="Arial"/>
                  <w:sz w:val="13"/>
                  <w:szCs w:val="13"/>
                  <w:u w:val="single" w:color="auto"/>
                  <w:color w:val="0000EE"/>
                </w:rPr>
                <w:t>Changes in and Disagreements with Accountants on Accounting and Financial Disclosure</w:t>
              </w:r>
            </w:hyperlink>
          </w:p>
        </w:tc>
        <w:tc>
          <w:tcPr>
            <w:tcW w:w="1760" w:type="dxa"/>
            <w:vAlign w:val="bottom"/>
          </w:tcPr>
          <w:p>
            <w:pPr>
              <w:jc w:val="right"/>
              <w:spacing w:after="0"/>
              <w:rPr>
                <w:sz w:val="20"/>
                <w:szCs w:val="20"/>
                <w:color w:val="auto"/>
              </w:rPr>
            </w:pPr>
            <w:r>
              <w:rPr>
                <w:rFonts w:ascii="Arial" w:cs="Arial" w:eastAsia="Arial" w:hAnsi="Arial"/>
                <w:sz w:val="13"/>
                <w:szCs w:val="13"/>
                <w:b w:val="1"/>
                <w:bCs w:val="1"/>
                <w:color w:val="auto"/>
              </w:rPr>
              <w:t>78</w:t>
            </w:r>
          </w:p>
        </w:tc>
      </w:tr>
      <w:tr>
        <w:trPr>
          <w:trHeight w:val="216"/>
        </w:trPr>
        <w:tc>
          <w:tcPr>
            <w:tcW w:w="860" w:type="dxa"/>
            <w:vAlign w:val="bottom"/>
          </w:tcPr>
          <w:p>
            <w:pPr>
              <w:spacing w:after="0"/>
              <w:rPr>
                <w:sz w:val="20"/>
                <w:szCs w:val="20"/>
                <w:color w:val="auto"/>
              </w:rPr>
            </w:pPr>
            <w:r>
              <w:rPr>
                <w:rFonts w:ascii="Arial" w:cs="Arial" w:eastAsia="Arial" w:hAnsi="Arial"/>
                <w:sz w:val="13"/>
                <w:szCs w:val="13"/>
                <w:b w:val="1"/>
                <w:bCs w:val="1"/>
                <w:color w:val="auto"/>
              </w:rPr>
              <w:t>Item 9A.</w:t>
            </w:r>
          </w:p>
        </w:tc>
        <w:tc>
          <w:tcPr>
            <w:tcW w:w="8560" w:type="dxa"/>
            <w:vAlign w:val="bottom"/>
          </w:tcPr>
          <w:p>
            <w:pPr>
              <w:ind w:left="360"/>
              <w:spacing w:after="0"/>
              <w:rPr>
                <w:rFonts w:ascii="Arial" w:cs="Arial" w:eastAsia="Arial" w:hAnsi="Arial"/>
                <w:sz w:val="13"/>
                <w:szCs w:val="13"/>
                <w:u w:val="single" w:color="auto"/>
                <w:color w:val="0000EE"/>
              </w:rPr>
            </w:pPr>
            <w:hyperlink w:anchor="page80">
              <w:r>
                <w:rPr>
                  <w:rFonts w:ascii="Arial" w:cs="Arial" w:eastAsia="Arial" w:hAnsi="Arial"/>
                  <w:sz w:val="13"/>
                  <w:szCs w:val="13"/>
                  <w:u w:val="single" w:color="auto"/>
                  <w:color w:val="0000EE"/>
                </w:rPr>
                <w:t>Controls and Procedures</w:t>
              </w:r>
            </w:hyperlink>
          </w:p>
        </w:tc>
        <w:tc>
          <w:tcPr>
            <w:tcW w:w="1760" w:type="dxa"/>
            <w:vAlign w:val="bottom"/>
          </w:tcPr>
          <w:p>
            <w:pPr>
              <w:jc w:val="right"/>
              <w:spacing w:after="0"/>
              <w:rPr>
                <w:sz w:val="20"/>
                <w:szCs w:val="20"/>
                <w:color w:val="auto"/>
              </w:rPr>
            </w:pPr>
            <w:r>
              <w:rPr>
                <w:rFonts w:ascii="Arial" w:cs="Arial" w:eastAsia="Arial" w:hAnsi="Arial"/>
                <w:sz w:val="13"/>
                <w:szCs w:val="13"/>
                <w:b w:val="1"/>
                <w:bCs w:val="1"/>
                <w:color w:val="auto"/>
              </w:rPr>
              <w:t>78</w:t>
            </w:r>
          </w:p>
        </w:tc>
      </w:tr>
      <w:tr>
        <w:trPr>
          <w:trHeight w:val="216"/>
        </w:trPr>
        <w:tc>
          <w:tcPr>
            <w:tcW w:w="860" w:type="dxa"/>
            <w:vAlign w:val="bottom"/>
          </w:tcPr>
          <w:p>
            <w:pPr>
              <w:spacing w:after="0"/>
              <w:rPr>
                <w:sz w:val="20"/>
                <w:szCs w:val="20"/>
                <w:color w:val="auto"/>
              </w:rPr>
            </w:pPr>
            <w:r>
              <w:rPr>
                <w:rFonts w:ascii="Arial" w:cs="Arial" w:eastAsia="Arial" w:hAnsi="Arial"/>
                <w:sz w:val="13"/>
                <w:szCs w:val="13"/>
                <w:b w:val="1"/>
                <w:bCs w:val="1"/>
                <w:color w:val="auto"/>
              </w:rPr>
              <w:t>Item 9B.</w:t>
            </w:r>
          </w:p>
        </w:tc>
        <w:tc>
          <w:tcPr>
            <w:tcW w:w="8560" w:type="dxa"/>
            <w:vAlign w:val="bottom"/>
          </w:tcPr>
          <w:p>
            <w:pPr>
              <w:ind w:left="360"/>
              <w:spacing w:after="0"/>
              <w:rPr>
                <w:rFonts w:ascii="Arial" w:cs="Arial" w:eastAsia="Arial" w:hAnsi="Arial"/>
                <w:sz w:val="13"/>
                <w:szCs w:val="13"/>
                <w:u w:val="single" w:color="auto"/>
                <w:color w:val="0000EE"/>
              </w:rPr>
            </w:pPr>
            <w:hyperlink w:anchor="page80">
              <w:r>
                <w:rPr>
                  <w:rFonts w:ascii="Arial" w:cs="Arial" w:eastAsia="Arial" w:hAnsi="Arial"/>
                  <w:sz w:val="13"/>
                  <w:szCs w:val="13"/>
                  <w:u w:val="single" w:color="auto"/>
                  <w:color w:val="0000EE"/>
                </w:rPr>
                <w:t>Other Information</w:t>
              </w:r>
            </w:hyperlink>
          </w:p>
        </w:tc>
        <w:tc>
          <w:tcPr>
            <w:tcW w:w="1760" w:type="dxa"/>
            <w:vAlign w:val="bottom"/>
          </w:tcPr>
          <w:p>
            <w:pPr>
              <w:jc w:val="right"/>
              <w:spacing w:after="0"/>
              <w:rPr>
                <w:sz w:val="20"/>
                <w:szCs w:val="20"/>
                <w:color w:val="auto"/>
              </w:rPr>
            </w:pPr>
            <w:r>
              <w:rPr>
                <w:rFonts w:ascii="Arial" w:cs="Arial" w:eastAsia="Arial" w:hAnsi="Arial"/>
                <w:sz w:val="13"/>
                <w:szCs w:val="13"/>
                <w:b w:val="1"/>
                <w:bCs w:val="1"/>
                <w:color w:val="auto"/>
              </w:rPr>
              <w:t>78</w:t>
            </w:r>
          </w:p>
        </w:tc>
      </w:tr>
      <w:tr>
        <w:trPr>
          <w:trHeight w:val="216"/>
        </w:trPr>
        <w:tc>
          <w:tcPr>
            <w:tcW w:w="860" w:type="dxa"/>
            <w:vAlign w:val="bottom"/>
          </w:tcPr>
          <w:p>
            <w:pPr>
              <w:spacing w:after="0"/>
              <w:rPr>
                <w:sz w:val="18"/>
                <w:szCs w:val="18"/>
                <w:color w:val="auto"/>
              </w:rPr>
            </w:pPr>
          </w:p>
        </w:tc>
        <w:tc>
          <w:tcPr>
            <w:tcW w:w="8560" w:type="dxa"/>
            <w:vAlign w:val="bottom"/>
          </w:tcPr>
          <w:p>
            <w:pPr>
              <w:ind w:left="4920"/>
              <w:spacing w:after="0"/>
              <w:rPr>
                <w:sz w:val="20"/>
                <w:szCs w:val="20"/>
                <w:color w:val="auto"/>
              </w:rPr>
            </w:pPr>
            <w:r>
              <w:rPr>
                <w:rFonts w:ascii="Arial" w:cs="Arial" w:eastAsia="Arial" w:hAnsi="Arial"/>
                <w:sz w:val="13"/>
                <w:szCs w:val="13"/>
                <w:b w:val="1"/>
                <w:bCs w:val="1"/>
                <w:color w:val="auto"/>
              </w:rPr>
              <w:t>PART III</w:t>
            </w:r>
          </w:p>
        </w:tc>
        <w:tc>
          <w:tcPr>
            <w:tcW w:w="1760" w:type="dxa"/>
            <w:vAlign w:val="bottom"/>
          </w:tcPr>
          <w:p>
            <w:pPr>
              <w:spacing w:after="0"/>
              <w:rPr>
                <w:sz w:val="18"/>
                <w:szCs w:val="18"/>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3"/>
                <w:szCs w:val="13"/>
                <w:b w:val="1"/>
                <w:bCs w:val="1"/>
                <w:color w:val="auto"/>
              </w:rPr>
              <w:t>Item 10.</w:t>
            </w:r>
          </w:p>
        </w:tc>
        <w:tc>
          <w:tcPr>
            <w:tcW w:w="8560" w:type="dxa"/>
            <w:vAlign w:val="bottom"/>
          </w:tcPr>
          <w:p>
            <w:pPr>
              <w:ind w:left="360"/>
              <w:spacing w:after="0"/>
              <w:rPr>
                <w:rFonts w:ascii="Arial" w:cs="Arial" w:eastAsia="Arial" w:hAnsi="Arial"/>
                <w:sz w:val="13"/>
                <w:szCs w:val="13"/>
                <w:u w:val="single" w:color="auto"/>
                <w:color w:val="0000EE"/>
              </w:rPr>
            </w:pPr>
            <w:hyperlink w:anchor="page81">
              <w:r>
                <w:rPr>
                  <w:rFonts w:ascii="Arial" w:cs="Arial" w:eastAsia="Arial" w:hAnsi="Arial"/>
                  <w:sz w:val="13"/>
                  <w:szCs w:val="13"/>
                  <w:u w:val="single" w:color="auto"/>
                  <w:color w:val="0000EE"/>
                </w:rPr>
                <w:t>Directors, Executive Officers and Corporate Governance</w:t>
              </w:r>
            </w:hyperlink>
          </w:p>
        </w:tc>
        <w:tc>
          <w:tcPr>
            <w:tcW w:w="1760" w:type="dxa"/>
            <w:vAlign w:val="bottom"/>
          </w:tcPr>
          <w:p>
            <w:pPr>
              <w:jc w:val="right"/>
              <w:spacing w:after="0"/>
              <w:rPr>
                <w:sz w:val="20"/>
                <w:szCs w:val="20"/>
                <w:color w:val="auto"/>
              </w:rPr>
            </w:pPr>
            <w:r>
              <w:rPr>
                <w:rFonts w:ascii="Arial" w:cs="Arial" w:eastAsia="Arial" w:hAnsi="Arial"/>
                <w:sz w:val="13"/>
                <w:szCs w:val="13"/>
                <w:b w:val="1"/>
                <w:bCs w:val="1"/>
                <w:color w:val="auto"/>
              </w:rPr>
              <w:t>79</w:t>
            </w:r>
          </w:p>
        </w:tc>
      </w:tr>
      <w:tr>
        <w:trPr>
          <w:trHeight w:val="216"/>
        </w:trPr>
        <w:tc>
          <w:tcPr>
            <w:tcW w:w="860" w:type="dxa"/>
            <w:vAlign w:val="bottom"/>
          </w:tcPr>
          <w:p>
            <w:pPr>
              <w:spacing w:after="0"/>
              <w:rPr>
                <w:sz w:val="20"/>
                <w:szCs w:val="20"/>
                <w:color w:val="auto"/>
              </w:rPr>
            </w:pPr>
            <w:r>
              <w:rPr>
                <w:rFonts w:ascii="Arial" w:cs="Arial" w:eastAsia="Arial" w:hAnsi="Arial"/>
                <w:sz w:val="13"/>
                <w:szCs w:val="13"/>
                <w:b w:val="1"/>
                <w:bCs w:val="1"/>
                <w:color w:val="auto"/>
              </w:rPr>
              <w:t>Item 11.</w:t>
            </w:r>
          </w:p>
        </w:tc>
        <w:tc>
          <w:tcPr>
            <w:tcW w:w="8560" w:type="dxa"/>
            <w:vAlign w:val="bottom"/>
          </w:tcPr>
          <w:p>
            <w:pPr>
              <w:ind w:left="360"/>
              <w:spacing w:after="0"/>
              <w:rPr>
                <w:rFonts w:ascii="Arial" w:cs="Arial" w:eastAsia="Arial" w:hAnsi="Arial"/>
                <w:sz w:val="13"/>
                <w:szCs w:val="13"/>
                <w:u w:val="single" w:color="auto"/>
                <w:color w:val="0000EE"/>
              </w:rPr>
            </w:pPr>
            <w:hyperlink w:anchor="page81">
              <w:r>
                <w:rPr>
                  <w:rFonts w:ascii="Arial" w:cs="Arial" w:eastAsia="Arial" w:hAnsi="Arial"/>
                  <w:sz w:val="13"/>
                  <w:szCs w:val="13"/>
                  <w:u w:val="single" w:color="auto"/>
                  <w:color w:val="0000EE"/>
                </w:rPr>
                <w:t>Executive Compensation</w:t>
              </w:r>
            </w:hyperlink>
          </w:p>
        </w:tc>
        <w:tc>
          <w:tcPr>
            <w:tcW w:w="1760" w:type="dxa"/>
            <w:vAlign w:val="bottom"/>
          </w:tcPr>
          <w:p>
            <w:pPr>
              <w:jc w:val="right"/>
              <w:spacing w:after="0"/>
              <w:rPr>
                <w:sz w:val="20"/>
                <w:szCs w:val="20"/>
                <w:color w:val="auto"/>
              </w:rPr>
            </w:pPr>
            <w:r>
              <w:rPr>
                <w:rFonts w:ascii="Arial" w:cs="Arial" w:eastAsia="Arial" w:hAnsi="Arial"/>
                <w:sz w:val="13"/>
                <w:szCs w:val="13"/>
                <w:b w:val="1"/>
                <w:bCs w:val="1"/>
                <w:color w:val="auto"/>
              </w:rPr>
              <w:t>79</w:t>
            </w:r>
          </w:p>
        </w:tc>
      </w:tr>
      <w:tr>
        <w:trPr>
          <w:trHeight w:val="216"/>
        </w:trPr>
        <w:tc>
          <w:tcPr>
            <w:tcW w:w="860" w:type="dxa"/>
            <w:vAlign w:val="bottom"/>
          </w:tcPr>
          <w:p>
            <w:pPr>
              <w:spacing w:after="0"/>
              <w:rPr>
                <w:sz w:val="20"/>
                <w:szCs w:val="20"/>
                <w:color w:val="auto"/>
              </w:rPr>
            </w:pPr>
            <w:r>
              <w:rPr>
                <w:rFonts w:ascii="Arial" w:cs="Arial" w:eastAsia="Arial" w:hAnsi="Arial"/>
                <w:sz w:val="13"/>
                <w:szCs w:val="13"/>
                <w:b w:val="1"/>
                <w:bCs w:val="1"/>
                <w:color w:val="auto"/>
              </w:rPr>
              <w:t>Item 12.</w:t>
            </w:r>
          </w:p>
        </w:tc>
        <w:tc>
          <w:tcPr>
            <w:tcW w:w="8560" w:type="dxa"/>
            <w:vAlign w:val="bottom"/>
          </w:tcPr>
          <w:p>
            <w:pPr>
              <w:ind w:left="360"/>
              <w:spacing w:after="0"/>
              <w:rPr>
                <w:rFonts w:ascii="Arial" w:cs="Arial" w:eastAsia="Arial" w:hAnsi="Arial"/>
                <w:sz w:val="13"/>
                <w:szCs w:val="13"/>
                <w:u w:val="single" w:color="auto"/>
                <w:color w:val="0000EE"/>
              </w:rPr>
            </w:pPr>
            <w:hyperlink w:anchor="page81">
              <w:r>
                <w:rPr>
                  <w:rFonts w:ascii="Arial" w:cs="Arial" w:eastAsia="Arial" w:hAnsi="Arial"/>
                  <w:sz w:val="13"/>
                  <w:szCs w:val="13"/>
                  <w:u w:val="single" w:color="auto"/>
                  <w:color w:val="0000EE"/>
                </w:rPr>
                <w:t>Security Ownership of Certain Beneficial Owners and Management and Related Stockholder Matters</w:t>
              </w:r>
            </w:hyperlink>
          </w:p>
        </w:tc>
        <w:tc>
          <w:tcPr>
            <w:tcW w:w="1760" w:type="dxa"/>
            <w:vAlign w:val="bottom"/>
          </w:tcPr>
          <w:p>
            <w:pPr>
              <w:jc w:val="right"/>
              <w:spacing w:after="0"/>
              <w:rPr>
                <w:sz w:val="20"/>
                <w:szCs w:val="20"/>
                <w:color w:val="auto"/>
              </w:rPr>
            </w:pPr>
            <w:r>
              <w:rPr>
                <w:rFonts w:ascii="Arial" w:cs="Arial" w:eastAsia="Arial" w:hAnsi="Arial"/>
                <w:sz w:val="13"/>
                <w:szCs w:val="13"/>
                <w:b w:val="1"/>
                <w:bCs w:val="1"/>
                <w:color w:val="auto"/>
              </w:rPr>
              <w:t>79</w:t>
            </w:r>
          </w:p>
        </w:tc>
      </w:tr>
      <w:tr>
        <w:trPr>
          <w:trHeight w:val="216"/>
        </w:trPr>
        <w:tc>
          <w:tcPr>
            <w:tcW w:w="860" w:type="dxa"/>
            <w:vAlign w:val="bottom"/>
          </w:tcPr>
          <w:p>
            <w:pPr>
              <w:spacing w:after="0"/>
              <w:rPr>
                <w:sz w:val="20"/>
                <w:szCs w:val="20"/>
                <w:color w:val="auto"/>
              </w:rPr>
            </w:pPr>
            <w:r>
              <w:rPr>
                <w:rFonts w:ascii="Arial" w:cs="Arial" w:eastAsia="Arial" w:hAnsi="Arial"/>
                <w:sz w:val="13"/>
                <w:szCs w:val="13"/>
                <w:b w:val="1"/>
                <w:bCs w:val="1"/>
                <w:color w:val="auto"/>
              </w:rPr>
              <w:t>Item 13.</w:t>
            </w:r>
          </w:p>
        </w:tc>
        <w:tc>
          <w:tcPr>
            <w:tcW w:w="8560" w:type="dxa"/>
            <w:vAlign w:val="bottom"/>
          </w:tcPr>
          <w:p>
            <w:pPr>
              <w:ind w:left="360"/>
              <w:spacing w:after="0"/>
              <w:rPr>
                <w:rFonts w:ascii="Arial" w:cs="Arial" w:eastAsia="Arial" w:hAnsi="Arial"/>
                <w:sz w:val="13"/>
                <w:szCs w:val="13"/>
                <w:u w:val="single" w:color="auto"/>
                <w:color w:val="0000EE"/>
              </w:rPr>
            </w:pPr>
            <w:hyperlink w:anchor="page81">
              <w:r>
                <w:rPr>
                  <w:rFonts w:ascii="Arial" w:cs="Arial" w:eastAsia="Arial" w:hAnsi="Arial"/>
                  <w:sz w:val="13"/>
                  <w:szCs w:val="13"/>
                  <w:u w:val="single" w:color="auto"/>
                  <w:color w:val="0000EE"/>
                </w:rPr>
                <w:t>Certain Relationships and Related Transactions, and Director Independence</w:t>
              </w:r>
            </w:hyperlink>
          </w:p>
        </w:tc>
        <w:tc>
          <w:tcPr>
            <w:tcW w:w="1760" w:type="dxa"/>
            <w:vAlign w:val="bottom"/>
          </w:tcPr>
          <w:p>
            <w:pPr>
              <w:jc w:val="right"/>
              <w:spacing w:after="0"/>
              <w:rPr>
                <w:sz w:val="20"/>
                <w:szCs w:val="20"/>
                <w:color w:val="auto"/>
              </w:rPr>
            </w:pPr>
            <w:r>
              <w:rPr>
                <w:rFonts w:ascii="Arial" w:cs="Arial" w:eastAsia="Arial" w:hAnsi="Arial"/>
                <w:sz w:val="13"/>
                <w:szCs w:val="13"/>
                <w:b w:val="1"/>
                <w:bCs w:val="1"/>
                <w:color w:val="auto"/>
              </w:rPr>
              <w:t>79</w:t>
            </w:r>
          </w:p>
        </w:tc>
      </w:tr>
      <w:tr>
        <w:trPr>
          <w:trHeight w:val="216"/>
        </w:trPr>
        <w:tc>
          <w:tcPr>
            <w:tcW w:w="860" w:type="dxa"/>
            <w:vAlign w:val="bottom"/>
          </w:tcPr>
          <w:p>
            <w:pPr>
              <w:spacing w:after="0"/>
              <w:rPr>
                <w:sz w:val="20"/>
                <w:szCs w:val="20"/>
                <w:color w:val="auto"/>
              </w:rPr>
            </w:pPr>
            <w:r>
              <w:rPr>
                <w:rFonts w:ascii="Arial" w:cs="Arial" w:eastAsia="Arial" w:hAnsi="Arial"/>
                <w:sz w:val="13"/>
                <w:szCs w:val="13"/>
                <w:b w:val="1"/>
                <w:bCs w:val="1"/>
                <w:color w:val="auto"/>
              </w:rPr>
              <w:t>Item 14.</w:t>
            </w:r>
          </w:p>
        </w:tc>
        <w:tc>
          <w:tcPr>
            <w:tcW w:w="8560" w:type="dxa"/>
            <w:vAlign w:val="bottom"/>
          </w:tcPr>
          <w:p>
            <w:pPr>
              <w:ind w:left="360"/>
              <w:spacing w:after="0"/>
              <w:rPr>
                <w:rFonts w:ascii="Arial" w:cs="Arial" w:eastAsia="Arial" w:hAnsi="Arial"/>
                <w:sz w:val="13"/>
                <w:szCs w:val="13"/>
                <w:u w:val="single" w:color="auto"/>
                <w:color w:val="0000EE"/>
              </w:rPr>
            </w:pPr>
            <w:hyperlink w:anchor="page81">
              <w:r>
                <w:rPr>
                  <w:rFonts w:ascii="Arial" w:cs="Arial" w:eastAsia="Arial" w:hAnsi="Arial"/>
                  <w:sz w:val="13"/>
                  <w:szCs w:val="13"/>
                  <w:u w:val="single" w:color="auto"/>
                  <w:color w:val="0000EE"/>
                </w:rPr>
                <w:t>Principal Accountant Fees and Services</w:t>
              </w:r>
            </w:hyperlink>
          </w:p>
        </w:tc>
        <w:tc>
          <w:tcPr>
            <w:tcW w:w="1760" w:type="dxa"/>
            <w:vAlign w:val="bottom"/>
          </w:tcPr>
          <w:p>
            <w:pPr>
              <w:jc w:val="right"/>
              <w:spacing w:after="0"/>
              <w:rPr>
                <w:sz w:val="20"/>
                <w:szCs w:val="20"/>
                <w:color w:val="auto"/>
              </w:rPr>
            </w:pPr>
            <w:r>
              <w:rPr>
                <w:rFonts w:ascii="Arial" w:cs="Arial" w:eastAsia="Arial" w:hAnsi="Arial"/>
                <w:sz w:val="13"/>
                <w:szCs w:val="13"/>
                <w:b w:val="1"/>
                <w:bCs w:val="1"/>
                <w:color w:val="auto"/>
              </w:rPr>
              <w:t>79</w:t>
            </w:r>
          </w:p>
        </w:tc>
      </w:tr>
      <w:tr>
        <w:trPr>
          <w:trHeight w:val="216"/>
        </w:trPr>
        <w:tc>
          <w:tcPr>
            <w:tcW w:w="860" w:type="dxa"/>
            <w:vAlign w:val="bottom"/>
          </w:tcPr>
          <w:p>
            <w:pPr>
              <w:spacing w:after="0"/>
              <w:rPr>
                <w:sz w:val="18"/>
                <w:szCs w:val="18"/>
                <w:color w:val="auto"/>
              </w:rPr>
            </w:pPr>
          </w:p>
        </w:tc>
        <w:tc>
          <w:tcPr>
            <w:tcW w:w="8560" w:type="dxa"/>
            <w:vAlign w:val="bottom"/>
          </w:tcPr>
          <w:p>
            <w:pPr>
              <w:ind w:left="4920"/>
              <w:spacing w:after="0"/>
              <w:rPr>
                <w:sz w:val="20"/>
                <w:szCs w:val="20"/>
                <w:color w:val="auto"/>
              </w:rPr>
            </w:pPr>
            <w:r>
              <w:rPr>
                <w:rFonts w:ascii="Arial" w:cs="Arial" w:eastAsia="Arial" w:hAnsi="Arial"/>
                <w:sz w:val="13"/>
                <w:szCs w:val="13"/>
                <w:b w:val="1"/>
                <w:bCs w:val="1"/>
                <w:color w:val="auto"/>
              </w:rPr>
              <w:t>PART IV</w:t>
            </w:r>
          </w:p>
        </w:tc>
        <w:tc>
          <w:tcPr>
            <w:tcW w:w="1760" w:type="dxa"/>
            <w:vAlign w:val="bottom"/>
          </w:tcPr>
          <w:p>
            <w:pPr>
              <w:spacing w:after="0"/>
              <w:rPr>
                <w:sz w:val="18"/>
                <w:szCs w:val="18"/>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3"/>
                <w:szCs w:val="13"/>
                <w:b w:val="1"/>
                <w:bCs w:val="1"/>
                <w:color w:val="auto"/>
              </w:rPr>
              <w:t>Item 15.</w:t>
            </w:r>
          </w:p>
        </w:tc>
        <w:tc>
          <w:tcPr>
            <w:tcW w:w="8560" w:type="dxa"/>
            <w:vAlign w:val="bottom"/>
          </w:tcPr>
          <w:p>
            <w:pPr>
              <w:ind w:left="360"/>
              <w:spacing w:after="0"/>
              <w:rPr>
                <w:rFonts w:ascii="Arial" w:cs="Arial" w:eastAsia="Arial" w:hAnsi="Arial"/>
                <w:sz w:val="13"/>
                <w:szCs w:val="13"/>
                <w:u w:val="single" w:color="auto"/>
                <w:color w:val="0000EE"/>
              </w:rPr>
            </w:pPr>
            <w:hyperlink w:anchor="page82">
              <w:r>
                <w:rPr>
                  <w:rFonts w:ascii="Arial" w:cs="Arial" w:eastAsia="Arial" w:hAnsi="Arial"/>
                  <w:sz w:val="13"/>
                  <w:szCs w:val="13"/>
                  <w:u w:val="single" w:color="auto"/>
                  <w:color w:val="0000EE"/>
                </w:rPr>
                <w:t>Exhibits and Financial Statement Schedules</w:t>
              </w:r>
            </w:hyperlink>
          </w:p>
        </w:tc>
        <w:tc>
          <w:tcPr>
            <w:tcW w:w="1760" w:type="dxa"/>
            <w:vAlign w:val="bottom"/>
          </w:tcPr>
          <w:p>
            <w:pPr>
              <w:jc w:val="right"/>
              <w:spacing w:after="0"/>
              <w:rPr>
                <w:sz w:val="20"/>
                <w:szCs w:val="20"/>
                <w:color w:val="auto"/>
              </w:rPr>
            </w:pPr>
            <w:r>
              <w:rPr>
                <w:rFonts w:ascii="Arial" w:cs="Arial" w:eastAsia="Arial" w:hAnsi="Arial"/>
                <w:sz w:val="13"/>
                <w:szCs w:val="13"/>
                <w:b w:val="1"/>
                <w:bCs w:val="1"/>
                <w:color w:val="auto"/>
              </w:rPr>
              <w:t>80</w:t>
            </w:r>
          </w:p>
        </w:tc>
      </w:tr>
      <w:tr>
        <w:trPr>
          <w:trHeight w:val="216"/>
        </w:trPr>
        <w:tc>
          <w:tcPr>
            <w:tcW w:w="860" w:type="dxa"/>
            <w:vAlign w:val="bottom"/>
          </w:tcPr>
          <w:p>
            <w:pPr>
              <w:spacing w:after="0"/>
              <w:rPr>
                <w:sz w:val="18"/>
                <w:szCs w:val="18"/>
                <w:color w:val="auto"/>
              </w:rPr>
            </w:pPr>
          </w:p>
        </w:tc>
        <w:tc>
          <w:tcPr>
            <w:tcW w:w="8560" w:type="dxa"/>
            <w:vAlign w:val="bottom"/>
          </w:tcPr>
          <w:p>
            <w:pPr>
              <w:ind w:left="360"/>
              <w:spacing w:after="0"/>
              <w:rPr>
                <w:rFonts w:ascii="Arial" w:cs="Arial" w:eastAsia="Arial" w:hAnsi="Arial"/>
                <w:sz w:val="13"/>
                <w:szCs w:val="13"/>
                <w:u w:val="single" w:color="auto"/>
                <w:color w:val="0000EE"/>
              </w:rPr>
            </w:pPr>
            <w:hyperlink w:anchor="page83">
              <w:r>
                <w:rPr>
                  <w:rFonts w:ascii="Arial" w:cs="Arial" w:eastAsia="Arial" w:hAnsi="Arial"/>
                  <w:sz w:val="13"/>
                  <w:szCs w:val="13"/>
                  <w:u w:val="single" w:color="auto"/>
                  <w:color w:val="0000EE"/>
                </w:rPr>
                <w:t>Signatures</w:t>
              </w:r>
            </w:hyperlink>
          </w:p>
        </w:tc>
        <w:tc>
          <w:tcPr>
            <w:tcW w:w="1760" w:type="dxa"/>
            <w:vAlign w:val="bottom"/>
          </w:tcPr>
          <w:p>
            <w:pPr>
              <w:jc w:val="right"/>
              <w:spacing w:after="0"/>
              <w:rPr>
                <w:sz w:val="20"/>
                <w:szCs w:val="20"/>
                <w:color w:val="auto"/>
              </w:rPr>
            </w:pPr>
            <w:r>
              <w:rPr>
                <w:rFonts w:ascii="Arial" w:cs="Arial" w:eastAsia="Arial" w:hAnsi="Arial"/>
                <w:sz w:val="13"/>
                <w:szCs w:val="13"/>
                <w:b w:val="1"/>
                <w:bCs w:val="1"/>
                <w:color w:val="auto"/>
              </w:rPr>
              <w:t>81</w:t>
            </w:r>
          </w:p>
        </w:tc>
      </w:tr>
    </w:tbl>
    <w:p>
      <w:pPr>
        <w:sectPr>
          <w:pgSz w:w="11900" w:h="16838" w:orient="portrait"/>
          <w:cols w:equalWidth="0" w:num="1">
            <w:col w:w="11180"/>
          </w:cols>
          <w:pgMar w:left="320" w:top="459" w:right="3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PART I</w:t>
      </w:r>
    </w:p>
    <w:p>
      <w:pPr>
        <w:spacing w:after="0" w:line="136" w:lineRule="exact"/>
        <w:rPr>
          <w:sz w:val="20"/>
          <w:szCs w:val="20"/>
          <w:color w:val="auto"/>
        </w:rPr>
      </w:pPr>
    </w:p>
    <w:p>
      <w:pPr>
        <w:ind w:firstLine="562"/>
        <w:spacing w:after="0" w:line="270" w:lineRule="auto"/>
        <w:rPr>
          <w:sz w:val="20"/>
          <w:szCs w:val="20"/>
          <w:color w:val="auto"/>
        </w:rPr>
      </w:pPr>
      <w:r>
        <w:rPr>
          <w:rFonts w:ascii="Arial" w:cs="Arial" w:eastAsia="Arial" w:hAnsi="Arial"/>
          <w:sz w:val="12"/>
          <w:szCs w:val="12"/>
          <w:b w:val="1"/>
          <w:bCs w:val="1"/>
          <w:i w:val="1"/>
          <w:iCs w:val="1"/>
          <w:color w:val="auto"/>
        </w:rPr>
        <w:t>In this annual report on Form 10-K, or the Report, except where the context suggests otherwise, the terms “Company,” “we,” “our” or “us” refer to PennantPark Floating Rate Capital Ltd. and its consolidated subsidiary, “Funding I” refers to PennantPark Floating Rate Funding I, LLC; “PennantPark Investment Advisers” or the “Investment Adviser” refers to PennantPark Investment Advisers, LLC; “PennantPark Investment Administration” or the “Administrator” refers to PennantPark Investment Administration, LLC. References to our portfolio, our investments and our business include investments we make through Funding I. Some of the statements in this annual report constitute forward-looking statements, which apply to us and relate to future events, future performance or future financial condition. The forward-looking statements involve risks and uncertainties for both us and our consolidated subsidiary and actual results could differ materially from those projected in the forward-looking statements for any reason, including those factors discussed in “Risk Factors” and elsewhere in this Report.</w:t>
      </w:r>
    </w:p>
    <w:p>
      <w:pPr>
        <w:spacing w:after="0" w:line="241" w:lineRule="exact"/>
        <w:rPr>
          <w:sz w:val="20"/>
          <w:szCs w:val="20"/>
          <w:color w:val="auto"/>
        </w:rPr>
      </w:pPr>
    </w:p>
    <w:p>
      <w:pPr>
        <w:spacing w:after="0"/>
        <w:tabs>
          <w:tab w:leader="none" w:pos="110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1"/>
          <w:szCs w:val="11"/>
          <w:b w:val="1"/>
          <w:bCs w:val="1"/>
          <w:color w:val="auto"/>
        </w:rPr>
        <w:t>Business</w:t>
      </w:r>
    </w:p>
    <w:p>
      <w:pPr>
        <w:spacing w:after="0" w:line="8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General Business of PennantPark Floating Rate Capital Ltd.</w:t>
      </w:r>
    </w:p>
    <w:p>
      <w:pPr>
        <w:spacing w:after="0" w:line="80" w:lineRule="exact"/>
        <w:rPr>
          <w:sz w:val="20"/>
          <w:szCs w:val="20"/>
          <w:color w:val="auto"/>
        </w:rPr>
      </w:pPr>
    </w:p>
    <w:p>
      <w:pPr>
        <w:jc w:val="both"/>
        <w:ind w:right="120" w:firstLine="562"/>
        <w:spacing w:after="0" w:line="317" w:lineRule="auto"/>
        <w:rPr>
          <w:sz w:val="20"/>
          <w:szCs w:val="20"/>
          <w:color w:val="auto"/>
        </w:rPr>
      </w:pPr>
      <w:r>
        <w:rPr>
          <w:rFonts w:ascii="Arial" w:cs="Arial" w:eastAsia="Arial" w:hAnsi="Arial"/>
          <w:sz w:val="12"/>
          <w:szCs w:val="12"/>
          <w:color w:val="auto"/>
        </w:rPr>
        <w:t>PennantPark Floating Rate Capital Ltd. is a business development company whose objectives are to generate current income and capital appreciation. We seek to achieve our investment objective by investing primarily in loans bearing a variable-rate of interest, or Floating Rate Loans, and other instruments made to U.S. middle-market private companies whose debt is rated below investment grade.</w:t>
      </w:r>
    </w:p>
    <w:p>
      <w:pPr>
        <w:spacing w:after="0" w:line="67" w:lineRule="exact"/>
        <w:rPr>
          <w:sz w:val="20"/>
          <w:szCs w:val="20"/>
          <w:color w:val="auto"/>
        </w:rPr>
      </w:pPr>
    </w:p>
    <w:p>
      <w:pPr>
        <w:ind w:firstLine="562"/>
        <w:spacing w:after="0" w:line="268" w:lineRule="auto"/>
        <w:rPr>
          <w:sz w:val="20"/>
          <w:szCs w:val="20"/>
          <w:color w:val="auto"/>
        </w:rPr>
      </w:pPr>
      <w:r>
        <w:rPr>
          <w:rFonts w:ascii="Arial" w:cs="Arial" w:eastAsia="Arial" w:hAnsi="Arial"/>
          <w:sz w:val="12"/>
          <w:szCs w:val="12"/>
          <w:color w:val="auto"/>
        </w:rPr>
        <w:t>We believe that Floating Rate Loans to U.S. middle-market private companies offer attractive risk adjusted returns due to a limited amount of capital available for such companies and the potential for rising interest rates. We use the term “middle-market” to refer to companies with annual revenues between $50 million and $1 billion. We may also invest in public middle-market U.S. companies that are thinly traded or have a small market-capitalization.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Floating Rate Loans typically have more robust capital-preserving qualities, such as historically lower default rates than junk bonds, represent the senior source of capital in a borrower’s capital structure and often have certain of the borrower’s assets pledged as collateral. Our investments may have terms of three to ten years and are made to U.S. and, to a limited extent, non-U.S. corporations, partnerships and other business entities which operate in various industries and geographical regions.</w:t>
      </w:r>
    </w:p>
    <w:p>
      <w:pPr>
        <w:spacing w:after="0" w:line="96"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Under normal market conditions, we generally expect that at least 80% of the value of our Managed Assets, which means our net assets plus any borrowings, will be invested in Floating Rate Loans and other investments bearing a variable-rate of interest which may, from time to time, include variable rate derivative instruments. We generally expect that senior secured loans, or first lien loans, will represent at least 65% of our overall portfolio. We also generally expect to invest up to 35% of our overall portfolio opportunistically in other types of investments, including second-lien, high yield, mezzanine and distressed debt securities and to a lesser extent equity investments. Our investment size may generally range between $1 million and $10 million, on average, although we expect that this investment size will vary proportionately with the size of our capital base.</w:t>
      </w:r>
    </w:p>
    <w:p>
      <w:pPr>
        <w:spacing w:after="0" w:line="108"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The turmoil in the credit markets in recent years has adversely affected each of these factors and has resulted in a broad-based reduction in the demand for middle-market debt instruments. These conditions may present us with attractive investment opportunities, as we believe that there are many middle-market companies that need senior secured and mezzanine debt financing. We have used, and expect to continue to use, our credit facility, or the Credit Facility, proceeds from the rotation of our portfolio and proceeds from public and private offerings of securities to finance our investment objectives.</w:t>
      </w:r>
    </w:p>
    <w:p>
      <w:pPr>
        <w:spacing w:after="0" w:line="108" w:lineRule="exact"/>
        <w:rPr>
          <w:sz w:val="20"/>
          <w:szCs w:val="20"/>
          <w:color w:val="auto"/>
        </w:rPr>
      </w:pPr>
    </w:p>
    <w:p>
      <w:pPr>
        <w:ind w:right="60" w:firstLine="562"/>
        <w:spacing w:after="0" w:line="278" w:lineRule="auto"/>
        <w:rPr>
          <w:sz w:val="20"/>
          <w:szCs w:val="20"/>
          <w:color w:val="auto"/>
        </w:rPr>
      </w:pPr>
      <w:r>
        <w:rPr>
          <w:rFonts w:ascii="Arial" w:cs="Arial" w:eastAsia="Arial" w:hAnsi="Arial"/>
          <w:sz w:val="12"/>
          <w:szCs w:val="12"/>
          <w:color w:val="auto"/>
        </w:rPr>
        <w:t>As of September 30, 2012, our portfolio totaled $171.8 million and consisted of $150.2 million of senior secured loans, $12.0 million of second lien secured debt and $9.6 million of subordinated debt and preferred and common equity investments. Our debt portfolio consisted of 85% variable-rate investments (including 81% with a London Interbank Offered Rate, or LIBOR, or prime floor) and 15% fixed-rate investments. Overall, the portfolio had net unrealized appreciation of $0.3 million. Our overall portfolio consisted of 61 companies with an average investment size of $2.8 million, a weighted average yield on debt investments of 8.6%, and was invested 87% in senior secured loans, 7% in second lien secured debt and 6% in subordinated debt and preferred and common equity investments.</w:t>
      </w:r>
    </w:p>
    <w:p>
      <w:pPr>
        <w:spacing w:after="0" w:line="90" w:lineRule="exact"/>
        <w:rPr>
          <w:sz w:val="20"/>
          <w:szCs w:val="20"/>
          <w:color w:val="auto"/>
        </w:rPr>
      </w:pPr>
    </w:p>
    <w:p>
      <w:pPr>
        <w:ind w:right="60" w:firstLine="562"/>
        <w:spacing w:after="0" w:line="278" w:lineRule="auto"/>
        <w:rPr>
          <w:sz w:val="20"/>
          <w:szCs w:val="20"/>
          <w:color w:val="auto"/>
        </w:rPr>
      </w:pPr>
      <w:r>
        <w:rPr>
          <w:rFonts w:ascii="Arial" w:cs="Arial" w:eastAsia="Arial" w:hAnsi="Arial"/>
          <w:sz w:val="12"/>
          <w:szCs w:val="12"/>
          <w:color w:val="auto"/>
        </w:rPr>
        <w:t>As of September 30, 2011, our portfolio totaled $110.7 million and consisted of $91.4 million of senior secured loans, $12.2 million of second lien secured debt and $7.1 million of subordinated debt and preferred and common equity investments. Our debt portfolio consisted of 84% variable-rate investments (including 78% with a LIBOR or prime floor) and 16% fixed-rate investments. Overall, the portfolio had net unrealized depreciation of $4.1 million. Our overall portfolio consisted of 38 companies with an average investment size of $2.9 million, a weighted average yield on debt investments of 8.0%, and was invested 83% in senior secured loans, 11% in second lien secured debt and 6% in subordinated debt and preferred and common equity investments.</w:t>
      </w:r>
    </w:p>
    <w:p>
      <w:pPr>
        <w:spacing w:after="0" w:line="90" w:lineRule="exact"/>
        <w:rPr>
          <w:sz w:val="20"/>
          <w:szCs w:val="20"/>
          <w:color w:val="auto"/>
        </w:rPr>
      </w:pPr>
    </w:p>
    <w:p>
      <w:pPr>
        <w:ind w:right="80" w:firstLine="562"/>
        <w:spacing w:after="0" w:line="274" w:lineRule="auto"/>
        <w:rPr>
          <w:sz w:val="20"/>
          <w:szCs w:val="20"/>
          <w:color w:val="auto"/>
        </w:rPr>
      </w:pPr>
      <w:r>
        <w:rPr>
          <w:rFonts w:ascii="Arial" w:cs="Arial" w:eastAsia="Arial" w:hAnsi="Arial"/>
          <w:sz w:val="13"/>
          <w:szCs w:val="13"/>
          <w:color w:val="auto"/>
        </w:rPr>
        <w:t>For the fiscal year ended September 30, 2012, we purchased $128.7 million of investments issued by 47 new and seven existing portfolio companies with a weighted average yield of 8.9% on debt investments. For the same period sales and repayments generated proceeds of $71.5 million.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20"/>
          </w:cols>
          <w:pgMar w:left="320" w:top="459" w:right="3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firstLine="562"/>
        <w:spacing w:after="0" w:line="274" w:lineRule="auto"/>
        <w:rPr>
          <w:sz w:val="20"/>
          <w:szCs w:val="20"/>
          <w:color w:val="auto"/>
        </w:rPr>
      </w:pPr>
      <w:r>
        <w:rPr>
          <w:rFonts w:ascii="Arial" w:cs="Arial" w:eastAsia="Arial" w:hAnsi="Arial"/>
          <w:sz w:val="13"/>
          <w:szCs w:val="13"/>
          <w:color w:val="auto"/>
        </w:rPr>
        <w:t>For the period March 4, 2011 (commencement of operations) to September 30, 2011, we purchased $147.5 million of investments issued by 50 portfolio companies with an overall weighted average yield of 7.6% on debt investments. For the same period sales and repayments generated proceeds of $33.2 million.</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Organization and Structure of PennantPark Floating Rate Capital Ltd.</w:t>
      </w:r>
    </w:p>
    <w:p>
      <w:pPr>
        <w:spacing w:after="0" w:line="80" w:lineRule="exact"/>
        <w:rPr>
          <w:sz w:val="20"/>
          <w:szCs w:val="20"/>
          <w:color w:val="auto"/>
        </w:rPr>
      </w:pPr>
    </w:p>
    <w:p>
      <w:pPr>
        <w:ind w:right="40" w:firstLine="224"/>
        <w:spacing w:after="0" w:line="256" w:lineRule="auto"/>
        <w:rPr>
          <w:sz w:val="20"/>
          <w:szCs w:val="20"/>
          <w:color w:val="auto"/>
        </w:rPr>
      </w:pPr>
      <w:r>
        <w:rPr>
          <w:rFonts w:ascii="Arial" w:cs="Arial" w:eastAsia="Arial" w:hAnsi="Arial"/>
          <w:sz w:val="13"/>
          <w:szCs w:val="13"/>
          <w:color w:val="auto"/>
        </w:rPr>
        <w:t>PennantPark Floating Rate Capital Ltd., a Maryland corporation organized in October 2010, is a closed-end, externally managed, non-diversified investment company that has elected to be treated as a business development company, or BDC, under the Investment Company Act of 1940, as amended, or the 1940 Act. In addition, for tax purposes we have elected and intend to qualify annually, to be taxed as a regulated investment company, or RIC, under the Internal Revenue Code of 1986, as amended, or the Code.</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Our Investment Adviser and Administrator</w:t>
      </w:r>
    </w:p>
    <w:p>
      <w:pPr>
        <w:spacing w:after="0" w:line="80" w:lineRule="exact"/>
        <w:rPr>
          <w:sz w:val="20"/>
          <w:szCs w:val="20"/>
          <w:color w:val="auto"/>
        </w:rPr>
      </w:pPr>
    </w:p>
    <w:p>
      <w:pPr>
        <w:ind w:firstLine="562"/>
        <w:spacing w:after="0" w:line="244" w:lineRule="auto"/>
        <w:rPr>
          <w:sz w:val="20"/>
          <w:szCs w:val="20"/>
          <w:color w:val="auto"/>
        </w:rPr>
      </w:pPr>
      <w:r>
        <w:rPr>
          <w:rFonts w:ascii="Arial" w:cs="Arial" w:eastAsia="Arial" w:hAnsi="Arial"/>
          <w:sz w:val="13"/>
          <w:szCs w:val="13"/>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have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over $1.5 billion in debt and equity capital and has invested over $2.1 billion in more than 200 companies with over 100 different financial sponsors through its managed funds.</w:t>
      </w:r>
    </w:p>
    <w:p>
      <w:pPr>
        <w:spacing w:after="0" w:line="111" w:lineRule="exact"/>
        <w:rPr>
          <w:sz w:val="20"/>
          <w:szCs w:val="20"/>
          <w:color w:val="auto"/>
        </w:rPr>
      </w:pPr>
    </w:p>
    <w:p>
      <w:pPr>
        <w:ind w:right="60" w:firstLine="562"/>
        <w:spacing w:after="0" w:line="245" w:lineRule="auto"/>
        <w:rPr>
          <w:sz w:val="20"/>
          <w:szCs w:val="20"/>
          <w:color w:val="auto"/>
        </w:rPr>
      </w:pPr>
      <w:r>
        <w:rPr>
          <w:rFonts w:ascii="Arial" w:cs="Arial" w:eastAsia="Arial" w:hAnsi="Arial"/>
          <w:sz w:val="13"/>
          <w:szCs w:val="13"/>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Securities and Exchange Commission, or the SEC. The Administrator oversees the determination and publication of our net asset value, oversees the preparation and filing of our tax returns and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Market Opportunity</w:t>
      </w:r>
    </w:p>
    <w:p>
      <w:pPr>
        <w:spacing w:after="0" w:line="80" w:lineRule="exact"/>
        <w:rPr>
          <w:sz w:val="20"/>
          <w:szCs w:val="20"/>
          <w:color w:val="auto"/>
        </w:rPr>
      </w:pPr>
    </w:p>
    <w:p>
      <w:pPr>
        <w:ind w:right="160" w:firstLine="562"/>
        <w:spacing w:after="0" w:line="274" w:lineRule="auto"/>
        <w:rPr>
          <w:sz w:val="20"/>
          <w:szCs w:val="20"/>
          <w:color w:val="auto"/>
        </w:rPr>
      </w:pPr>
      <w:r>
        <w:rPr>
          <w:rFonts w:ascii="Arial" w:cs="Arial" w:eastAsia="Arial" w:hAnsi="Arial"/>
          <w:sz w:val="13"/>
          <w:szCs w:val="13"/>
          <w:color w:val="auto"/>
        </w:rPr>
        <w:t>We believe that the limited amount of capital available to the middle-market companies, coupled with the desire of these companies for flexible sources of capital, creates an attractive investment environment for us.</w:t>
      </w:r>
    </w:p>
    <w:p>
      <w:pPr>
        <w:spacing w:after="0" w:line="102" w:lineRule="exact"/>
        <w:rPr>
          <w:sz w:val="20"/>
          <w:szCs w:val="20"/>
          <w:color w:val="auto"/>
        </w:rPr>
      </w:pPr>
    </w:p>
    <w:p>
      <w:pPr>
        <w:ind w:left="660" w:right="100" w:hanging="436"/>
        <w:spacing w:after="0" w:line="258" w:lineRule="auto"/>
        <w:tabs>
          <w:tab w:leader="none" w:pos="660" w:val="left"/>
        </w:tabs>
        <w:numPr>
          <w:ilvl w:val="0"/>
          <w:numId w:val="3"/>
        </w:numPr>
        <w:rPr>
          <w:rFonts w:ascii="Arial" w:cs="Arial" w:eastAsia="Arial" w:hAnsi="Arial"/>
          <w:sz w:val="13"/>
          <w:szCs w:val="13"/>
          <w:color w:val="auto"/>
        </w:rPr>
      </w:pPr>
      <w:r>
        <w:rPr>
          <w:rFonts w:ascii="Arial" w:cs="Arial" w:eastAsia="Arial" w:hAnsi="Arial"/>
          <w:sz w:val="13"/>
          <w:szCs w:val="13"/>
          <w:b w:val="1"/>
          <w:bCs w:val="1"/>
          <w:color w:val="auto"/>
        </w:rPr>
        <w:t xml:space="preserve">We believe middle-market companies have faced increasing difficulty in raising debt through the capital markets. </w:t>
      </w:r>
      <w:r>
        <w:rPr>
          <w:rFonts w:ascii="Arial" w:cs="Arial" w:eastAsia="Arial" w:hAnsi="Arial"/>
          <w:sz w:val="13"/>
          <w:szCs w:val="13"/>
          <w:color w:val="auto"/>
        </w:rPr>
        <w:t>While many middle-market companies formerly were able to raise funds</w:t>
      </w:r>
      <w:r>
        <w:rPr>
          <w:rFonts w:ascii="Arial" w:cs="Arial" w:eastAsia="Arial" w:hAnsi="Arial"/>
          <w:sz w:val="13"/>
          <w:szCs w:val="13"/>
          <w:b w:val="1"/>
          <w:bCs w:val="1"/>
          <w:color w:val="auto"/>
        </w:rPr>
        <w:t xml:space="preserve"> </w:t>
      </w:r>
      <w:r>
        <w:rPr>
          <w:rFonts w:ascii="Arial" w:cs="Arial" w:eastAsia="Arial" w:hAnsi="Arial"/>
          <w:sz w:val="13"/>
          <w:szCs w:val="13"/>
          <w:color w:val="auto"/>
        </w:rPr>
        <w:t>by issuing high-yield bonds, we believe this approach to financing has become more difficult as institutional investors have sought to invest in larger, more liquid offerings. We believe this has made it harder for middle-market companies to raise funds by issuing high-yield securities.</w:t>
      </w:r>
    </w:p>
    <w:p>
      <w:pPr>
        <w:spacing w:after="0" w:line="111" w:lineRule="exact"/>
        <w:rPr>
          <w:rFonts w:ascii="Arial" w:cs="Arial" w:eastAsia="Arial" w:hAnsi="Arial"/>
          <w:sz w:val="13"/>
          <w:szCs w:val="13"/>
          <w:color w:val="auto"/>
        </w:rPr>
      </w:pPr>
    </w:p>
    <w:p>
      <w:pPr>
        <w:ind w:left="660" w:right="220" w:hanging="436"/>
        <w:spacing w:after="0" w:line="278" w:lineRule="auto"/>
        <w:tabs>
          <w:tab w:leader="none" w:pos="660" w:val="left"/>
        </w:tabs>
        <w:numPr>
          <w:ilvl w:val="0"/>
          <w:numId w:val="3"/>
        </w:numPr>
        <w:rPr>
          <w:rFonts w:ascii="Arial" w:cs="Arial" w:eastAsia="Arial" w:hAnsi="Arial"/>
          <w:sz w:val="13"/>
          <w:szCs w:val="13"/>
          <w:color w:val="auto"/>
        </w:rPr>
      </w:pPr>
      <w:r>
        <w:rPr>
          <w:rFonts w:ascii="Arial" w:cs="Arial" w:eastAsia="Arial" w:hAnsi="Arial"/>
          <w:sz w:val="13"/>
          <w:szCs w:val="13"/>
          <w:b w:val="1"/>
          <w:bCs w:val="1"/>
          <w:color w:val="auto"/>
        </w:rPr>
        <w:t xml:space="preserve">We believe middle-market companies have faced difficulty raising debt in private markets. </w:t>
      </w:r>
      <w:r>
        <w:rPr>
          <w:rFonts w:ascii="Arial" w:cs="Arial" w:eastAsia="Arial" w:hAnsi="Arial"/>
          <w:sz w:val="13"/>
          <w:szCs w:val="13"/>
          <w:color w:val="auto"/>
        </w:rPr>
        <w:t>Banks, finance companies, hedge funds and collateralized loan obligation, or CLO, funds have</w:t>
      </w:r>
      <w:r>
        <w:rPr>
          <w:rFonts w:ascii="Arial" w:cs="Arial" w:eastAsia="Arial" w:hAnsi="Arial"/>
          <w:sz w:val="13"/>
          <w:szCs w:val="13"/>
          <w:b w:val="1"/>
          <w:bCs w:val="1"/>
          <w:color w:val="auto"/>
        </w:rPr>
        <w:t xml:space="preserve"> </w:t>
      </w:r>
      <w:r>
        <w:rPr>
          <w:rFonts w:ascii="Arial" w:cs="Arial" w:eastAsia="Arial" w:hAnsi="Arial"/>
          <w:sz w:val="13"/>
          <w:szCs w:val="13"/>
          <w:color w:val="auto"/>
        </w:rPr>
        <w:t>withdrawn capital from the middle-market, resulting in opportunities for alternative funding sources.</w:t>
      </w:r>
    </w:p>
    <w:p>
      <w:pPr>
        <w:spacing w:after="0" w:line="99" w:lineRule="exact"/>
        <w:rPr>
          <w:rFonts w:ascii="Arial" w:cs="Arial" w:eastAsia="Arial" w:hAnsi="Arial"/>
          <w:sz w:val="13"/>
          <w:szCs w:val="13"/>
          <w:color w:val="auto"/>
        </w:rPr>
      </w:pPr>
    </w:p>
    <w:p>
      <w:pPr>
        <w:jc w:val="both"/>
        <w:ind w:left="660" w:right="340" w:hanging="436"/>
        <w:spacing w:after="0" w:line="258" w:lineRule="auto"/>
        <w:tabs>
          <w:tab w:leader="none" w:pos="660" w:val="left"/>
        </w:tabs>
        <w:numPr>
          <w:ilvl w:val="0"/>
          <w:numId w:val="3"/>
        </w:numPr>
        <w:rPr>
          <w:rFonts w:ascii="Arial" w:cs="Arial" w:eastAsia="Arial" w:hAnsi="Arial"/>
          <w:sz w:val="13"/>
          <w:szCs w:val="13"/>
          <w:color w:val="auto"/>
        </w:rPr>
      </w:pPr>
      <w:r>
        <w:rPr>
          <w:rFonts w:ascii="Arial" w:cs="Arial" w:eastAsia="Arial" w:hAnsi="Arial"/>
          <w:sz w:val="13"/>
          <w:szCs w:val="13"/>
          <w:b w:val="1"/>
          <w:bCs w:val="1"/>
          <w:color w:val="auto"/>
        </w:rPr>
        <w:t xml:space="preserve">We believe that the current credit market dislocation for middle-market companies improves the risk-adjusted returns of our investments. </w:t>
      </w:r>
      <w:r>
        <w:rPr>
          <w:rFonts w:ascii="Arial" w:cs="Arial" w:eastAsia="Arial" w:hAnsi="Arial"/>
          <w:sz w:val="13"/>
          <w:szCs w:val="13"/>
          <w:color w:val="auto"/>
        </w:rPr>
        <w:t>In the current credit environment, market</w:t>
      </w:r>
      <w:r>
        <w:rPr>
          <w:rFonts w:ascii="Arial" w:cs="Arial" w:eastAsia="Arial" w:hAnsi="Arial"/>
          <w:sz w:val="13"/>
          <w:szCs w:val="13"/>
          <w:b w:val="1"/>
          <w:bCs w:val="1"/>
          <w:color w:val="auto"/>
        </w:rPr>
        <w:t xml:space="preserve"> </w:t>
      </w:r>
      <w:r>
        <w:rPr>
          <w:rFonts w:ascii="Arial" w:cs="Arial" w:eastAsia="Arial" w:hAnsi="Arial"/>
          <w:sz w:val="13"/>
          <w:szCs w:val="13"/>
          <w:color w:val="auto"/>
        </w:rPr>
        <w:t>participants have reduced lending to middle-market and non-investment grade borrowers. As a result, we believe there is less competition in our market, more conservative capital structures, higher yields and stronger covenants.</w:t>
      </w:r>
    </w:p>
    <w:p>
      <w:pPr>
        <w:spacing w:after="0" w:line="111" w:lineRule="exact"/>
        <w:rPr>
          <w:rFonts w:ascii="Arial" w:cs="Arial" w:eastAsia="Arial" w:hAnsi="Arial"/>
          <w:sz w:val="13"/>
          <w:szCs w:val="13"/>
          <w:color w:val="auto"/>
        </w:rPr>
      </w:pPr>
    </w:p>
    <w:p>
      <w:pPr>
        <w:ind w:left="660" w:right="20" w:hanging="436"/>
        <w:spacing w:after="0" w:line="251" w:lineRule="auto"/>
        <w:tabs>
          <w:tab w:leader="none" w:pos="660" w:val="left"/>
        </w:tabs>
        <w:numPr>
          <w:ilvl w:val="0"/>
          <w:numId w:val="3"/>
        </w:numPr>
        <w:rPr>
          <w:rFonts w:ascii="Arial" w:cs="Arial" w:eastAsia="Arial" w:hAnsi="Arial"/>
          <w:sz w:val="13"/>
          <w:szCs w:val="13"/>
          <w:color w:val="auto"/>
        </w:rPr>
      </w:pPr>
      <w:r>
        <w:rPr>
          <w:rFonts w:ascii="Arial" w:cs="Arial" w:eastAsia="Arial" w:hAnsi="Arial"/>
          <w:sz w:val="13"/>
          <w:szCs w:val="13"/>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3"/>
          <w:szCs w:val="13"/>
          <w:color w:val="auto"/>
        </w:rPr>
        <w:t>We expect that</w:t>
      </w:r>
      <w:r>
        <w:rPr>
          <w:rFonts w:ascii="Arial" w:cs="Arial" w:eastAsia="Arial" w:hAnsi="Arial"/>
          <w:sz w:val="13"/>
          <w:szCs w:val="13"/>
          <w:b w:val="1"/>
          <w:bCs w:val="1"/>
          <w:color w:val="auto"/>
        </w:rPr>
        <w:t xml:space="preserve"> </w:t>
      </w:r>
      <w:r>
        <w:rPr>
          <w:rFonts w:ascii="Arial" w:cs="Arial" w:eastAsia="Arial" w:hAnsi="Arial"/>
          <w:sz w:val="13"/>
          <w:szCs w:val="13"/>
          <w:color w:val="auto"/>
        </w:rPr>
        <w:t>private equity firms will continue to be active investors in middle-market companies. These private equity funds generally seek to leverage their investments by combining their capital with senior secured loans and/or mezzanine debt provided by other sources, and we believe that we are well-positioned to partner with such equity investors. We expect such activity to be funded by the substantial amounts of private equity capital that have been raised in recent years.</w:t>
      </w:r>
    </w:p>
    <w:p>
      <w:pPr>
        <w:spacing w:after="0" w:line="117" w:lineRule="exact"/>
        <w:rPr>
          <w:rFonts w:ascii="Arial" w:cs="Arial" w:eastAsia="Arial" w:hAnsi="Arial"/>
          <w:sz w:val="13"/>
          <w:szCs w:val="13"/>
          <w:color w:val="auto"/>
        </w:rPr>
      </w:pPr>
    </w:p>
    <w:p>
      <w:pPr>
        <w:ind w:left="660" w:right="100" w:hanging="436"/>
        <w:spacing w:after="0" w:line="278" w:lineRule="auto"/>
        <w:tabs>
          <w:tab w:leader="none" w:pos="660" w:val="left"/>
        </w:tabs>
        <w:numPr>
          <w:ilvl w:val="0"/>
          <w:numId w:val="3"/>
        </w:numPr>
        <w:rPr>
          <w:rFonts w:ascii="Arial" w:cs="Arial" w:eastAsia="Arial" w:hAnsi="Arial"/>
          <w:sz w:val="13"/>
          <w:szCs w:val="13"/>
          <w:color w:val="auto"/>
        </w:rPr>
      </w:pPr>
      <w:r>
        <w:rPr>
          <w:rFonts w:ascii="Arial" w:cs="Arial" w:eastAsia="Arial" w:hAnsi="Arial"/>
          <w:sz w:val="13"/>
          <w:szCs w:val="13"/>
          <w:b w:val="1"/>
          <w:bCs w:val="1"/>
          <w:color w:val="auto"/>
        </w:rPr>
        <w:t xml:space="preserve">We believe there is substantial supply of opportunities resulting from maturing loans that seek refinancing. </w:t>
      </w:r>
      <w:r>
        <w:rPr>
          <w:rFonts w:ascii="Arial" w:cs="Arial" w:eastAsia="Arial" w:hAnsi="Arial"/>
          <w:sz w:val="13"/>
          <w:szCs w:val="13"/>
          <w:color w:val="auto"/>
        </w:rPr>
        <w:t>A high volume of financings were completed between the years 2004 and 2007,</w:t>
      </w:r>
      <w:r>
        <w:rPr>
          <w:rFonts w:ascii="Arial" w:cs="Arial" w:eastAsia="Arial" w:hAnsi="Arial"/>
          <w:sz w:val="13"/>
          <w:szCs w:val="13"/>
          <w:b w:val="1"/>
          <w:bCs w:val="1"/>
          <w:color w:val="auto"/>
        </w:rPr>
        <w:t xml:space="preserve"> </w:t>
      </w:r>
      <w:r>
        <w:rPr>
          <w:rFonts w:ascii="Arial" w:cs="Arial" w:eastAsia="Arial" w:hAnsi="Arial"/>
          <w:sz w:val="13"/>
          <w:szCs w:val="13"/>
          <w:color w:val="auto"/>
        </w:rPr>
        <w:t>which will come due in the next few years. We believe this supply of opportunities coupled with a lack of demand offers attractive risk-adjusted returns to investors.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40"/>
          </w:cols>
          <w:pgMar w:left="32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Competitive Advantages</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We believe that we have the following competitive advantages over other capital providers in middle-market companies:</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3"/>
          <w:szCs w:val="13"/>
          <w:b w:val="1"/>
          <w:bCs w:val="1"/>
          <w:i w:val="1"/>
          <w:iCs w:val="1"/>
          <w:color w:val="auto"/>
        </w:rPr>
        <w:t>a) Experienced Management Team</w:t>
      </w:r>
    </w:p>
    <w:p>
      <w:pPr>
        <w:spacing w:after="0" w:line="80" w:lineRule="exact"/>
        <w:rPr>
          <w:sz w:val="20"/>
          <w:szCs w:val="20"/>
          <w:color w:val="auto"/>
        </w:rPr>
      </w:pPr>
    </w:p>
    <w:p>
      <w:pPr>
        <w:jc w:val="both"/>
        <w:ind w:right="200" w:firstLine="562"/>
        <w:spacing w:after="0" w:line="256" w:lineRule="auto"/>
        <w:rPr>
          <w:sz w:val="20"/>
          <w:szCs w:val="20"/>
          <w:color w:val="auto"/>
        </w:rPr>
      </w:pPr>
      <w:r>
        <w:rPr>
          <w:rFonts w:ascii="Arial" w:cs="Arial" w:eastAsia="Arial" w:hAnsi="Arial"/>
          <w:sz w:val="13"/>
          <w:szCs w:val="13"/>
          <w:color w:val="auto"/>
        </w:rPr>
        <w:t>The senior investment professionals of our Investment Adviser have worked together for many years and average over 20 years of experience in mezzanine lending, leveraged finance, distressed debt and private equity businesses. The senior investment professionals have been involved in originating, structuring, negotiating, managing and monitoring investments in each of these businesses across economic and market cycles. We believe this extensive experience and history has resulted in a strong reputation across the capital markets.</w:t>
      </w:r>
    </w:p>
    <w:p>
      <w:pPr>
        <w:spacing w:after="0" w:line="156" w:lineRule="exact"/>
        <w:rPr>
          <w:sz w:val="20"/>
          <w:szCs w:val="20"/>
          <w:color w:val="auto"/>
        </w:rPr>
      </w:pPr>
    </w:p>
    <w:p>
      <w:pPr>
        <w:ind w:left="900"/>
        <w:spacing w:after="0"/>
        <w:rPr>
          <w:sz w:val="20"/>
          <w:szCs w:val="20"/>
          <w:color w:val="auto"/>
        </w:rPr>
      </w:pPr>
      <w:r>
        <w:rPr>
          <w:rFonts w:ascii="Arial" w:cs="Arial" w:eastAsia="Arial" w:hAnsi="Arial"/>
          <w:sz w:val="13"/>
          <w:szCs w:val="13"/>
          <w:b w:val="1"/>
          <w:bCs w:val="1"/>
          <w:i w:val="1"/>
          <w:iCs w:val="1"/>
          <w:color w:val="auto"/>
        </w:rPr>
        <w:t>b) Disciplined Investment Approach with Strong Value Orientation</w:t>
      </w:r>
    </w:p>
    <w:p>
      <w:pPr>
        <w:spacing w:after="0" w:line="80" w:lineRule="exact"/>
        <w:rPr>
          <w:sz w:val="20"/>
          <w:szCs w:val="20"/>
          <w:color w:val="auto"/>
        </w:rPr>
      </w:pPr>
    </w:p>
    <w:p>
      <w:pPr>
        <w:ind w:right="20" w:firstLine="562"/>
        <w:spacing w:after="0" w:line="250" w:lineRule="auto"/>
        <w:rPr>
          <w:sz w:val="20"/>
          <w:szCs w:val="20"/>
          <w:color w:val="auto"/>
        </w:rPr>
      </w:pPr>
      <w:r>
        <w:rPr>
          <w:rFonts w:ascii="Arial" w:cs="Arial" w:eastAsia="Arial" w:hAnsi="Arial"/>
          <w:sz w:val="13"/>
          <w:szCs w:val="13"/>
          <w:color w:val="auto"/>
        </w:rPr>
        <w:t>We employ a disciplined approach in selecting investments that meet the long-standing, consistent value-oriented investment criteria employed by our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this approach continues to enable us to build an attractive investment portfolio that meets our return and value criteria over the long-term.</w:t>
      </w:r>
    </w:p>
    <w:p>
      <w:pPr>
        <w:spacing w:after="0" w:line="106" w:lineRule="exact"/>
        <w:rPr>
          <w:sz w:val="20"/>
          <w:szCs w:val="20"/>
          <w:color w:val="auto"/>
        </w:rPr>
      </w:pPr>
    </w:p>
    <w:p>
      <w:pPr>
        <w:ind w:right="40" w:firstLine="562"/>
        <w:spacing w:after="0" w:line="256" w:lineRule="auto"/>
        <w:rPr>
          <w:sz w:val="20"/>
          <w:szCs w:val="20"/>
          <w:color w:val="auto"/>
        </w:rPr>
      </w:pPr>
      <w:r>
        <w:rPr>
          <w:rFonts w:ascii="Arial" w:cs="Arial" w:eastAsia="Arial" w:hAnsi="Arial"/>
          <w:sz w:val="13"/>
          <w:szCs w:val="13"/>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Selection Criteria” for more information.</w:t>
      </w:r>
    </w:p>
    <w:p>
      <w:pPr>
        <w:spacing w:after="0" w:line="10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In addition to engaging in extensive due diligence, our Investment Adviser seeks to reduce risk by focusing on businesses with:</w:t>
      </w:r>
    </w:p>
    <w:p>
      <w:pPr>
        <w:spacing w:after="0" w:line="148" w:lineRule="exact"/>
        <w:rPr>
          <w:sz w:val="20"/>
          <w:szCs w:val="20"/>
          <w:color w:val="auto"/>
        </w:rPr>
      </w:pPr>
    </w:p>
    <w:p>
      <w:pPr>
        <w:ind w:left="540" w:hanging="316"/>
        <w:spacing w:after="0"/>
        <w:tabs>
          <w:tab w:leader="none" w:pos="540" w:val="left"/>
        </w:tabs>
        <w:numPr>
          <w:ilvl w:val="0"/>
          <w:numId w:val="4"/>
        </w:numPr>
        <w:rPr>
          <w:rFonts w:ascii="Arial" w:cs="Arial" w:eastAsia="Arial" w:hAnsi="Arial"/>
          <w:sz w:val="13"/>
          <w:szCs w:val="13"/>
          <w:color w:val="auto"/>
        </w:rPr>
      </w:pPr>
      <w:r>
        <w:rPr>
          <w:rFonts w:ascii="Arial" w:cs="Arial" w:eastAsia="Arial" w:hAnsi="Arial"/>
          <w:sz w:val="13"/>
          <w:szCs w:val="13"/>
          <w:color w:val="auto"/>
        </w:rPr>
        <w:t>strong competitive positions;</w:t>
      </w:r>
    </w:p>
    <w:p>
      <w:pPr>
        <w:spacing w:after="0" w:line="147" w:lineRule="exact"/>
        <w:rPr>
          <w:rFonts w:ascii="Arial" w:cs="Arial" w:eastAsia="Arial" w:hAnsi="Arial"/>
          <w:sz w:val="13"/>
          <w:szCs w:val="13"/>
          <w:color w:val="auto"/>
        </w:rPr>
      </w:pPr>
    </w:p>
    <w:p>
      <w:pPr>
        <w:ind w:left="540" w:hanging="316"/>
        <w:spacing w:after="0"/>
        <w:tabs>
          <w:tab w:leader="none" w:pos="540" w:val="left"/>
        </w:tabs>
        <w:numPr>
          <w:ilvl w:val="0"/>
          <w:numId w:val="4"/>
        </w:numPr>
        <w:rPr>
          <w:rFonts w:ascii="Arial" w:cs="Arial" w:eastAsia="Arial" w:hAnsi="Arial"/>
          <w:sz w:val="13"/>
          <w:szCs w:val="13"/>
          <w:color w:val="auto"/>
        </w:rPr>
      </w:pPr>
      <w:r>
        <w:rPr>
          <w:rFonts w:ascii="Arial" w:cs="Arial" w:eastAsia="Arial" w:hAnsi="Arial"/>
          <w:sz w:val="13"/>
          <w:szCs w:val="13"/>
          <w:color w:val="auto"/>
        </w:rPr>
        <w:t>positive cash flow that is steady and stable;</w:t>
      </w:r>
    </w:p>
    <w:p>
      <w:pPr>
        <w:spacing w:after="0" w:line="147" w:lineRule="exact"/>
        <w:rPr>
          <w:rFonts w:ascii="Arial" w:cs="Arial" w:eastAsia="Arial" w:hAnsi="Arial"/>
          <w:sz w:val="13"/>
          <w:szCs w:val="13"/>
          <w:color w:val="auto"/>
        </w:rPr>
      </w:pPr>
    </w:p>
    <w:p>
      <w:pPr>
        <w:ind w:left="540" w:hanging="316"/>
        <w:spacing w:after="0"/>
        <w:tabs>
          <w:tab w:leader="none" w:pos="540" w:val="left"/>
        </w:tabs>
        <w:numPr>
          <w:ilvl w:val="0"/>
          <w:numId w:val="4"/>
        </w:numPr>
        <w:rPr>
          <w:rFonts w:ascii="Arial" w:cs="Arial" w:eastAsia="Arial" w:hAnsi="Arial"/>
          <w:sz w:val="13"/>
          <w:szCs w:val="13"/>
          <w:color w:val="auto"/>
        </w:rPr>
      </w:pPr>
      <w:r>
        <w:rPr>
          <w:rFonts w:ascii="Arial" w:cs="Arial" w:eastAsia="Arial" w:hAnsi="Arial"/>
          <w:sz w:val="13"/>
          <w:szCs w:val="13"/>
          <w:color w:val="auto"/>
        </w:rPr>
        <w:t>experienced management teams with strong track records;</w:t>
      </w:r>
    </w:p>
    <w:p>
      <w:pPr>
        <w:spacing w:after="0" w:line="147" w:lineRule="exact"/>
        <w:rPr>
          <w:rFonts w:ascii="Arial" w:cs="Arial" w:eastAsia="Arial" w:hAnsi="Arial"/>
          <w:sz w:val="13"/>
          <w:szCs w:val="13"/>
          <w:color w:val="auto"/>
        </w:rPr>
      </w:pPr>
    </w:p>
    <w:p>
      <w:pPr>
        <w:ind w:left="540" w:hanging="316"/>
        <w:spacing w:after="0"/>
        <w:tabs>
          <w:tab w:leader="none" w:pos="540" w:val="left"/>
        </w:tabs>
        <w:numPr>
          <w:ilvl w:val="0"/>
          <w:numId w:val="4"/>
        </w:numPr>
        <w:rPr>
          <w:rFonts w:ascii="Arial" w:cs="Arial" w:eastAsia="Arial" w:hAnsi="Arial"/>
          <w:sz w:val="13"/>
          <w:szCs w:val="13"/>
          <w:color w:val="auto"/>
        </w:rPr>
      </w:pPr>
      <w:r>
        <w:rPr>
          <w:rFonts w:ascii="Arial" w:cs="Arial" w:eastAsia="Arial" w:hAnsi="Arial"/>
          <w:sz w:val="13"/>
          <w:szCs w:val="13"/>
          <w:color w:val="auto"/>
        </w:rPr>
        <w:t>potential for growth and viable exit strategies; and</w:t>
      </w:r>
    </w:p>
    <w:p>
      <w:pPr>
        <w:spacing w:after="0" w:line="147" w:lineRule="exact"/>
        <w:rPr>
          <w:rFonts w:ascii="Arial" w:cs="Arial" w:eastAsia="Arial" w:hAnsi="Arial"/>
          <w:sz w:val="13"/>
          <w:szCs w:val="13"/>
          <w:color w:val="auto"/>
        </w:rPr>
      </w:pPr>
    </w:p>
    <w:p>
      <w:pPr>
        <w:ind w:left="540" w:hanging="316"/>
        <w:spacing w:after="0"/>
        <w:tabs>
          <w:tab w:leader="none" w:pos="540" w:val="left"/>
        </w:tabs>
        <w:numPr>
          <w:ilvl w:val="0"/>
          <w:numId w:val="4"/>
        </w:numPr>
        <w:rPr>
          <w:rFonts w:ascii="Arial" w:cs="Arial" w:eastAsia="Arial" w:hAnsi="Arial"/>
          <w:sz w:val="13"/>
          <w:szCs w:val="13"/>
          <w:color w:val="auto"/>
        </w:rPr>
      </w:pPr>
      <w:r>
        <w:rPr>
          <w:rFonts w:ascii="Arial" w:cs="Arial" w:eastAsia="Arial" w:hAnsi="Arial"/>
          <w:sz w:val="13"/>
          <w:szCs w:val="13"/>
          <w:color w:val="auto"/>
        </w:rPr>
        <w:t>capital structures offering appropriate risk-adjusted terms and covenants.</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3"/>
          <w:szCs w:val="13"/>
          <w:b w:val="1"/>
          <w:bCs w:val="1"/>
          <w:i w:val="1"/>
          <w:iCs w:val="1"/>
          <w:color w:val="auto"/>
        </w:rPr>
        <w:t>c) Ability to Source and Evaluate Transactions through our Investment Adviser’s Research Capability and Established Network</w:t>
      </w:r>
    </w:p>
    <w:p>
      <w:pPr>
        <w:spacing w:after="0" w:line="80" w:lineRule="exact"/>
        <w:rPr>
          <w:sz w:val="20"/>
          <w:szCs w:val="20"/>
          <w:color w:val="auto"/>
        </w:rPr>
      </w:pPr>
    </w:p>
    <w:p>
      <w:pPr>
        <w:ind w:right="160" w:firstLine="562"/>
        <w:spacing w:after="0" w:line="250" w:lineRule="auto"/>
        <w:rPr>
          <w:sz w:val="20"/>
          <w:szCs w:val="20"/>
          <w:color w:val="auto"/>
        </w:rPr>
      </w:pPr>
      <w:r>
        <w:rPr>
          <w:rFonts w:ascii="Arial" w:cs="Arial" w:eastAsia="Arial" w:hAnsi="Arial"/>
          <w:sz w:val="13"/>
          <w:szCs w:val="13"/>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160" w:lineRule="exact"/>
        <w:rPr>
          <w:sz w:val="20"/>
          <w:szCs w:val="20"/>
          <w:color w:val="auto"/>
        </w:rPr>
      </w:pPr>
    </w:p>
    <w:p>
      <w:pPr>
        <w:ind w:left="900"/>
        <w:spacing w:after="0"/>
        <w:rPr>
          <w:sz w:val="20"/>
          <w:szCs w:val="20"/>
          <w:color w:val="auto"/>
        </w:rPr>
      </w:pPr>
      <w:r>
        <w:rPr>
          <w:rFonts w:ascii="Arial" w:cs="Arial" w:eastAsia="Arial" w:hAnsi="Arial"/>
          <w:sz w:val="13"/>
          <w:szCs w:val="13"/>
          <w:b w:val="1"/>
          <w:bCs w:val="1"/>
          <w:i w:val="1"/>
          <w:iCs w:val="1"/>
          <w:color w:val="auto"/>
        </w:rPr>
        <w:t>d) Flexible Transaction Structuring</w:t>
      </w:r>
    </w:p>
    <w:p>
      <w:pPr>
        <w:spacing w:after="0" w:line="80" w:lineRule="exact"/>
        <w:rPr>
          <w:sz w:val="20"/>
          <w:szCs w:val="20"/>
          <w:color w:val="auto"/>
        </w:rPr>
      </w:pPr>
    </w:p>
    <w:p>
      <w:pPr>
        <w:ind w:firstLine="562"/>
        <w:spacing w:after="0" w:line="274" w:lineRule="auto"/>
        <w:rPr>
          <w:sz w:val="20"/>
          <w:szCs w:val="20"/>
          <w:color w:val="auto"/>
        </w:rPr>
      </w:pPr>
      <w:r>
        <w:rPr>
          <w:rFonts w:ascii="Arial" w:cs="Arial" w:eastAsia="Arial" w:hAnsi="Arial"/>
          <w:sz w:val="13"/>
          <w:szCs w:val="13"/>
          <w:color w:val="auto"/>
        </w:rPr>
        <w:t>We are flexible in structuring investments and tailor investments to meet the needs of a portfolio company while also generating attractive risk-adjusted returns. We can invest in any part of a capital structure and our Investment Adviser has extensive experience in a wide variety of securities for leveraged companies throughout economic and market cycles.</w:t>
      </w:r>
    </w:p>
    <w:p>
      <w:pPr>
        <w:spacing w:after="0" w:line="91" w:lineRule="exact"/>
        <w:rPr>
          <w:sz w:val="20"/>
          <w:szCs w:val="20"/>
          <w:color w:val="auto"/>
        </w:rPr>
      </w:pPr>
    </w:p>
    <w:p>
      <w:pPr>
        <w:ind w:right="380" w:firstLine="562"/>
        <w:spacing w:after="0" w:line="274" w:lineRule="auto"/>
        <w:rPr>
          <w:sz w:val="20"/>
          <w:szCs w:val="20"/>
          <w:color w:val="auto"/>
        </w:rPr>
      </w:pPr>
      <w:r>
        <w:rPr>
          <w:rFonts w:ascii="Arial" w:cs="Arial" w:eastAsia="Arial" w:hAnsi="Arial"/>
          <w:sz w:val="13"/>
          <w:szCs w:val="13"/>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91" w:lineRule="exact"/>
        <w:rPr>
          <w:sz w:val="20"/>
          <w:szCs w:val="20"/>
          <w:color w:val="auto"/>
        </w:rPr>
      </w:pPr>
    </w:p>
    <w:p>
      <w:pPr>
        <w:ind w:firstLine="562"/>
        <w:spacing w:after="0" w:line="274" w:lineRule="auto"/>
        <w:rPr>
          <w:sz w:val="20"/>
          <w:szCs w:val="20"/>
          <w:color w:val="auto"/>
        </w:rPr>
      </w:pPr>
      <w:r>
        <w:rPr>
          <w:rFonts w:ascii="Arial" w:cs="Arial" w:eastAsia="Arial" w:hAnsi="Arial"/>
          <w:sz w:val="13"/>
          <w:szCs w:val="13"/>
          <w:color w:val="auto"/>
        </w:rPr>
        <w:t>We believe that the in-depth coverage and experience of our Investment Adviser will enable us to invest throughout various stages of the economic and market cycles and to provide us with ongoing market insights in addition to a significant investment sourcing engine.</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Investment Selection Criteria</w:t>
      </w:r>
    </w:p>
    <w:p>
      <w:pPr>
        <w:spacing w:after="0" w:line="80" w:lineRule="exact"/>
        <w:rPr>
          <w:sz w:val="20"/>
          <w:szCs w:val="20"/>
          <w:color w:val="auto"/>
        </w:rPr>
      </w:pPr>
    </w:p>
    <w:p>
      <w:pPr>
        <w:ind w:right="80" w:firstLine="562"/>
        <w:spacing w:after="0" w:line="274" w:lineRule="auto"/>
        <w:rPr>
          <w:sz w:val="20"/>
          <w:szCs w:val="20"/>
          <w:color w:val="auto"/>
        </w:rPr>
      </w:pPr>
      <w:r>
        <w:rPr>
          <w:rFonts w:ascii="Arial" w:cs="Arial" w:eastAsia="Arial" w:hAnsi="Arial"/>
          <w:sz w:val="13"/>
          <w:szCs w:val="13"/>
          <w:color w:val="auto"/>
        </w:rPr>
        <w:t>We are committed to a value oriented philosophy used by the senior investment professionals who manage our portfolio and seek to minimize the risk of capital loss without foregoing potential for capital appreciation.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40"/>
          </w:cols>
          <w:pgMar w:left="32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100" w:firstLine="562"/>
        <w:spacing w:after="0" w:line="256" w:lineRule="auto"/>
        <w:rPr>
          <w:sz w:val="20"/>
          <w:szCs w:val="20"/>
          <w:color w:val="auto"/>
        </w:rPr>
      </w:pPr>
      <w:r>
        <w:rPr>
          <w:rFonts w:ascii="Arial" w:cs="Arial" w:eastAsia="Arial" w:hAnsi="Arial"/>
          <w:sz w:val="13"/>
          <w:szCs w:val="13"/>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 Generally, we seek to use our experience, relationships and access to market information to identify investment candidates and to structure investments efficiently and effectively.</w:t>
      </w:r>
    </w:p>
    <w:p>
      <w:pPr>
        <w:spacing w:after="0" w:line="183" w:lineRule="exact"/>
        <w:rPr>
          <w:sz w:val="20"/>
          <w:szCs w:val="20"/>
          <w:color w:val="auto"/>
        </w:rPr>
      </w:pPr>
    </w:p>
    <w:p>
      <w:pPr>
        <w:ind w:left="1120" w:hanging="329"/>
        <w:spacing w:after="0"/>
        <w:tabs>
          <w:tab w:leader="none" w:pos="1120" w:val="left"/>
        </w:tabs>
        <w:numPr>
          <w:ilvl w:val="0"/>
          <w:numId w:val="5"/>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Leading and defensible competitive market positions</w:t>
      </w:r>
    </w:p>
    <w:p>
      <w:pPr>
        <w:spacing w:after="0" w:line="80" w:lineRule="exact"/>
        <w:rPr>
          <w:sz w:val="20"/>
          <w:szCs w:val="20"/>
          <w:color w:val="auto"/>
        </w:rPr>
      </w:pPr>
    </w:p>
    <w:p>
      <w:pPr>
        <w:ind w:right="340" w:firstLine="562"/>
        <w:spacing w:after="0" w:line="256" w:lineRule="auto"/>
        <w:rPr>
          <w:sz w:val="20"/>
          <w:szCs w:val="20"/>
          <w:color w:val="auto"/>
        </w:rPr>
      </w:pPr>
      <w:r>
        <w:rPr>
          <w:rFonts w:ascii="Arial" w:cs="Arial" w:eastAsia="Arial" w:hAnsi="Arial"/>
          <w:sz w:val="13"/>
          <w:szCs w:val="13"/>
          <w:color w:val="auto"/>
        </w:rPr>
        <w:t>The Investment Adviser invests in portfolio companies that it believes have developed strong positions within their markets and exhibit the potential to maintain sufficient cash flows and profitability to service their obligations in a range of economic environments. The Investment Adviser will seek portfolio companies that it believes possess advantages in scale, scope, customer loyalty, product pricing or product quality as compared to their competitors.</w:t>
      </w:r>
    </w:p>
    <w:p>
      <w:pPr>
        <w:spacing w:after="0" w:line="183" w:lineRule="exact"/>
        <w:rPr>
          <w:sz w:val="20"/>
          <w:szCs w:val="20"/>
          <w:color w:val="auto"/>
        </w:rPr>
      </w:pPr>
    </w:p>
    <w:p>
      <w:pPr>
        <w:ind w:left="1120" w:hanging="329"/>
        <w:spacing w:after="0"/>
        <w:tabs>
          <w:tab w:leader="none" w:pos="1120" w:val="left"/>
        </w:tabs>
        <w:numPr>
          <w:ilvl w:val="0"/>
          <w:numId w:val="6"/>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Investing in stable borrowers with positive cash flow</w:t>
      </w:r>
    </w:p>
    <w:p>
      <w:pPr>
        <w:spacing w:after="0" w:line="80" w:lineRule="exact"/>
        <w:rPr>
          <w:sz w:val="20"/>
          <w:szCs w:val="20"/>
          <w:color w:val="auto"/>
        </w:rPr>
      </w:pPr>
    </w:p>
    <w:p>
      <w:pPr>
        <w:ind w:right="120" w:firstLine="562"/>
        <w:spacing w:after="0" w:line="250" w:lineRule="auto"/>
        <w:rPr>
          <w:sz w:val="20"/>
          <w:szCs w:val="20"/>
          <w:color w:val="auto"/>
        </w:rPr>
      </w:pPr>
      <w:r>
        <w:rPr>
          <w:rFonts w:ascii="Arial" w:cs="Arial" w:eastAsia="Arial" w:hAnsi="Arial"/>
          <w:sz w:val="13"/>
          <w:szCs w:val="13"/>
          <w:color w:val="auto"/>
        </w:rPr>
        <w:t>The Investment Adviser invests in portfolio companies it believes to be stable and well established, with strong cash flows and profitability. The Investment Adviser believes these attributes indicate portfolio companies that may be well-positioned to maintain consistent cash flow to service and repay their liabilities and maintain growth in their businesses or their relative market share. The Investment Adviser currently does not expect to invest significantly in start-up companies, companies in turnaround situations or companies with speculative business plans, although we are permitted to do so.</w:t>
      </w:r>
    </w:p>
    <w:p>
      <w:pPr>
        <w:spacing w:after="0" w:line="187" w:lineRule="exact"/>
        <w:rPr>
          <w:sz w:val="20"/>
          <w:szCs w:val="20"/>
          <w:color w:val="auto"/>
        </w:rPr>
      </w:pPr>
    </w:p>
    <w:p>
      <w:pPr>
        <w:ind w:left="1120" w:hanging="329"/>
        <w:spacing w:after="0"/>
        <w:tabs>
          <w:tab w:leader="none" w:pos="1120" w:val="left"/>
        </w:tabs>
        <w:numPr>
          <w:ilvl w:val="0"/>
          <w:numId w:val="7"/>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Proven management teams</w:t>
      </w:r>
    </w:p>
    <w:p>
      <w:pPr>
        <w:spacing w:after="0" w:line="80" w:lineRule="exact"/>
        <w:rPr>
          <w:sz w:val="20"/>
          <w:szCs w:val="20"/>
          <w:color w:val="auto"/>
        </w:rPr>
      </w:pPr>
    </w:p>
    <w:p>
      <w:pPr>
        <w:ind w:right="20" w:firstLine="562"/>
        <w:spacing w:after="0" w:line="274" w:lineRule="auto"/>
        <w:rPr>
          <w:sz w:val="20"/>
          <w:szCs w:val="20"/>
          <w:color w:val="auto"/>
        </w:rPr>
      </w:pPr>
      <w:r>
        <w:rPr>
          <w:rFonts w:ascii="Arial" w:cs="Arial" w:eastAsia="Arial" w:hAnsi="Arial"/>
          <w:sz w:val="13"/>
          <w:szCs w:val="13"/>
          <w:color w:val="auto"/>
        </w:rPr>
        <w:t>The Investment Adviser focuses on investments in which the portfolio company has an experienced management team with an established track record of success. The Investment Adviser typically requires that portfolio companies have in place proper incentives to align management’s goals with our goals.</w:t>
      </w:r>
    </w:p>
    <w:p>
      <w:pPr>
        <w:spacing w:after="0" w:line="172" w:lineRule="exact"/>
        <w:rPr>
          <w:sz w:val="20"/>
          <w:szCs w:val="20"/>
          <w:color w:val="auto"/>
        </w:rPr>
      </w:pPr>
    </w:p>
    <w:p>
      <w:pPr>
        <w:ind w:left="1120" w:hanging="329"/>
        <w:spacing w:after="0"/>
        <w:tabs>
          <w:tab w:leader="none" w:pos="1120" w:val="left"/>
        </w:tabs>
        <w:numPr>
          <w:ilvl w:val="0"/>
          <w:numId w:val="8"/>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Private equity sponsorship</w:t>
      </w:r>
    </w:p>
    <w:p>
      <w:pPr>
        <w:spacing w:after="0" w:line="80" w:lineRule="exact"/>
        <w:rPr>
          <w:sz w:val="20"/>
          <w:szCs w:val="20"/>
          <w:color w:val="auto"/>
        </w:rPr>
      </w:pPr>
    </w:p>
    <w:p>
      <w:pPr>
        <w:ind w:right="300" w:firstLine="562"/>
        <w:spacing w:after="0" w:line="250" w:lineRule="auto"/>
        <w:rPr>
          <w:sz w:val="20"/>
          <w:szCs w:val="20"/>
          <w:color w:val="auto"/>
        </w:rPr>
      </w:pPr>
      <w:r>
        <w:rPr>
          <w:rFonts w:ascii="Arial" w:cs="Arial" w:eastAsia="Arial" w:hAnsi="Arial"/>
          <w:sz w:val="13"/>
          <w:szCs w:val="13"/>
          <w:color w:val="auto"/>
        </w:rPr>
        <w:t>The Investment Adviser may seek to cause us to participate in transactions sponsored by what it believes to be high-quality private equity firms. The Investment Adviser believes that a private equity sponsor’s willingness to invest significant equity capital in a portfolio company is an implicit endorsement of the quality of that portfolio company. Further, private equity sponsors of portfolio companies with significant investments at risk may have an ability, and a strong incentive, to contribute additional capital should economic, financial or operational issues arise so as to maintain their ownership position.</w:t>
      </w:r>
    </w:p>
    <w:p>
      <w:pPr>
        <w:spacing w:after="0" w:line="187" w:lineRule="exact"/>
        <w:rPr>
          <w:sz w:val="20"/>
          <w:szCs w:val="20"/>
          <w:color w:val="auto"/>
        </w:rPr>
      </w:pPr>
    </w:p>
    <w:p>
      <w:pPr>
        <w:ind w:left="1120" w:hanging="329"/>
        <w:spacing w:after="0"/>
        <w:tabs>
          <w:tab w:leader="none" w:pos="1120" w:val="left"/>
        </w:tabs>
        <w:numPr>
          <w:ilvl w:val="0"/>
          <w:numId w:val="9"/>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Investments in different borrowers and industries</w:t>
      </w:r>
    </w:p>
    <w:p>
      <w:pPr>
        <w:spacing w:after="0" w:line="80" w:lineRule="exact"/>
        <w:rPr>
          <w:sz w:val="20"/>
          <w:szCs w:val="20"/>
          <w:color w:val="auto"/>
        </w:rPr>
      </w:pPr>
    </w:p>
    <w:p>
      <w:pPr>
        <w:ind w:right="60" w:firstLine="562"/>
        <w:spacing w:after="0" w:line="274" w:lineRule="auto"/>
        <w:rPr>
          <w:sz w:val="20"/>
          <w:szCs w:val="20"/>
          <w:color w:val="auto"/>
        </w:rPr>
      </w:pPr>
      <w:r>
        <w:rPr>
          <w:rFonts w:ascii="Arial" w:cs="Arial" w:eastAsia="Arial" w:hAnsi="Arial"/>
          <w:sz w:val="13"/>
          <w:szCs w:val="13"/>
          <w:color w:val="auto"/>
        </w:rPr>
        <w:t>The Investment Adviser seeks to invest our assets broadly among portfolio companies and across industries. The Investment Adviser believes that this diversified approach may reduce the risk that a downturn in any one portfolio company or industry will have a disproportionate impact on the value of our portfolio.</w:t>
      </w:r>
    </w:p>
    <w:p>
      <w:pPr>
        <w:spacing w:after="0" w:line="172" w:lineRule="exact"/>
        <w:rPr>
          <w:sz w:val="20"/>
          <w:szCs w:val="20"/>
          <w:color w:val="auto"/>
        </w:rPr>
      </w:pPr>
    </w:p>
    <w:p>
      <w:pPr>
        <w:ind w:left="1120" w:hanging="329"/>
        <w:spacing w:after="0"/>
        <w:tabs>
          <w:tab w:leader="none" w:pos="1120" w:val="left"/>
        </w:tabs>
        <w:numPr>
          <w:ilvl w:val="0"/>
          <w:numId w:val="10"/>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Viable exit strategy</w:t>
      </w:r>
    </w:p>
    <w:p>
      <w:pPr>
        <w:spacing w:after="0" w:line="80" w:lineRule="exact"/>
        <w:rPr>
          <w:sz w:val="20"/>
          <w:szCs w:val="20"/>
          <w:color w:val="auto"/>
        </w:rPr>
      </w:pPr>
    </w:p>
    <w:p>
      <w:pPr>
        <w:ind w:right="340" w:firstLine="562"/>
        <w:spacing w:after="0" w:line="247" w:lineRule="auto"/>
        <w:rPr>
          <w:sz w:val="20"/>
          <w:szCs w:val="20"/>
          <w:color w:val="auto"/>
        </w:rPr>
      </w:pPr>
      <w:r>
        <w:rPr>
          <w:rFonts w:ascii="Arial" w:cs="Arial" w:eastAsia="Arial" w:hAnsi="Arial"/>
          <w:sz w:val="13"/>
          <w:szCs w:val="13"/>
          <w:color w:val="auto"/>
        </w:rPr>
        <w:t>We seek to invest in portfolio companies that we believe will provide a steady stream of cash flow to repay our loans while also reinvesting in their respective businesses. We expect that such internally generated cash flow, leading to the payment of interest on, and the repayment of the principal of, our investments in portfolio companies to be a key means by which we will exit from our investments over time. In addition, we seek to invest in portfolio companies whose business models and expected future cash flows offer attractive exit possibilities. These portfolio companies include candidates for strategic acquisition by other industry participants and portfolio companies that may repay our investments through an initial public offering of common stock, refinancing or other capital markets transaction.</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Competition</w:t>
      </w:r>
    </w:p>
    <w:p>
      <w:pPr>
        <w:spacing w:after="0" w:line="80" w:lineRule="exact"/>
        <w:rPr>
          <w:sz w:val="20"/>
          <w:szCs w:val="20"/>
          <w:color w:val="auto"/>
        </w:rPr>
      </w:pPr>
    </w:p>
    <w:p>
      <w:pPr>
        <w:ind w:right="80" w:firstLine="562"/>
        <w:spacing w:after="0" w:line="250" w:lineRule="auto"/>
        <w:rPr>
          <w:sz w:val="20"/>
          <w:szCs w:val="20"/>
          <w:color w:val="auto"/>
        </w:rPr>
      </w:pPr>
      <w:r>
        <w:rPr>
          <w:rFonts w:ascii="Arial" w:cs="Arial" w:eastAsia="Arial" w:hAnsi="Arial"/>
          <w:sz w:val="13"/>
          <w:szCs w:val="13"/>
          <w:color w:val="auto"/>
        </w:rPr>
        <w:t>Our primary competitors provide financing to middle-market companies and include other BDCs, commercial and investment banks, commercial finance companies, CLO funds and, to the extent they provide an alternative form of financing, private equity funds. Additionally, alternative investment vehicles, such as hedge funds, frequently invest in middle-market companies. As a result, competition for investment opportunities at middle-market companies can be intense. However, we believe that there has been a reduction in the amount of debt capital available to middle-market companies since the downturn in the credit markets, which began in mid-2007. We believe this has resulted in a less competitive environment for making new investments.</w:t>
      </w:r>
    </w:p>
    <w:p>
      <w:pPr>
        <w:spacing w:after="0" w:line="106" w:lineRule="exact"/>
        <w:rPr>
          <w:sz w:val="20"/>
          <w:szCs w:val="20"/>
          <w:color w:val="auto"/>
        </w:rPr>
      </w:pPr>
    </w:p>
    <w:p>
      <w:pPr>
        <w:ind w:firstLine="562"/>
        <w:spacing w:after="0" w:line="250" w:lineRule="auto"/>
        <w:rPr>
          <w:sz w:val="20"/>
          <w:szCs w:val="20"/>
          <w:color w:val="auto"/>
        </w:rPr>
      </w:pPr>
      <w:r>
        <w:rPr>
          <w:rFonts w:ascii="Arial" w:cs="Arial" w:eastAsia="Arial" w:hAnsi="Arial"/>
          <w:sz w:val="13"/>
          <w:szCs w:val="13"/>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for more information.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20"/>
          </w:cols>
          <w:pgMar w:left="320" w:top="459" w:right="3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Leverage</w:t>
      </w:r>
    </w:p>
    <w:p>
      <w:pPr>
        <w:spacing w:after="0" w:line="80" w:lineRule="exact"/>
        <w:rPr>
          <w:sz w:val="20"/>
          <w:szCs w:val="20"/>
          <w:color w:val="auto"/>
        </w:rPr>
      </w:pPr>
    </w:p>
    <w:p>
      <w:pPr>
        <w:jc w:val="both"/>
        <w:ind w:right="220" w:firstLine="562"/>
        <w:spacing w:after="0" w:line="265" w:lineRule="auto"/>
        <w:rPr>
          <w:sz w:val="20"/>
          <w:szCs w:val="20"/>
          <w:color w:val="auto"/>
        </w:rPr>
      </w:pPr>
      <w:r>
        <w:rPr>
          <w:rFonts w:ascii="Arial" w:cs="Arial" w:eastAsia="Arial" w:hAnsi="Arial"/>
          <w:sz w:val="12"/>
          <w:szCs w:val="12"/>
          <w:color w:val="auto"/>
        </w:rPr>
        <w:t>We maintain a five-year, $100.0 million Credit Facility, which matures in May 2017, with SunTrust Bank. During the Credit Facility’s first three years beginning in May 2012, or the revolving period, it bears interest at LIBOR plus 225 basis points, and after the revolving period, the rate sets to LIBOR plus 425 basis points for the remaining two years. The Credit Facility is secured by all of the assets held by Funding I, under which we had drawn $75.5 million outstanding with a weighted average interest rate of 2.47%, excluding the unused commitment fee of 0.375%, as of September 30, 2012.</w:t>
      </w:r>
    </w:p>
    <w:p>
      <w:pPr>
        <w:ind w:right="140"/>
        <w:spacing w:after="0" w:line="247" w:lineRule="auto"/>
        <w:rPr>
          <w:sz w:val="20"/>
          <w:szCs w:val="20"/>
          <w:color w:val="auto"/>
        </w:rPr>
      </w:pPr>
      <w:r>
        <w:rPr>
          <w:rFonts w:ascii="Arial" w:cs="Arial" w:eastAsia="Arial" w:hAnsi="Arial"/>
          <w:sz w:val="13"/>
          <w:szCs w:val="13"/>
          <w:color w:val="auto"/>
        </w:rPr>
        <w:t>The Credit Facility permits, subject to satisfaction of certain conditions, an accordion feature whereby the Credit Facility can be expanded to $600.0 million. We believe that our capital resources provide us with the flexibility to take advantage of market opportunities when they arise. See “Management’s Discussion and Analysis of Financial Condition and Results of Operations—Liquidity and Capital Resources” for more information.</w:t>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Investment Policy Overview</w:t>
      </w:r>
    </w:p>
    <w:p>
      <w:pPr>
        <w:spacing w:after="0" w:line="80" w:lineRule="exact"/>
        <w:rPr>
          <w:sz w:val="20"/>
          <w:szCs w:val="20"/>
          <w:color w:val="auto"/>
        </w:rPr>
      </w:pPr>
    </w:p>
    <w:p>
      <w:pPr>
        <w:ind w:right="280" w:firstLine="562"/>
        <w:spacing w:after="0" w:line="250" w:lineRule="auto"/>
        <w:rPr>
          <w:sz w:val="20"/>
          <w:szCs w:val="20"/>
          <w:color w:val="auto"/>
        </w:rPr>
      </w:pPr>
      <w:r>
        <w:rPr>
          <w:rFonts w:ascii="Arial" w:cs="Arial" w:eastAsia="Arial" w:hAnsi="Arial"/>
          <w:sz w:val="13"/>
          <w:szCs w:val="13"/>
          <w:color w:val="auto"/>
        </w:rPr>
        <w:t>We seek to create a diversified portfolio primarily of Floating Rate Loans by generally targeting an investment size of $1 million to $10 million in securities, on average, of middle-market companies.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range in maturity from three to ten years.</w:t>
      </w:r>
    </w:p>
    <w:p>
      <w:pPr>
        <w:spacing w:after="0" w:line="106" w:lineRule="exact"/>
        <w:rPr>
          <w:sz w:val="20"/>
          <w:szCs w:val="20"/>
          <w:color w:val="auto"/>
        </w:rPr>
      </w:pPr>
    </w:p>
    <w:p>
      <w:pPr>
        <w:ind w:right="20" w:firstLine="562"/>
        <w:spacing w:after="0" w:line="250" w:lineRule="auto"/>
        <w:rPr>
          <w:sz w:val="20"/>
          <w:szCs w:val="20"/>
          <w:color w:val="auto"/>
        </w:rPr>
      </w:pPr>
      <w:r>
        <w:rPr>
          <w:rFonts w:ascii="Arial" w:cs="Arial" w:eastAsia="Arial" w:hAnsi="Arial"/>
          <w:sz w:val="13"/>
          <w:szCs w:val="13"/>
          <w:color w:val="auto"/>
        </w:rPr>
        <w:t>Over time, we expect that our portfolio will continue to consist primarily of Floating Rate Loans in qualifying assets such as private or thinly traded or small market-capitalization, public U.S. companies. In addition, we may invest up to 30% of our portfolio in non-qualifying assets. See “Regulation—Qualifying Assets” for more information. These non-qualifying assets may include investments in public companies whose securities are not thinly traded or have a market capitalization greater than $250 million, securities of middle-market companies located outside of the United States and investment companies as defined in the 1940 Act. Moreover, we may acquire investments in the secondary market. See “Investment Selection Criteria” for more information.</w:t>
      </w:r>
    </w:p>
    <w:p>
      <w:pPr>
        <w:spacing w:after="0" w:line="106" w:lineRule="exact"/>
        <w:rPr>
          <w:sz w:val="20"/>
          <w:szCs w:val="20"/>
          <w:color w:val="auto"/>
        </w:rPr>
      </w:pPr>
    </w:p>
    <w:p>
      <w:pPr>
        <w:ind w:right="80" w:firstLine="562"/>
        <w:spacing w:after="0" w:line="288" w:lineRule="auto"/>
        <w:rPr>
          <w:sz w:val="20"/>
          <w:szCs w:val="20"/>
          <w:color w:val="auto"/>
        </w:rPr>
      </w:pPr>
      <w:r>
        <w:rPr>
          <w:rFonts w:ascii="Arial" w:cs="Arial" w:eastAsia="Arial" w:hAnsi="Arial"/>
          <w:sz w:val="12"/>
          <w:szCs w:val="12"/>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38"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Operating and Regulatory Structure</w:t>
      </w:r>
    </w:p>
    <w:p>
      <w:pPr>
        <w:spacing w:after="0" w:line="80" w:lineRule="exact"/>
        <w:rPr>
          <w:sz w:val="20"/>
          <w:szCs w:val="20"/>
          <w:color w:val="auto"/>
        </w:rPr>
      </w:pPr>
    </w:p>
    <w:p>
      <w:pPr>
        <w:jc w:val="both"/>
        <w:ind w:right="40" w:firstLine="562"/>
        <w:spacing w:after="0" w:line="256" w:lineRule="auto"/>
        <w:rPr>
          <w:sz w:val="20"/>
          <w:szCs w:val="20"/>
          <w:color w:val="auto"/>
        </w:rPr>
      </w:pPr>
      <w:r>
        <w:rPr>
          <w:rFonts w:ascii="Arial" w:cs="Arial" w:eastAsia="Arial" w:hAnsi="Arial"/>
          <w:sz w:val="13"/>
          <w:szCs w:val="13"/>
          <w:color w:val="auto"/>
        </w:rPr>
        <w:t>Our investment activities are managed by PennantPark Investment Advisers and supervised by our board of directors, a majority of whom are independent of us. Under our investment management agreement, or the Investment Management Agreement, we have agreed to pay our Investment Adviser an annual base management fee based on our average adjusted gross total assets as well as an incentive fee based on our investment performance. See “Investment Management Agreement” for more information.</w:t>
      </w:r>
    </w:p>
    <w:p>
      <w:pPr>
        <w:spacing w:after="0" w:line="102" w:lineRule="exact"/>
        <w:rPr>
          <w:sz w:val="20"/>
          <w:szCs w:val="20"/>
          <w:color w:val="auto"/>
        </w:rPr>
      </w:pPr>
    </w:p>
    <w:p>
      <w:pPr>
        <w:ind w:right="360" w:firstLine="562"/>
        <w:spacing w:after="0" w:line="288" w:lineRule="auto"/>
        <w:rPr>
          <w:sz w:val="20"/>
          <w:szCs w:val="20"/>
          <w:color w:val="auto"/>
        </w:rPr>
      </w:pPr>
      <w:r>
        <w:rPr>
          <w:rFonts w:ascii="Arial" w:cs="Arial" w:eastAsia="Arial" w:hAnsi="Arial"/>
          <w:sz w:val="12"/>
          <w:szCs w:val="12"/>
          <w:color w:val="auto"/>
        </w:rPr>
        <w:t>We have also entered into an administration agreement, or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“Administration Agreement” for more information.</w:t>
      </w:r>
    </w:p>
    <w:p>
      <w:pPr>
        <w:spacing w:after="0" w:line="84" w:lineRule="exact"/>
        <w:rPr>
          <w:sz w:val="20"/>
          <w:szCs w:val="20"/>
          <w:color w:val="auto"/>
        </w:rPr>
      </w:pPr>
    </w:p>
    <w:p>
      <w:pPr>
        <w:ind w:firstLine="562"/>
        <w:spacing w:after="0" w:line="256" w:lineRule="auto"/>
        <w:rPr>
          <w:sz w:val="20"/>
          <w:szCs w:val="20"/>
          <w:color w:val="auto"/>
        </w:rPr>
      </w:pPr>
      <w:r>
        <w:rPr>
          <w:rFonts w:ascii="Arial" w:cs="Arial" w:eastAsia="Arial" w:hAnsi="Arial"/>
          <w:sz w:val="13"/>
          <w:szCs w:val="13"/>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02" w:lineRule="exact"/>
        <w:rPr>
          <w:sz w:val="20"/>
          <w:szCs w:val="20"/>
          <w:color w:val="auto"/>
        </w:rPr>
      </w:pPr>
    </w:p>
    <w:p>
      <w:pPr>
        <w:ind w:right="220" w:firstLine="562"/>
        <w:spacing w:after="0" w:line="274" w:lineRule="auto"/>
        <w:rPr>
          <w:sz w:val="20"/>
          <w:szCs w:val="20"/>
          <w:color w:val="auto"/>
        </w:rPr>
      </w:pPr>
      <w:r>
        <w:rPr>
          <w:rFonts w:ascii="Arial" w:cs="Arial" w:eastAsia="Arial" w:hAnsi="Arial"/>
          <w:sz w:val="13"/>
          <w:szCs w:val="13"/>
          <w:color w:val="auto"/>
        </w:rPr>
        <w:t>As a BDC, we are required to comply with certain regulatory requirements. Also, while we are permitted to finance investments using debt, our ability to use debt is limited in certain significant respects. We have elected to be treated for federal income tax purposes under the Code as a RIC. See “Regulation” for more information.</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Our Corporate Information</w:t>
      </w:r>
    </w:p>
    <w:p>
      <w:pPr>
        <w:spacing w:after="0" w:line="80" w:lineRule="exact"/>
        <w:rPr>
          <w:sz w:val="20"/>
          <w:szCs w:val="20"/>
          <w:color w:val="auto"/>
        </w:rPr>
      </w:pPr>
    </w:p>
    <w:p>
      <w:pPr>
        <w:ind w:right="80" w:firstLine="224"/>
        <w:spacing w:after="0" w:line="278" w:lineRule="auto"/>
        <w:rPr>
          <w:sz w:val="20"/>
          <w:szCs w:val="20"/>
          <w:color w:val="auto"/>
        </w:rPr>
      </w:pPr>
      <w:r>
        <w:rPr>
          <w:rFonts w:ascii="Arial" w:cs="Arial" w:eastAsia="Arial" w:hAnsi="Arial"/>
          <w:sz w:val="12"/>
          <w:szCs w:val="12"/>
          <w:color w:val="auto"/>
        </w:rPr>
        <w:t xml:space="preserve">Our administrative and principal executive offices are located at 590 Madison Avenue, 15th Floor, New York, NY 10022. Our common stock is quoted on the NASDAQ Global Select Market under the symbol “PFLT.” Our phone number is (212) 905-1000, and our Internet website address is </w:t>
      </w:r>
      <w:r>
        <w:rPr>
          <w:rFonts w:ascii="Arial" w:cs="Arial" w:eastAsia="Arial" w:hAnsi="Arial"/>
          <w:sz w:val="12"/>
          <w:szCs w:val="12"/>
          <w:i w:val="1"/>
          <w:iCs w:val="1"/>
          <w:u w:val="single" w:color="auto"/>
          <w:color w:val="auto"/>
        </w:rPr>
        <w:t>www.pennantpark.com</w:t>
      </w:r>
      <w:r>
        <w:rPr>
          <w:rFonts w:ascii="Arial" w:cs="Arial" w:eastAsia="Arial" w:hAnsi="Arial"/>
          <w:sz w:val="12"/>
          <w:szCs w:val="12"/>
          <w:color w:val="auto"/>
        </w:rPr>
        <w:t>. Information contained on our website is not incorporated by reference into this Report, and you should not consider information contained on our website to be part of this Report. We file periodic reports, proxy statements and other information with the SEC. We make available, free of charge, on our website our annual report on Form 10-K, quarterly reports on Form 10-Q, current reports on Form 8-K and amendments to such reports as well as proxy statements as soon as reasonably practicable after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40"/>
          </w:cols>
          <w:pgMar w:left="320" w:top="459"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60"/>
        <w:spacing w:after="0" w:line="256" w:lineRule="auto"/>
        <w:rPr>
          <w:sz w:val="20"/>
          <w:szCs w:val="20"/>
          <w:color w:val="auto"/>
        </w:rPr>
      </w:pPr>
      <w:r>
        <w:rPr>
          <w:rFonts w:ascii="Arial" w:cs="Arial" w:eastAsia="Arial" w:hAnsi="Arial"/>
          <w:sz w:val="13"/>
          <w:szCs w:val="13"/>
          <w:color w:val="auto"/>
        </w:rPr>
        <w:t xml:space="preserve">we electronically file such material with, or furnish it to, the SEC. You may read and copy, after paying a duplicating fee, the materials that we file with the SEC at the SEC’s Public Reference Room at 100 F Street, N.E., Washington, D.C. 20549. You may obtain information on the operation of the Public Reference Room by calling the SEC at 1-800-SEC-0330. In addition, the SEC maintains an internet site at </w:t>
      </w:r>
      <w:r>
        <w:rPr>
          <w:rFonts w:ascii="Arial" w:cs="Arial" w:eastAsia="Arial" w:hAnsi="Arial"/>
          <w:sz w:val="13"/>
          <w:szCs w:val="13"/>
          <w:i w:val="1"/>
          <w:iCs w:val="1"/>
          <w:u w:val="single" w:color="auto"/>
          <w:color w:val="auto"/>
        </w:rPr>
        <w:t>www.sec.gov</w:t>
      </w:r>
      <w:r>
        <w:rPr>
          <w:rFonts w:ascii="Arial" w:cs="Arial" w:eastAsia="Arial" w:hAnsi="Arial"/>
          <w:sz w:val="13"/>
          <w:szCs w:val="13"/>
          <w:i w:val="1"/>
          <w:iCs w:val="1"/>
          <w:color w:val="auto"/>
        </w:rPr>
        <w:t xml:space="preserve"> </w:t>
      </w:r>
      <w:r>
        <w:rPr>
          <w:rFonts w:ascii="Arial" w:cs="Arial" w:eastAsia="Arial" w:hAnsi="Arial"/>
          <w:sz w:val="13"/>
          <w:szCs w:val="13"/>
          <w:color w:val="auto"/>
        </w:rPr>
        <w:t>that contains material that we file with the SEC on the EDGAR Database.</w:t>
      </w:r>
    </w:p>
    <w:p>
      <w:pPr>
        <w:spacing w:after="0" w:line="156"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Our Consolidated Portfolio</w:t>
      </w:r>
    </w:p>
    <w:p>
      <w:pPr>
        <w:spacing w:after="0" w:line="80" w:lineRule="exact"/>
        <w:rPr>
          <w:sz w:val="20"/>
          <w:szCs w:val="20"/>
          <w:color w:val="auto"/>
        </w:rPr>
      </w:pPr>
    </w:p>
    <w:p>
      <w:pPr>
        <w:ind w:right="300" w:firstLine="562"/>
        <w:spacing w:after="0" w:line="317" w:lineRule="auto"/>
        <w:rPr>
          <w:sz w:val="20"/>
          <w:szCs w:val="20"/>
          <w:color w:val="auto"/>
        </w:rPr>
      </w:pPr>
      <w:r>
        <w:rPr>
          <w:rFonts w:ascii="Arial" w:cs="Arial" w:eastAsia="Arial" w:hAnsi="Arial"/>
          <w:sz w:val="12"/>
          <w:szCs w:val="12"/>
          <w:color w:val="auto"/>
        </w:rPr>
        <w:t>Our principal investment focus is to invest in Floating Rate Loans to U.S. middle-market companies in a variety of industries. We generally seek to target companies that generate positive cash flows from the broad variety of industries in which our Investment Adviser has direct expertise. The following is an illustrative list of the industries in which the Investment Adviser has invested:</w:t>
      </w:r>
    </w:p>
    <w:p>
      <w:pPr>
        <w:spacing w:after="0" w:line="14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4440" w:type="dxa"/>
            <w:vAlign w:val="bottom"/>
            <w:gridSpan w:val="2"/>
          </w:tcPr>
          <w:p>
            <w:pPr>
              <w:spacing w:after="0"/>
              <w:rPr>
                <w:sz w:val="20"/>
                <w:szCs w:val="20"/>
                <w:color w:val="auto"/>
              </w:rPr>
            </w:pPr>
            <w:r>
              <w:rPr>
                <w:rFonts w:ascii="Arial" w:cs="Arial" w:eastAsia="Arial" w:hAnsi="Arial"/>
                <w:sz w:val="13"/>
                <w:szCs w:val="13"/>
                <w:color w:val="auto"/>
              </w:rPr>
              <w:t>• Aerospace and Defense</w:t>
            </w:r>
          </w:p>
        </w:tc>
        <w:tc>
          <w:tcPr>
            <w:tcW w:w="1140" w:type="dxa"/>
            <w:vAlign w:val="bottom"/>
          </w:tcPr>
          <w:p>
            <w:pPr>
              <w:ind w:left="1060"/>
              <w:spacing w:after="0"/>
              <w:rPr>
                <w:sz w:val="20"/>
                <w:szCs w:val="20"/>
                <w:color w:val="auto"/>
              </w:rPr>
            </w:pPr>
            <w:r>
              <w:rPr>
                <w:rFonts w:ascii="Arial" w:cs="Arial" w:eastAsia="Arial" w:hAnsi="Arial"/>
                <w:sz w:val="13"/>
                <w:szCs w:val="13"/>
                <w:color w:val="auto"/>
              </w:rPr>
              <w:t>•</w:t>
            </w:r>
          </w:p>
        </w:tc>
        <w:tc>
          <w:tcPr>
            <w:tcW w:w="4020" w:type="dxa"/>
            <w:vAlign w:val="bottom"/>
          </w:tcPr>
          <w:p>
            <w:pPr>
              <w:ind w:left="40"/>
              <w:spacing w:after="0"/>
              <w:rPr>
                <w:sz w:val="20"/>
                <w:szCs w:val="20"/>
                <w:color w:val="auto"/>
              </w:rPr>
            </w:pPr>
            <w:r>
              <w:rPr>
                <w:rFonts w:ascii="Arial" w:cs="Arial" w:eastAsia="Arial" w:hAnsi="Arial"/>
                <w:sz w:val="13"/>
                <w:szCs w:val="13"/>
                <w:color w:val="auto"/>
              </w:rPr>
              <w:t>Environmental Services</w:t>
            </w:r>
          </w:p>
        </w:tc>
      </w:tr>
      <w:tr>
        <w:trPr>
          <w:trHeight w:val="148"/>
        </w:trPr>
        <w:tc>
          <w:tcPr>
            <w:tcW w:w="4440" w:type="dxa"/>
            <w:vAlign w:val="bottom"/>
            <w:gridSpan w:val="2"/>
          </w:tcPr>
          <w:p>
            <w:pPr>
              <w:spacing w:after="0"/>
              <w:rPr>
                <w:sz w:val="20"/>
                <w:szCs w:val="20"/>
                <w:color w:val="auto"/>
              </w:rPr>
            </w:pPr>
            <w:r>
              <w:rPr>
                <w:rFonts w:ascii="Arial" w:cs="Arial" w:eastAsia="Arial" w:hAnsi="Arial"/>
                <w:sz w:val="13"/>
                <w:szCs w:val="13"/>
                <w:color w:val="auto"/>
              </w:rPr>
              <w:t>• Auto Sector</w:t>
            </w:r>
          </w:p>
        </w:tc>
        <w:tc>
          <w:tcPr>
            <w:tcW w:w="1140" w:type="dxa"/>
            <w:vAlign w:val="bottom"/>
          </w:tcPr>
          <w:p>
            <w:pPr>
              <w:ind w:left="1060"/>
              <w:spacing w:after="0"/>
              <w:rPr>
                <w:sz w:val="20"/>
                <w:szCs w:val="20"/>
                <w:color w:val="auto"/>
              </w:rPr>
            </w:pPr>
            <w:r>
              <w:rPr>
                <w:rFonts w:ascii="Arial" w:cs="Arial" w:eastAsia="Arial" w:hAnsi="Arial"/>
                <w:sz w:val="13"/>
                <w:szCs w:val="13"/>
                <w:color w:val="auto"/>
              </w:rPr>
              <w:t>•</w:t>
            </w:r>
          </w:p>
        </w:tc>
        <w:tc>
          <w:tcPr>
            <w:tcW w:w="4020" w:type="dxa"/>
            <w:vAlign w:val="bottom"/>
          </w:tcPr>
          <w:p>
            <w:pPr>
              <w:ind w:left="40"/>
              <w:spacing w:after="0"/>
              <w:rPr>
                <w:sz w:val="20"/>
                <w:szCs w:val="20"/>
                <w:color w:val="auto"/>
              </w:rPr>
            </w:pPr>
            <w:r>
              <w:rPr>
                <w:rFonts w:ascii="Arial" w:cs="Arial" w:eastAsia="Arial" w:hAnsi="Arial"/>
                <w:sz w:val="13"/>
                <w:szCs w:val="13"/>
                <w:color w:val="auto"/>
              </w:rPr>
              <w:t>Financial Services</w:t>
            </w:r>
          </w:p>
        </w:tc>
      </w:tr>
      <w:tr>
        <w:trPr>
          <w:trHeight w:val="148"/>
        </w:trPr>
        <w:tc>
          <w:tcPr>
            <w:tcW w:w="4440" w:type="dxa"/>
            <w:vAlign w:val="bottom"/>
            <w:gridSpan w:val="2"/>
          </w:tcPr>
          <w:p>
            <w:pPr>
              <w:spacing w:after="0"/>
              <w:rPr>
                <w:sz w:val="20"/>
                <w:szCs w:val="20"/>
                <w:color w:val="auto"/>
              </w:rPr>
            </w:pPr>
            <w:r>
              <w:rPr>
                <w:rFonts w:ascii="Arial" w:cs="Arial" w:eastAsia="Arial" w:hAnsi="Arial"/>
                <w:sz w:val="13"/>
                <w:szCs w:val="13"/>
                <w:color w:val="auto"/>
              </w:rPr>
              <w:t>• Beverage, Food and Tobacco</w:t>
            </w:r>
          </w:p>
        </w:tc>
        <w:tc>
          <w:tcPr>
            <w:tcW w:w="5160" w:type="dxa"/>
            <w:vAlign w:val="bottom"/>
            <w:gridSpan w:val="2"/>
          </w:tcPr>
          <w:p>
            <w:pPr>
              <w:ind w:left="1060"/>
              <w:spacing w:after="0"/>
              <w:rPr>
                <w:sz w:val="20"/>
                <w:szCs w:val="20"/>
                <w:color w:val="auto"/>
              </w:rPr>
            </w:pPr>
            <w:r>
              <w:rPr>
                <w:rFonts w:ascii="Arial" w:cs="Arial" w:eastAsia="Arial" w:hAnsi="Arial"/>
                <w:sz w:val="13"/>
                <w:szCs w:val="13"/>
                <w:color w:val="auto"/>
              </w:rPr>
              <w:t>• Grocery</w:t>
            </w:r>
          </w:p>
        </w:tc>
      </w:tr>
      <w:tr>
        <w:trPr>
          <w:trHeight w:val="148"/>
        </w:trPr>
        <w:tc>
          <w:tcPr>
            <w:tcW w:w="80" w:type="dxa"/>
            <w:vAlign w:val="bottom"/>
          </w:tcPr>
          <w:p>
            <w:pPr>
              <w:spacing w:after="0"/>
              <w:rPr>
                <w:sz w:val="20"/>
                <w:szCs w:val="20"/>
                <w:color w:val="auto"/>
              </w:rPr>
            </w:pPr>
            <w:r>
              <w:rPr>
                <w:rFonts w:ascii="Arial" w:cs="Arial" w:eastAsia="Arial" w:hAnsi="Arial"/>
                <w:sz w:val="13"/>
                <w:szCs w:val="13"/>
                <w:color w:val="auto"/>
              </w:rPr>
              <w:t>•</w:t>
            </w:r>
          </w:p>
        </w:tc>
        <w:tc>
          <w:tcPr>
            <w:tcW w:w="4360" w:type="dxa"/>
            <w:vAlign w:val="bottom"/>
          </w:tcPr>
          <w:p>
            <w:pPr>
              <w:ind w:left="40"/>
              <w:spacing w:after="0"/>
              <w:rPr>
                <w:sz w:val="20"/>
                <w:szCs w:val="20"/>
                <w:color w:val="auto"/>
              </w:rPr>
            </w:pPr>
            <w:r>
              <w:rPr>
                <w:rFonts w:ascii="Arial" w:cs="Arial" w:eastAsia="Arial" w:hAnsi="Arial"/>
                <w:sz w:val="13"/>
                <w:szCs w:val="13"/>
                <w:color w:val="auto"/>
              </w:rPr>
              <w:t>Broadcasting and Entertainment</w:t>
            </w:r>
          </w:p>
        </w:tc>
        <w:tc>
          <w:tcPr>
            <w:tcW w:w="1140" w:type="dxa"/>
            <w:vAlign w:val="bottom"/>
          </w:tcPr>
          <w:p>
            <w:pPr>
              <w:ind w:left="1060"/>
              <w:spacing w:after="0"/>
              <w:rPr>
                <w:sz w:val="20"/>
                <w:szCs w:val="20"/>
                <w:color w:val="auto"/>
              </w:rPr>
            </w:pPr>
            <w:r>
              <w:rPr>
                <w:rFonts w:ascii="Arial" w:cs="Arial" w:eastAsia="Arial" w:hAnsi="Arial"/>
                <w:sz w:val="13"/>
                <w:szCs w:val="13"/>
                <w:color w:val="auto"/>
              </w:rPr>
              <w:t>•</w:t>
            </w:r>
          </w:p>
        </w:tc>
        <w:tc>
          <w:tcPr>
            <w:tcW w:w="4020" w:type="dxa"/>
            <w:vAlign w:val="bottom"/>
          </w:tcPr>
          <w:p>
            <w:pPr>
              <w:ind w:left="40"/>
              <w:spacing w:after="0"/>
              <w:rPr>
                <w:sz w:val="20"/>
                <w:szCs w:val="20"/>
                <w:color w:val="auto"/>
              </w:rPr>
            </w:pPr>
            <w:r>
              <w:rPr>
                <w:rFonts w:ascii="Arial" w:cs="Arial" w:eastAsia="Arial" w:hAnsi="Arial"/>
                <w:sz w:val="13"/>
                <w:szCs w:val="13"/>
                <w:color w:val="auto"/>
              </w:rPr>
              <w:t>Healthcare, Education and Childcare</w:t>
            </w:r>
          </w:p>
        </w:tc>
      </w:tr>
      <w:tr>
        <w:trPr>
          <w:trHeight w:val="162"/>
        </w:trPr>
        <w:tc>
          <w:tcPr>
            <w:tcW w:w="4440" w:type="dxa"/>
            <w:vAlign w:val="bottom"/>
            <w:gridSpan w:val="2"/>
          </w:tcPr>
          <w:p>
            <w:pPr>
              <w:spacing w:after="0"/>
              <w:rPr>
                <w:sz w:val="20"/>
                <w:szCs w:val="20"/>
                <w:color w:val="auto"/>
              </w:rPr>
            </w:pPr>
            <w:r>
              <w:rPr>
                <w:rFonts w:ascii="Arial" w:cs="Arial" w:eastAsia="Arial" w:hAnsi="Arial"/>
                <w:sz w:val="13"/>
                <w:szCs w:val="13"/>
                <w:color w:val="auto"/>
              </w:rPr>
              <w:t>• Buildings and Real Estate</w:t>
            </w:r>
          </w:p>
        </w:tc>
        <w:tc>
          <w:tcPr>
            <w:tcW w:w="5160" w:type="dxa"/>
            <w:vAlign w:val="bottom"/>
            <w:gridSpan w:val="2"/>
          </w:tcPr>
          <w:p>
            <w:pPr>
              <w:ind w:left="1060"/>
              <w:spacing w:after="0"/>
              <w:rPr>
                <w:sz w:val="20"/>
                <w:szCs w:val="20"/>
                <w:color w:val="auto"/>
              </w:rPr>
            </w:pPr>
            <w:r>
              <w:rPr>
                <w:rFonts w:ascii="Arial" w:cs="Arial" w:eastAsia="Arial" w:hAnsi="Arial"/>
                <w:sz w:val="13"/>
                <w:szCs w:val="13"/>
                <w:color w:val="auto"/>
                <w:w w:val="96"/>
              </w:rPr>
              <w:t>• Home &amp; Office Furnishings, Housewares &amp; Durable Consumer Products</w:t>
            </w:r>
          </w:p>
        </w:tc>
      </w:tr>
      <w:tr>
        <w:trPr>
          <w:trHeight w:val="148"/>
        </w:trPr>
        <w:tc>
          <w:tcPr>
            <w:tcW w:w="80" w:type="dxa"/>
            <w:vAlign w:val="bottom"/>
          </w:tcPr>
          <w:p>
            <w:pPr>
              <w:spacing w:after="0"/>
              <w:rPr>
                <w:sz w:val="20"/>
                <w:szCs w:val="20"/>
                <w:color w:val="auto"/>
              </w:rPr>
            </w:pPr>
            <w:r>
              <w:rPr>
                <w:rFonts w:ascii="Arial" w:cs="Arial" w:eastAsia="Arial" w:hAnsi="Arial"/>
                <w:sz w:val="13"/>
                <w:szCs w:val="13"/>
                <w:color w:val="auto"/>
              </w:rPr>
              <w:t>•</w:t>
            </w:r>
          </w:p>
        </w:tc>
        <w:tc>
          <w:tcPr>
            <w:tcW w:w="4360" w:type="dxa"/>
            <w:vAlign w:val="bottom"/>
          </w:tcPr>
          <w:p>
            <w:pPr>
              <w:ind w:left="40"/>
              <w:spacing w:after="0"/>
              <w:rPr>
                <w:sz w:val="20"/>
                <w:szCs w:val="20"/>
                <w:color w:val="auto"/>
              </w:rPr>
            </w:pPr>
            <w:r>
              <w:rPr>
                <w:rFonts w:ascii="Arial" w:cs="Arial" w:eastAsia="Arial" w:hAnsi="Arial"/>
                <w:sz w:val="13"/>
                <w:szCs w:val="13"/>
                <w:color w:val="auto"/>
              </w:rPr>
              <w:t>Business Services</w:t>
            </w:r>
          </w:p>
        </w:tc>
        <w:tc>
          <w:tcPr>
            <w:tcW w:w="1140" w:type="dxa"/>
            <w:vAlign w:val="bottom"/>
          </w:tcPr>
          <w:p>
            <w:pPr>
              <w:ind w:left="1060"/>
              <w:spacing w:after="0"/>
              <w:rPr>
                <w:sz w:val="20"/>
                <w:szCs w:val="20"/>
                <w:color w:val="auto"/>
              </w:rPr>
            </w:pPr>
            <w:r>
              <w:rPr>
                <w:rFonts w:ascii="Arial" w:cs="Arial" w:eastAsia="Arial" w:hAnsi="Arial"/>
                <w:sz w:val="13"/>
                <w:szCs w:val="13"/>
                <w:color w:val="auto"/>
              </w:rPr>
              <w:t>•</w:t>
            </w:r>
          </w:p>
        </w:tc>
        <w:tc>
          <w:tcPr>
            <w:tcW w:w="4020" w:type="dxa"/>
            <w:vAlign w:val="bottom"/>
          </w:tcPr>
          <w:p>
            <w:pPr>
              <w:ind w:left="40"/>
              <w:spacing w:after="0"/>
              <w:rPr>
                <w:sz w:val="20"/>
                <w:szCs w:val="20"/>
                <w:color w:val="auto"/>
              </w:rPr>
            </w:pPr>
            <w:r>
              <w:rPr>
                <w:rFonts w:ascii="Arial" w:cs="Arial" w:eastAsia="Arial" w:hAnsi="Arial"/>
                <w:sz w:val="13"/>
                <w:szCs w:val="13"/>
                <w:color w:val="auto"/>
              </w:rPr>
              <w:t>Hotels, Motels, Inns and Gaming</w:t>
            </w:r>
          </w:p>
        </w:tc>
      </w:tr>
      <w:tr>
        <w:trPr>
          <w:trHeight w:val="148"/>
        </w:trPr>
        <w:tc>
          <w:tcPr>
            <w:tcW w:w="80" w:type="dxa"/>
            <w:vAlign w:val="bottom"/>
          </w:tcPr>
          <w:p>
            <w:pPr>
              <w:spacing w:after="0"/>
              <w:rPr>
                <w:sz w:val="20"/>
                <w:szCs w:val="20"/>
                <w:color w:val="auto"/>
              </w:rPr>
            </w:pPr>
            <w:r>
              <w:rPr>
                <w:rFonts w:ascii="Arial" w:cs="Arial" w:eastAsia="Arial" w:hAnsi="Arial"/>
                <w:sz w:val="13"/>
                <w:szCs w:val="13"/>
                <w:color w:val="auto"/>
              </w:rPr>
              <w:t>•</w:t>
            </w:r>
          </w:p>
        </w:tc>
        <w:tc>
          <w:tcPr>
            <w:tcW w:w="4360" w:type="dxa"/>
            <w:vAlign w:val="bottom"/>
          </w:tcPr>
          <w:p>
            <w:pPr>
              <w:ind w:left="40"/>
              <w:spacing w:after="0"/>
              <w:rPr>
                <w:sz w:val="20"/>
                <w:szCs w:val="20"/>
                <w:color w:val="auto"/>
              </w:rPr>
            </w:pPr>
            <w:r>
              <w:rPr>
                <w:rFonts w:ascii="Arial" w:cs="Arial" w:eastAsia="Arial" w:hAnsi="Arial"/>
                <w:sz w:val="13"/>
                <w:szCs w:val="13"/>
                <w:color w:val="auto"/>
              </w:rPr>
              <w:t>Cable Television</w:t>
            </w:r>
          </w:p>
        </w:tc>
        <w:tc>
          <w:tcPr>
            <w:tcW w:w="1140" w:type="dxa"/>
            <w:vAlign w:val="bottom"/>
          </w:tcPr>
          <w:p>
            <w:pPr>
              <w:ind w:left="1060"/>
              <w:spacing w:after="0"/>
              <w:rPr>
                <w:sz w:val="20"/>
                <w:szCs w:val="20"/>
                <w:color w:val="auto"/>
              </w:rPr>
            </w:pPr>
            <w:r>
              <w:rPr>
                <w:rFonts w:ascii="Arial" w:cs="Arial" w:eastAsia="Arial" w:hAnsi="Arial"/>
                <w:sz w:val="13"/>
                <w:szCs w:val="13"/>
                <w:color w:val="auto"/>
              </w:rPr>
              <w:t>•</w:t>
            </w:r>
          </w:p>
        </w:tc>
        <w:tc>
          <w:tcPr>
            <w:tcW w:w="4020" w:type="dxa"/>
            <w:vAlign w:val="bottom"/>
          </w:tcPr>
          <w:p>
            <w:pPr>
              <w:ind w:left="40"/>
              <w:spacing w:after="0"/>
              <w:rPr>
                <w:sz w:val="20"/>
                <w:szCs w:val="20"/>
                <w:color w:val="auto"/>
              </w:rPr>
            </w:pPr>
            <w:r>
              <w:rPr>
                <w:rFonts w:ascii="Arial" w:cs="Arial" w:eastAsia="Arial" w:hAnsi="Arial"/>
                <w:sz w:val="13"/>
                <w:szCs w:val="13"/>
                <w:color w:val="auto"/>
              </w:rPr>
              <w:t>Insurance</w:t>
            </w:r>
          </w:p>
        </w:tc>
      </w:tr>
      <w:tr>
        <w:trPr>
          <w:trHeight w:val="148"/>
        </w:trPr>
        <w:tc>
          <w:tcPr>
            <w:tcW w:w="80" w:type="dxa"/>
            <w:vAlign w:val="bottom"/>
          </w:tcPr>
          <w:p>
            <w:pPr>
              <w:spacing w:after="0"/>
              <w:rPr>
                <w:sz w:val="20"/>
                <w:szCs w:val="20"/>
                <w:color w:val="auto"/>
              </w:rPr>
            </w:pPr>
            <w:r>
              <w:rPr>
                <w:rFonts w:ascii="Arial" w:cs="Arial" w:eastAsia="Arial" w:hAnsi="Arial"/>
                <w:sz w:val="13"/>
                <w:szCs w:val="13"/>
                <w:color w:val="auto"/>
              </w:rPr>
              <w:t>•</w:t>
            </w:r>
          </w:p>
        </w:tc>
        <w:tc>
          <w:tcPr>
            <w:tcW w:w="4360" w:type="dxa"/>
            <w:vAlign w:val="bottom"/>
          </w:tcPr>
          <w:p>
            <w:pPr>
              <w:ind w:left="40"/>
              <w:spacing w:after="0"/>
              <w:rPr>
                <w:sz w:val="20"/>
                <w:szCs w:val="20"/>
                <w:color w:val="auto"/>
              </w:rPr>
            </w:pPr>
            <w:r>
              <w:rPr>
                <w:rFonts w:ascii="Arial" w:cs="Arial" w:eastAsia="Arial" w:hAnsi="Arial"/>
                <w:sz w:val="13"/>
                <w:szCs w:val="13"/>
                <w:color w:val="auto"/>
              </w:rPr>
              <w:t>Cargo Transportation</w:t>
            </w:r>
          </w:p>
        </w:tc>
        <w:tc>
          <w:tcPr>
            <w:tcW w:w="1140" w:type="dxa"/>
            <w:vAlign w:val="bottom"/>
          </w:tcPr>
          <w:p>
            <w:pPr>
              <w:ind w:left="1060"/>
              <w:spacing w:after="0"/>
              <w:rPr>
                <w:sz w:val="20"/>
                <w:szCs w:val="20"/>
                <w:color w:val="auto"/>
              </w:rPr>
            </w:pPr>
            <w:r>
              <w:rPr>
                <w:rFonts w:ascii="Arial" w:cs="Arial" w:eastAsia="Arial" w:hAnsi="Arial"/>
                <w:sz w:val="13"/>
                <w:szCs w:val="13"/>
                <w:color w:val="auto"/>
              </w:rPr>
              <w:t>•</w:t>
            </w:r>
          </w:p>
        </w:tc>
        <w:tc>
          <w:tcPr>
            <w:tcW w:w="4020" w:type="dxa"/>
            <w:vAlign w:val="bottom"/>
          </w:tcPr>
          <w:p>
            <w:pPr>
              <w:ind w:left="40"/>
              <w:spacing w:after="0"/>
              <w:rPr>
                <w:sz w:val="20"/>
                <w:szCs w:val="20"/>
                <w:color w:val="auto"/>
              </w:rPr>
            </w:pPr>
            <w:r>
              <w:rPr>
                <w:rFonts w:ascii="Arial" w:cs="Arial" w:eastAsia="Arial" w:hAnsi="Arial"/>
                <w:sz w:val="13"/>
                <w:szCs w:val="13"/>
                <w:color w:val="auto"/>
              </w:rPr>
              <w:t>Leisure, Amusement, Motion Picture &amp; Entertainment</w:t>
            </w:r>
          </w:p>
        </w:tc>
      </w:tr>
      <w:tr>
        <w:trPr>
          <w:trHeight w:val="149"/>
        </w:trPr>
        <w:tc>
          <w:tcPr>
            <w:tcW w:w="80" w:type="dxa"/>
            <w:vAlign w:val="bottom"/>
          </w:tcPr>
          <w:p>
            <w:pPr>
              <w:spacing w:after="0"/>
              <w:rPr>
                <w:sz w:val="20"/>
                <w:szCs w:val="20"/>
                <w:color w:val="auto"/>
              </w:rPr>
            </w:pPr>
            <w:r>
              <w:rPr>
                <w:rFonts w:ascii="Arial" w:cs="Arial" w:eastAsia="Arial" w:hAnsi="Arial"/>
                <w:sz w:val="13"/>
                <w:szCs w:val="13"/>
                <w:color w:val="auto"/>
              </w:rPr>
              <w:t>•</w:t>
            </w:r>
          </w:p>
        </w:tc>
        <w:tc>
          <w:tcPr>
            <w:tcW w:w="4360" w:type="dxa"/>
            <w:vAlign w:val="bottom"/>
          </w:tcPr>
          <w:p>
            <w:pPr>
              <w:ind w:left="40"/>
              <w:spacing w:after="0"/>
              <w:rPr>
                <w:sz w:val="20"/>
                <w:szCs w:val="20"/>
                <w:color w:val="auto"/>
              </w:rPr>
            </w:pPr>
            <w:r>
              <w:rPr>
                <w:rFonts w:ascii="Arial" w:cs="Arial" w:eastAsia="Arial" w:hAnsi="Arial"/>
                <w:sz w:val="13"/>
                <w:szCs w:val="13"/>
                <w:color w:val="auto"/>
              </w:rPr>
              <w:t>Chemicals, Plastics and Rubber</w:t>
            </w:r>
          </w:p>
        </w:tc>
        <w:tc>
          <w:tcPr>
            <w:tcW w:w="1140" w:type="dxa"/>
            <w:vAlign w:val="bottom"/>
          </w:tcPr>
          <w:p>
            <w:pPr>
              <w:ind w:left="1060"/>
              <w:spacing w:after="0"/>
              <w:rPr>
                <w:sz w:val="20"/>
                <w:szCs w:val="20"/>
                <w:color w:val="auto"/>
              </w:rPr>
            </w:pPr>
            <w:r>
              <w:rPr>
                <w:rFonts w:ascii="Arial" w:cs="Arial" w:eastAsia="Arial" w:hAnsi="Arial"/>
                <w:sz w:val="13"/>
                <w:szCs w:val="13"/>
                <w:color w:val="auto"/>
              </w:rPr>
              <w:t>•</w:t>
            </w:r>
          </w:p>
        </w:tc>
        <w:tc>
          <w:tcPr>
            <w:tcW w:w="4020" w:type="dxa"/>
            <w:vAlign w:val="bottom"/>
          </w:tcPr>
          <w:p>
            <w:pPr>
              <w:ind w:left="40"/>
              <w:spacing w:after="0"/>
              <w:rPr>
                <w:sz w:val="20"/>
                <w:szCs w:val="20"/>
                <w:color w:val="auto"/>
              </w:rPr>
            </w:pPr>
            <w:r>
              <w:rPr>
                <w:rFonts w:ascii="Arial" w:cs="Arial" w:eastAsia="Arial" w:hAnsi="Arial"/>
                <w:sz w:val="13"/>
                <w:szCs w:val="13"/>
                <w:color w:val="auto"/>
              </w:rPr>
              <w:t>Logistics</w:t>
            </w:r>
          </w:p>
        </w:tc>
      </w:tr>
      <w:tr>
        <w:trPr>
          <w:trHeight w:val="148"/>
        </w:trPr>
        <w:tc>
          <w:tcPr>
            <w:tcW w:w="80" w:type="dxa"/>
            <w:vAlign w:val="bottom"/>
          </w:tcPr>
          <w:p>
            <w:pPr>
              <w:spacing w:after="0"/>
              <w:rPr>
                <w:sz w:val="20"/>
                <w:szCs w:val="20"/>
                <w:color w:val="auto"/>
              </w:rPr>
            </w:pPr>
            <w:r>
              <w:rPr>
                <w:rFonts w:ascii="Arial" w:cs="Arial" w:eastAsia="Arial" w:hAnsi="Arial"/>
                <w:sz w:val="13"/>
                <w:szCs w:val="13"/>
                <w:color w:val="auto"/>
              </w:rPr>
              <w:t>•</w:t>
            </w:r>
          </w:p>
        </w:tc>
        <w:tc>
          <w:tcPr>
            <w:tcW w:w="4360" w:type="dxa"/>
            <w:vAlign w:val="bottom"/>
          </w:tcPr>
          <w:p>
            <w:pPr>
              <w:ind w:left="40"/>
              <w:spacing w:after="0"/>
              <w:rPr>
                <w:sz w:val="20"/>
                <w:szCs w:val="20"/>
                <w:color w:val="auto"/>
              </w:rPr>
            </w:pPr>
            <w:r>
              <w:rPr>
                <w:rFonts w:ascii="Arial" w:cs="Arial" w:eastAsia="Arial" w:hAnsi="Arial"/>
                <w:sz w:val="13"/>
                <w:szCs w:val="13"/>
                <w:color w:val="auto"/>
              </w:rPr>
              <w:t>Communications</w:t>
            </w:r>
          </w:p>
        </w:tc>
        <w:tc>
          <w:tcPr>
            <w:tcW w:w="1140" w:type="dxa"/>
            <w:vAlign w:val="bottom"/>
          </w:tcPr>
          <w:p>
            <w:pPr>
              <w:ind w:left="1060"/>
              <w:spacing w:after="0"/>
              <w:rPr>
                <w:sz w:val="20"/>
                <w:szCs w:val="20"/>
                <w:color w:val="auto"/>
              </w:rPr>
            </w:pPr>
            <w:r>
              <w:rPr>
                <w:rFonts w:ascii="Arial" w:cs="Arial" w:eastAsia="Arial" w:hAnsi="Arial"/>
                <w:sz w:val="13"/>
                <w:szCs w:val="13"/>
                <w:color w:val="auto"/>
              </w:rPr>
              <w:t>•</w:t>
            </w:r>
          </w:p>
        </w:tc>
        <w:tc>
          <w:tcPr>
            <w:tcW w:w="4020" w:type="dxa"/>
            <w:vAlign w:val="bottom"/>
          </w:tcPr>
          <w:p>
            <w:pPr>
              <w:ind w:left="40"/>
              <w:spacing w:after="0"/>
              <w:rPr>
                <w:sz w:val="20"/>
                <w:szCs w:val="20"/>
                <w:color w:val="auto"/>
              </w:rPr>
            </w:pPr>
            <w:r>
              <w:rPr>
                <w:rFonts w:ascii="Arial" w:cs="Arial" w:eastAsia="Arial" w:hAnsi="Arial"/>
                <w:sz w:val="13"/>
                <w:szCs w:val="13"/>
                <w:color w:val="auto"/>
              </w:rPr>
              <w:t>Manufacturing/Basic Industries</w:t>
            </w:r>
          </w:p>
        </w:tc>
      </w:tr>
      <w:tr>
        <w:trPr>
          <w:trHeight w:val="148"/>
        </w:trPr>
        <w:tc>
          <w:tcPr>
            <w:tcW w:w="4440" w:type="dxa"/>
            <w:vAlign w:val="bottom"/>
            <w:gridSpan w:val="2"/>
          </w:tcPr>
          <w:p>
            <w:pPr>
              <w:spacing w:after="0"/>
              <w:rPr>
                <w:sz w:val="20"/>
                <w:szCs w:val="20"/>
                <w:color w:val="auto"/>
              </w:rPr>
            </w:pPr>
            <w:r>
              <w:rPr>
                <w:rFonts w:ascii="Arial" w:cs="Arial" w:eastAsia="Arial" w:hAnsi="Arial"/>
                <w:sz w:val="13"/>
                <w:szCs w:val="13"/>
                <w:color w:val="auto"/>
              </w:rPr>
              <w:t>• Consumer Products</w:t>
            </w:r>
          </w:p>
        </w:tc>
        <w:tc>
          <w:tcPr>
            <w:tcW w:w="5160" w:type="dxa"/>
            <w:vAlign w:val="bottom"/>
            <w:gridSpan w:val="2"/>
          </w:tcPr>
          <w:p>
            <w:pPr>
              <w:ind w:left="1060"/>
              <w:spacing w:after="0"/>
              <w:rPr>
                <w:sz w:val="20"/>
                <w:szCs w:val="20"/>
                <w:color w:val="auto"/>
              </w:rPr>
            </w:pPr>
            <w:r>
              <w:rPr>
                <w:rFonts w:ascii="Arial" w:cs="Arial" w:eastAsia="Arial" w:hAnsi="Arial"/>
                <w:sz w:val="13"/>
                <w:szCs w:val="13"/>
                <w:color w:val="auto"/>
              </w:rPr>
              <w:t>• Media</w:t>
            </w:r>
          </w:p>
        </w:tc>
      </w:tr>
      <w:tr>
        <w:trPr>
          <w:trHeight w:val="162"/>
        </w:trPr>
        <w:tc>
          <w:tcPr>
            <w:tcW w:w="80" w:type="dxa"/>
            <w:vAlign w:val="bottom"/>
          </w:tcPr>
          <w:p>
            <w:pPr>
              <w:spacing w:after="0"/>
              <w:rPr>
                <w:sz w:val="20"/>
                <w:szCs w:val="20"/>
                <w:color w:val="auto"/>
              </w:rPr>
            </w:pPr>
            <w:r>
              <w:rPr>
                <w:rFonts w:ascii="Arial" w:cs="Arial" w:eastAsia="Arial" w:hAnsi="Arial"/>
                <w:sz w:val="13"/>
                <w:szCs w:val="13"/>
                <w:color w:val="auto"/>
              </w:rPr>
              <w:t>•</w:t>
            </w:r>
          </w:p>
        </w:tc>
        <w:tc>
          <w:tcPr>
            <w:tcW w:w="4360" w:type="dxa"/>
            <w:vAlign w:val="bottom"/>
          </w:tcPr>
          <w:p>
            <w:pPr>
              <w:ind w:left="40"/>
              <w:spacing w:after="0"/>
              <w:rPr>
                <w:sz w:val="20"/>
                <w:szCs w:val="20"/>
                <w:color w:val="auto"/>
              </w:rPr>
            </w:pPr>
            <w:r>
              <w:rPr>
                <w:rFonts w:ascii="Arial" w:cs="Arial" w:eastAsia="Arial" w:hAnsi="Arial"/>
                <w:sz w:val="13"/>
                <w:szCs w:val="13"/>
                <w:color w:val="auto"/>
              </w:rPr>
              <w:t>Containers, Packaging &amp; Glass</w:t>
            </w:r>
          </w:p>
        </w:tc>
        <w:tc>
          <w:tcPr>
            <w:tcW w:w="1140" w:type="dxa"/>
            <w:vAlign w:val="bottom"/>
          </w:tcPr>
          <w:p>
            <w:pPr>
              <w:ind w:left="1060"/>
              <w:spacing w:after="0"/>
              <w:rPr>
                <w:sz w:val="20"/>
                <w:szCs w:val="20"/>
                <w:color w:val="auto"/>
              </w:rPr>
            </w:pPr>
            <w:r>
              <w:rPr>
                <w:rFonts w:ascii="Arial" w:cs="Arial" w:eastAsia="Arial" w:hAnsi="Arial"/>
                <w:sz w:val="13"/>
                <w:szCs w:val="13"/>
                <w:color w:val="auto"/>
              </w:rPr>
              <w:t>•</w:t>
            </w:r>
          </w:p>
        </w:tc>
        <w:tc>
          <w:tcPr>
            <w:tcW w:w="4020" w:type="dxa"/>
            <w:vAlign w:val="bottom"/>
          </w:tcPr>
          <w:p>
            <w:pPr>
              <w:ind w:left="40"/>
              <w:spacing w:after="0"/>
              <w:rPr>
                <w:sz w:val="20"/>
                <w:szCs w:val="20"/>
                <w:color w:val="auto"/>
              </w:rPr>
            </w:pPr>
            <w:r>
              <w:rPr>
                <w:rFonts w:ascii="Arial" w:cs="Arial" w:eastAsia="Arial" w:hAnsi="Arial"/>
                <w:sz w:val="13"/>
                <w:szCs w:val="13"/>
                <w:color w:val="auto"/>
              </w:rPr>
              <w:t>Mining, Steel, Iron and Non-Precious Metals</w:t>
            </w:r>
          </w:p>
        </w:tc>
      </w:tr>
      <w:tr>
        <w:trPr>
          <w:trHeight w:val="148"/>
        </w:trPr>
        <w:tc>
          <w:tcPr>
            <w:tcW w:w="80" w:type="dxa"/>
            <w:vAlign w:val="bottom"/>
          </w:tcPr>
          <w:p>
            <w:pPr>
              <w:spacing w:after="0"/>
              <w:rPr>
                <w:sz w:val="20"/>
                <w:szCs w:val="20"/>
                <w:color w:val="auto"/>
              </w:rPr>
            </w:pPr>
            <w:r>
              <w:rPr>
                <w:rFonts w:ascii="Arial" w:cs="Arial" w:eastAsia="Arial" w:hAnsi="Arial"/>
                <w:sz w:val="13"/>
                <w:szCs w:val="13"/>
                <w:color w:val="auto"/>
              </w:rPr>
              <w:t>•</w:t>
            </w:r>
          </w:p>
        </w:tc>
        <w:tc>
          <w:tcPr>
            <w:tcW w:w="4360" w:type="dxa"/>
            <w:vAlign w:val="bottom"/>
          </w:tcPr>
          <w:p>
            <w:pPr>
              <w:ind w:left="40"/>
              <w:spacing w:after="0"/>
              <w:rPr>
                <w:sz w:val="20"/>
                <w:szCs w:val="20"/>
                <w:color w:val="auto"/>
              </w:rPr>
            </w:pPr>
            <w:r>
              <w:rPr>
                <w:rFonts w:ascii="Arial" w:cs="Arial" w:eastAsia="Arial" w:hAnsi="Arial"/>
                <w:sz w:val="13"/>
                <w:szCs w:val="13"/>
                <w:color w:val="auto"/>
              </w:rPr>
              <w:t>Distribution</w:t>
            </w:r>
          </w:p>
        </w:tc>
        <w:tc>
          <w:tcPr>
            <w:tcW w:w="1140" w:type="dxa"/>
            <w:vAlign w:val="bottom"/>
          </w:tcPr>
          <w:p>
            <w:pPr>
              <w:ind w:left="1060"/>
              <w:spacing w:after="0"/>
              <w:rPr>
                <w:sz w:val="20"/>
                <w:szCs w:val="20"/>
                <w:color w:val="auto"/>
              </w:rPr>
            </w:pPr>
            <w:r>
              <w:rPr>
                <w:rFonts w:ascii="Arial" w:cs="Arial" w:eastAsia="Arial" w:hAnsi="Arial"/>
                <w:sz w:val="13"/>
                <w:szCs w:val="13"/>
                <w:color w:val="auto"/>
              </w:rPr>
              <w:t>•</w:t>
            </w:r>
          </w:p>
        </w:tc>
        <w:tc>
          <w:tcPr>
            <w:tcW w:w="4020" w:type="dxa"/>
            <w:vAlign w:val="bottom"/>
          </w:tcPr>
          <w:p>
            <w:pPr>
              <w:ind w:left="40"/>
              <w:spacing w:after="0"/>
              <w:rPr>
                <w:sz w:val="20"/>
                <w:szCs w:val="20"/>
                <w:color w:val="auto"/>
              </w:rPr>
            </w:pPr>
            <w:r>
              <w:rPr>
                <w:rFonts w:ascii="Arial" w:cs="Arial" w:eastAsia="Arial" w:hAnsi="Arial"/>
                <w:sz w:val="13"/>
                <w:szCs w:val="13"/>
                <w:color w:val="auto"/>
              </w:rPr>
              <w:t>Oil and Gas</w:t>
            </w:r>
          </w:p>
        </w:tc>
      </w:tr>
      <w:tr>
        <w:trPr>
          <w:trHeight w:val="149"/>
        </w:trPr>
        <w:tc>
          <w:tcPr>
            <w:tcW w:w="80" w:type="dxa"/>
            <w:vAlign w:val="bottom"/>
          </w:tcPr>
          <w:p>
            <w:pPr>
              <w:spacing w:after="0"/>
              <w:rPr>
                <w:sz w:val="20"/>
                <w:szCs w:val="20"/>
                <w:color w:val="auto"/>
              </w:rPr>
            </w:pPr>
            <w:r>
              <w:rPr>
                <w:rFonts w:ascii="Arial" w:cs="Arial" w:eastAsia="Arial" w:hAnsi="Arial"/>
                <w:sz w:val="13"/>
                <w:szCs w:val="13"/>
                <w:color w:val="auto"/>
              </w:rPr>
              <w:t>•</w:t>
            </w:r>
          </w:p>
        </w:tc>
        <w:tc>
          <w:tcPr>
            <w:tcW w:w="4360" w:type="dxa"/>
            <w:vAlign w:val="bottom"/>
          </w:tcPr>
          <w:p>
            <w:pPr>
              <w:ind w:left="40"/>
              <w:spacing w:after="0"/>
              <w:rPr>
                <w:sz w:val="20"/>
                <w:szCs w:val="20"/>
                <w:color w:val="auto"/>
              </w:rPr>
            </w:pPr>
            <w:r>
              <w:rPr>
                <w:rFonts w:ascii="Arial" w:cs="Arial" w:eastAsia="Arial" w:hAnsi="Arial"/>
                <w:sz w:val="13"/>
                <w:szCs w:val="13"/>
                <w:color w:val="auto"/>
              </w:rPr>
              <w:t>Diversified/Conglomerate Manufacturing</w:t>
            </w:r>
          </w:p>
        </w:tc>
        <w:tc>
          <w:tcPr>
            <w:tcW w:w="1140" w:type="dxa"/>
            <w:vAlign w:val="bottom"/>
          </w:tcPr>
          <w:p>
            <w:pPr>
              <w:ind w:left="1060"/>
              <w:spacing w:after="0"/>
              <w:rPr>
                <w:sz w:val="20"/>
                <w:szCs w:val="20"/>
                <w:color w:val="auto"/>
              </w:rPr>
            </w:pPr>
            <w:r>
              <w:rPr>
                <w:rFonts w:ascii="Arial" w:cs="Arial" w:eastAsia="Arial" w:hAnsi="Arial"/>
                <w:sz w:val="13"/>
                <w:szCs w:val="13"/>
                <w:color w:val="auto"/>
              </w:rPr>
              <w:t>•</w:t>
            </w:r>
          </w:p>
        </w:tc>
        <w:tc>
          <w:tcPr>
            <w:tcW w:w="4020" w:type="dxa"/>
            <w:vAlign w:val="bottom"/>
          </w:tcPr>
          <w:p>
            <w:pPr>
              <w:ind w:left="40"/>
              <w:spacing w:after="0"/>
              <w:rPr>
                <w:sz w:val="20"/>
                <w:szCs w:val="20"/>
                <w:color w:val="auto"/>
              </w:rPr>
            </w:pPr>
            <w:r>
              <w:rPr>
                <w:rFonts w:ascii="Arial" w:cs="Arial" w:eastAsia="Arial" w:hAnsi="Arial"/>
                <w:sz w:val="13"/>
                <w:szCs w:val="13"/>
                <w:color w:val="auto"/>
              </w:rPr>
              <w:t>Other Media</w:t>
            </w:r>
          </w:p>
        </w:tc>
      </w:tr>
      <w:tr>
        <w:trPr>
          <w:trHeight w:val="148"/>
        </w:trPr>
        <w:tc>
          <w:tcPr>
            <w:tcW w:w="80" w:type="dxa"/>
            <w:vAlign w:val="bottom"/>
          </w:tcPr>
          <w:p>
            <w:pPr>
              <w:spacing w:after="0"/>
              <w:rPr>
                <w:sz w:val="20"/>
                <w:szCs w:val="20"/>
                <w:color w:val="auto"/>
              </w:rPr>
            </w:pPr>
            <w:r>
              <w:rPr>
                <w:rFonts w:ascii="Arial" w:cs="Arial" w:eastAsia="Arial" w:hAnsi="Arial"/>
                <w:sz w:val="13"/>
                <w:szCs w:val="13"/>
                <w:color w:val="auto"/>
              </w:rPr>
              <w:t>•</w:t>
            </w:r>
          </w:p>
        </w:tc>
        <w:tc>
          <w:tcPr>
            <w:tcW w:w="4360" w:type="dxa"/>
            <w:vAlign w:val="bottom"/>
          </w:tcPr>
          <w:p>
            <w:pPr>
              <w:ind w:left="40"/>
              <w:spacing w:after="0"/>
              <w:rPr>
                <w:sz w:val="20"/>
                <w:szCs w:val="20"/>
                <w:color w:val="auto"/>
              </w:rPr>
            </w:pPr>
            <w:r>
              <w:rPr>
                <w:rFonts w:ascii="Arial" w:cs="Arial" w:eastAsia="Arial" w:hAnsi="Arial"/>
                <w:sz w:val="13"/>
                <w:szCs w:val="13"/>
                <w:color w:val="auto"/>
              </w:rPr>
              <w:t>Diversified/Conglomerate Services</w:t>
            </w:r>
          </w:p>
        </w:tc>
        <w:tc>
          <w:tcPr>
            <w:tcW w:w="1140" w:type="dxa"/>
            <w:vAlign w:val="bottom"/>
          </w:tcPr>
          <w:p>
            <w:pPr>
              <w:ind w:left="1060"/>
              <w:spacing w:after="0"/>
              <w:rPr>
                <w:sz w:val="20"/>
                <w:szCs w:val="20"/>
                <w:color w:val="auto"/>
              </w:rPr>
            </w:pPr>
            <w:r>
              <w:rPr>
                <w:rFonts w:ascii="Arial" w:cs="Arial" w:eastAsia="Arial" w:hAnsi="Arial"/>
                <w:sz w:val="13"/>
                <w:szCs w:val="13"/>
                <w:color w:val="auto"/>
              </w:rPr>
              <w:t>•</w:t>
            </w:r>
          </w:p>
        </w:tc>
        <w:tc>
          <w:tcPr>
            <w:tcW w:w="4020" w:type="dxa"/>
            <w:vAlign w:val="bottom"/>
          </w:tcPr>
          <w:p>
            <w:pPr>
              <w:ind w:left="40"/>
              <w:spacing w:after="0"/>
              <w:rPr>
                <w:sz w:val="20"/>
                <w:szCs w:val="20"/>
                <w:color w:val="auto"/>
              </w:rPr>
            </w:pPr>
            <w:r>
              <w:rPr>
                <w:rFonts w:ascii="Arial" w:cs="Arial" w:eastAsia="Arial" w:hAnsi="Arial"/>
                <w:sz w:val="13"/>
                <w:szCs w:val="13"/>
                <w:color w:val="auto"/>
              </w:rPr>
              <w:t>Personal, Food and Miscellaneous Services</w:t>
            </w:r>
          </w:p>
        </w:tc>
      </w:tr>
      <w:tr>
        <w:trPr>
          <w:trHeight w:val="162"/>
        </w:trPr>
        <w:tc>
          <w:tcPr>
            <w:tcW w:w="80" w:type="dxa"/>
            <w:vAlign w:val="bottom"/>
          </w:tcPr>
          <w:p>
            <w:pPr>
              <w:spacing w:after="0"/>
              <w:rPr>
                <w:sz w:val="20"/>
                <w:szCs w:val="20"/>
                <w:color w:val="auto"/>
              </w:rPr>
            </w:pPr>
            <w:r>
              <w:rPr>
                <w:rFonts w:ascii="Arial" w:cs="Arial" w:eastAsia="Arial" w:hAnsi="Arial"/>
                <w:sz w:val="13"/>
                <w:szCs w:val="13"/>
                <w:color w:val="auto"/>
              </w:rPr>
              <w:t>•</w:t>
            </w:r>
          </w:p>
        </w:tc>
        <w:tc>
          <w:tcPr>
            <w:tcW w:w="4360" w:type="dxa"/>
            <w:vAlign w:val="bottom"/>
          </w:tcPr>
          <w:p>
            <w:pPr>
              <w:ind w:left="40"/>
              <w:spacing w:after="0"/>
              <w:rPr>
                <w:sz w:val="20"/>
                <w:szCs w:val="20"/>
                <w:color w:val="auto"/>
              </w:rPr>
            </w:pPr>
            <w:r>
              <w:rPr>
                <w:rFonts w:ascii="Arial" w:cs="Arial" w:eastAsia="Arial" w:hAnsi="Arial"/>
                <w:sz w:val="13"/>
                <w:szCs w:val="13"/>
                <w:color w:val="auto"/>
              </w:rPr>
              <w:t>Diversified Natural Resources, Precious Metals and Mineral</w:t>
            </w:r>
          </w:p>
        </w:tc>
        <w:tc>
          <w:tcPr>
            <w:tcW w:w="1140" w:type="dxa"/>
            <w:vAlign w:val="bottom"/>
          </w:tcPr>
          <w:p>
            <w:pPr>
              <w:ind w:left="1060"/>
              <w:spacing w:after="0"/>
              <w:rPr>
                <w:sz w:val="20"/>
                <w:szCs w:val="20"/>
                <w:color w:val="auto"/>
              </w:rPr>
            </w:pPr>
            <w:r>
              <w:rPr>
                <w:rFonts w:ascii="Arial" w:cs="Arial" w:eastAsia="Arial" w:hAnsi="Arial"/>
                <w:sz w:val="13"/>
                <w:szCs w:val="13"/>
                <w:color w:val="auto"/>
              </w:rPr>
              <w:t>•</w:t>
            </w:r>
          </w:p>
        </w:tc>
        <w:tc>
          <w:tcPr>
            <w:tcW w:w="4020" w:type="dxa"/>
            <w:vAlign w:val="bottom"/>
          </w:tcPr>
          <w:p>
            <w:pPr>
              <w:ind w:left="40"/>
              <w:spacing w:after="0"/>
              <w:rPr>
                <w:sz w:val="20"/>
                <w:szCs w:val="20"/>
                <w:color w:val="auto"/>
              </w:rPr>
            </w:pPr>
            <w:r>
              <w:rPr>
                <w:rFonts w:ascii="Arial" w:cs="Arial" w:eastAsia="Arial" w:hAnsi="Arial"/>
                <w:sz w:val="13"/>
                <w:szCs w:val="13"/>
                <w:color w:val="auto"/>
              </w:rPr>
              <w:t>Printing and Publishing</w:t>
            </w:r>
          </w:p>
        </w:tc>
      </w:tr>
      <w:tr>
        <w:trPr>
          <w:trHeight w:val="148"/>
        </w:trPr>
        <w:tc>
          <w:tcPr>
            <w:tcW w:w="80" w:type="dxa"/>
            <w:vAlign w:val="bottom"/>
          </w:tcPr>
          <w:p>
            <w:pPr>
              <w:spacing w:after="0"/>
              <w:rPr>
                <w:sz w:val="20"/>
                <w:szCs w:val="20"/>
                <w:color w:val="auto"/>
              </w:rPr>
            </w:pPr>
            <w:r>
              <w:rPr>
                <w:rFonts w:ascii="Arial" w:cs="Arial" w:eastAsia="Arial" w:hAnsi="Arial"/>
                <w:sz w:val="13"/>
                <w:szCs w:val="13"/>
                <w:color w:val="auto"/>
              </w:rPr>
              <w:t>•</w:t>
            </w:r>
          </w:p>
        </w:tc>
        <w:tc>
          <w:tcPr>
            <w:tcW w:w="4360" w:type="dxa"/>
            <w:vAlign w:val="bottom"/>
          </w:tcPr>
          <w:p>
            <w:pPr>
              <w:ind w:left="40"/>
              <w:spacing w:after="0"/>
              <w:rPr>
                <w:sz w:val="20"/>
                <w:szCs w:val="20"/>
                <w:color w:val="auto"/>
              </w:rPr>
            </w:pPr>
            <w:r>
              <w:rPr>
                <w:rFonts w:ascii="Arial" w:cs="Arial" w:eastAsia="Arial" w:hAnsi="Arial"/>
                <w:sz w:val="13"/>
                <w:szCs w:val="13"/>
                <w:color w:val="auto"/>
              </w:rPr>
              <w:t>Education</w:t>
            </w:r>
          </w:p>
        </w:tc>
        <w:tc>
          <w:tcPr>
            <w:tcW w:w="1140" w:type="dxa"/>
            <w:vAlign w:val="bottom"/>
          </w:tcPr>
          <w:p>
            <w:pPr>
              <w:ind w:left="1060"/>
              <w:spacing w:after="0"/>
              <w:rPr>
                <w:sz w:val="20"/>
                <w:szCs w:val="20"/>
                <w:color w:val="auto"/>
              </w:rPr>
            </w:pPr>
            <w:r>
              <w:rPr>
                <w:rFonts w:ascii="Arial" w:cs="Arial" w:eastAsia="Arial" w:hAnsi="Arial"/>
                <w:sz w:val="13"/>
                <w:szCs w:val="13"/>
                <w:color w:val="auto"/>
              </w:rPr>
              <w:t>•</w:t>
            </w:r>
          </w:p>
        </w:tc>
        <w:tc>
          <w:tcPr>
            <w:tcW w:w="4020" w:type="dxa"/>
            <w:vAlign w:val="bottom"/>
          </w:tcPr>
          <w:p>
            <w:pPr>
              <w:ind w:left="40"/>
              <w:spacing w:after="0"/>
              <w:rPr>
                <w:sz w:val="20"/>
                <w:szCs w:val="20"/>
                <w:color w:val="auto"/>
              </w:rPr>
            </w:pPr>
            <w:r>
              <w:rPr>
                <w:rFonts w:ascii="Arial" w:cs="Arial" w:eastAsia="Arial" w:hAnsi="Arial"/>
                <w:sz w:val="13"/>
                <w:szCs w:val="13"/>
                <w:color w:val="auto"/>
              </w:rPr>
              <w:t>Retail Stores</w:t>
            </w:r>
          </w:p>
        </w:tc>
      </w:tr>
      <w:tr>
        <w:trPr>
          <w:trHeight w:val="172"/>
        </w:trPr>
        <w:tc>
          <w:tcPr>
            <w:tcW w:w="80" w:type="dxa"/>
            <w:vAlign w:val="bottom"/>
          </w:tcPr>
          <w:p>
            <w:pPr>
              <w:spacing w:after="0"/>
              <w:rPr>
                <w:sz w:val="20"/>
                <w:szCs w:val="20"/>
                <w:color w:val="auto"/>
              </w:rPr>
            </w:pPr>
            <w:r>
              <w:rPr>
                <w:rFonts w:ascii="Arial" w:cs="Arial" w:eastAsia="Arial" w:hAnsi="Arial"/>
                <w:sz w:val="13"/>
                <w:szCs w:val="13"/>
                <w:color w:val="auto"/>
              </w:rPr>
              <w:t>•</w:t>
            </w:r>
          </w:p>
        </w:tc>
        <w:tc>
          <w:tcPr>
            <w:tcW w:w="4360" w:type="dxa"/>
            <w:vAlign w:val="bottom"/>
          </w:tcPr>
          <w:p>
            <w:pPr>
              <w:ind w:left="40"/>
              <w:spacing w:after="0"/>
              <w:rPr>
                <w:sz w:val="20"/>
                <w:szCs w:val="20"/>
                <w:color w:val="auto"/>
              </w:rPr>
            </w:pPr>
            <w:r>
              <w:rPr>
                <w:rFonts w:ascii="Arial" w:cs="Arial" w:eastAsia="Arial" w:hAnsi="Arial"/>
                <w:sz w:val="13"/>
                <w:szCs w:val="13"/>
                <w:color w:val="auto"/>
              </w:rPr>
              <w:t>Energy/Utilities</w:t>
            </w:r>
          </w:p>
        </w:tc>
        <w:tc>
          <w:tcPr>
            <w:tcW w:w="1140" w:type="dxa"/>
            <w:vAlign w:val="bottom"/>
          </w:tcPr>
          <w:p>
            <w:pPr>
              <w:ind w:left="1060"/>
              <w:spacing w:after="0"/>
              <w:rPr>
                <w:sz w:val="20"/>
                <w:szCs w:val="20"/>
                <w:color w:val="auto"/>
              </w:rPr>
            </w:pPr>
            <w:r>
              <w:rPr>
                <w:rFonts w:ascii="Arial" w:cs="Arial" w:eastAsia="Arial" w:hAnsi="Arial"/>
                <w:sz w:val="13"/>
                <w:szCs w:val="13"/>
                <w:color w:val="auto"/>
              </w:rPr>
              <w:t>•</w:t>
            </w:r>
          </w:p>
        </w:tc>
        <w:tc>
          <w:tcPr>
            <w:tcW w:w="4020" w:type="dxa"/>
            <w:vAlign w:val="bottom"/>
          </w:tcPr>
          <w:p>
            <w:pPr>
              <w:ind w:left="40"/>
              <w:spacing w:after="0"/>
              <w:rPr>
                <w:sz w:val="20"/>
                <w:szCs w:val="20"/>
                <w:color w:val="auto"/>
              </w:rPr>
            </w:pPr>
            <w:r>
              <w:rPr>
                <w:rFonts w:ascii="Arial" w:cs="Arial" w:eastAsia="Arial" w:hAnsi="Arial"/>
                <w:sz w:val="13"/>
                <w:szCs w:val="13"/>
                <w:color w:val="auto"/>
              </w:rPr>
              <w:t>Telecommunications</w:t>
            </w:r>
          </w:p>
        </w:tc>
      </w:tr>
    </w:tbl>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800" w:type="dxa"/>
            <w:vAlign w:val="bottom"/>
            <w:gridSpan w:val="7"/>
          </w:tcPr>
          <w:p>
            <w:pPr>
              <w:ind w:left="560"/>
              <w:spacing w:after="0"/>
              <w:rPr>
                <w:sz w:val="20"/>
                <w:szCs w:val="20"/>
                <w:color w:val="auto"/>
              </w:rPr>
            </w:pPr>
            <w:r>
              <w:rPr>
                <w:rFonts w:ascii="Arial" w:cs="Arial" w:eastAsia="Arial" w:hAnsi="Arial"/>
                <w:sz w:val="13"/>
                <w:szCs w:val="13"/>
                <w:color w:val="auto"/>
                <w:w w:val="99"/>
              </w:rPr>
              <w:t>Listed below are our top ten portfolio companies and industries represented as a percentage of our consolidated portfolio assets (excluding cash equivalents) as of September 30,</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8"/>
        </w:trPr>
        <w:tc>
          <w:tcPr>
            <w:tcW w:w="11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9"/>
              </w:rPr>
              <w:t>Portfolio Company</w:t>
            </w:r>
          </w:p>
        </w:tc>
        <w:tc>
          <w:tcPr>
            <w:tcW w:w="2680" w:type="dxa"/>
            <w:vAlign w:val="bottom"/>
          </w:tcPr>
          <w:p>
            <w:pPr>
              <w:spacing w:after="0"/>
              <w:rPr>
                <w:sz w:val="24"/>
                <w:szCs w:val="24"/>
                <w:color w:val="auto"/>
              </w:rPr>
            </w:pPr>
          </w:p>
        </w:tc>
        <w:tc>
          <w:tcPr>
            <w:tcW w:w="1660" w:type="dxa"/>
            <w:vAlign w:val="bottom"/>
            <w:gridSpan w:val="2"/>
          </w:tcPr>
          <w:p>
            <w:pPr>
              <w:jc w:val="right"/>
              <w:spacing w:after="0"/>
              <w:rPr>
                <w:sz w:val="20"/>
                <w:szCs w:val="20"/>
                <w:color w:val="auto"/>
              </w:rPr>
            </w:pPr>
            <w:r>
              <w:rPr>
                <w:rFonts w:ascii="Arial" w:cs="Arial" w:eastAsia="Arial" w:hAnsi="Arial"/>
                <w:sz w:val="13"/>
                <w:szCs w:val="13"/>
                <w:b w:val="1"/>
                <w:bCs w:val="1"/>
                <w:color w:val="auto"/>
              </w:rPr>
              <w:t>2012</w:t>
            </w:r>
          </w:p>
        </w:tc>
        <w:tc>
          <w:tcPr>
            <w:tcW w:w="260" w:type="dxa"/>
            <w:vAlign w:val="bottom"/>
          </w:tcPr>
          <w:p>
            <w:pPr>
              <w:spacing w:after="0"/>
              <w:rPr>
                <w:sz w:val="24"/>
                <w:szCs w:val="24"/>
                <w:color w:val="auto"/>
              </w:rPr>
            </w:pPr>
          </w:p>
        </w:tc>
        <w:tc>
          <w:tcPr>
            <w:tcW w:w="11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9"/>
              </w:rPr>
              <w:t>Portfolio Company</w:t>
            </w:r>
          </w:p>
        </w:tc>
        <w:tc>
          <w:tcPr>
            <w:tcW w:w="3840" w:type="dxa"/>
            <w:vAlign w:val="bottom"/>
          </w:tcPr>
          <w:p>
            <w:pPr>
              <w:spacing w:after="0"/>
              <w:rPr>
                <w:sz w:val="24"/>
                <w:szCs w:val="24"/>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89"/>
              </w:rPr>
              <w:t>2011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6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rPr>
              <w:t>Healogics Inc. (f/k/a National Healing Corp.)</w:t>
            </w:r>
          </w:p>
        </w:tc>
        <w:tc>
          <w:tcPr>
            <w:tcW w:w="140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02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rPr>
              <w:t>Ernest Health, Inc.</w:t>
            </w:r>
          </w:p>
        </w:tc>
        <w:tc>
          <w:tcPr>
            <w:tcW w:w="440" w:type="dxa"/>
            <w:vAlign w:val="bottom"/>
            <w:gridSpan w:val="2"/>
            <w:vMerge w:val="restart"/>
            <w:shd w:val="clear" w:color="auto" w:fill="CCEEFF"/>
          </w:tcPr>
          <w:p>
            <w:pPr>
              <w:ind w:left="220"/>
              <w:spacing w:after="0"/>
              <w:rPr>
                <w:sz w:val="20"/>
                <w:szCs w:val="20"/>
                <w:color w:val="auto"/>
              </w:rPr>
            </w:pPr>
            <w:r>
              <w:rPr>
                <w:rFonts w:ascii="Arial" w:cs="Arial" w:eastAsia="Arial" w:hAnsi="Arial"/>
                <w:sz w:val="13"/>
                <w:szCs w:val="13"/>
                <w:color w:val="auto"/>
              </w:rPr>
              <w:t>6%</w:t>
            </w:r>
          </w:p>
        </w:tc>
        <w:tc>
          <w:tcPr>
            <w:tcW w:w="0" w:type="dxa"/>
            <w:vAlign w:val="bottom"/>
          </w:tcPr>
          <w:p>
            <w:pPr>
              <w:spacing w:after="0" w:line="20" w:lineRule="exact"/>
              <w:rPr>
                <w:sz w:val="1"/>
                <w:szCs w:val="1"/>
                <w:color w:val="auto"/>
              </w:rPr>
            </w:pPr>
          </w:p>
        </w:tc>
      </w:tr>
      <w:tr>
        <w:trPr>
          <w:trHeight w:val="135"/>
        </w:trPr>
        <w:tc>
          <w:tcPr>
            <w:tcW w:w="3860" w:type="dxa"/>
            <w:vAlign w:val="bottom"/>
            <w:gridSpan w:val="2"/>
            <w:vMerge w:val="continue"/>
            <w:shd w:val="clear" w:color="auto" w:fill="CCEEFF"/>
          </w:tcPr>
          <w:p>
            <w:pPr>
              <w:spacing w:after="0"/>
              <w:rPr>
                <w:sz w:val="11"/>
                <w:szCs w:val="11"/>
                <w:color w:val="auto"/>
              </w:rPr>
            </w:pPr>
          </w:p>
        </w:tc>
        <w:tc>
          <w:tcPr>
            <w:tcW w:w="1400" w:type="dxa"/>
            <w:vAlign w:val="bottom"/>
            <w:vMerge w:val="continue"/>
            <w:shd w:val="clear" w:color="auto" w:fill="CCEEFF"/>
          </w:tcPr>
          <w:p>
            <w:pPr>
              <w:spacing w:after="0"/>
              <w:rPr>
                <w:sz w:val="11"/>
                <w:szCs w:val="11"/>
                <w:color w:val="auto"/>
              </w:rPr>
            </w:pPr>
          </w:p>
        </w:tc>
        <w:tc>
          <w:tcPr>
            <w:tcW w:w="52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3%</w:t>
            </w:r>
          </w:p>
        </w:tc>
        <w:tc>
          <w:tcPr>
            <w:tcW w:w="5020" w:type="dxa"/>
            <w:vAlign w:val="bottom"/>
            <w:gridSpan w:val="2"/>
            <w:vMerge w:val="continue"/>
            <w:shd w:val="clear" w:color="auto" w:fill="CCEEFF"/>
          </w:tcPr>
          <w:p>
            <w:pPr>
              <w:spacing w:after="0"/>
              <w:rPr>
                <w:sz w:val="11"/>
                <w:szCs w:val="11"/>
                <w:color w:val="auto"/>
              </w:rPr>
            </w:pPr>
          </w:p>
        </w:tc>
        <w:tc>
          <w:tcPr>
            <w:tcW w:w="44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60" w:type="dxa"/>
            <w:vAlign w:val="bottom"/>
            <w:gridSpan w:val="2"/>
          </w:tcPr>
          <w:p>
            <w:pPr>
              <w:spacing w:after="0"/>
              <w:rPr>
                <w:sz w:val="20"/>
                <w:szCs w:val="20"/>
                <w:color w:val="auto"/>
              </w:rPr>
            </w:pPr>
            <w:r>
              <w:rPr>
                <w:rFonts w:ascii="Arial" w:cs="Arial" w:eastAsia="Arial" w:hAnsi="Arial"/>
                <w:sz w:val="13"/>
                <w:szCs w:val="13"/>
                <w:color w:val="auto"/>
              </w:rPr>
              <w:t>Instant Web, Inc.</w:t>
            </w:r>
          </w:p>
        </w:tc>
        <w:tc>
          <w:tcPr>
            <w:tcW w:w="1660" w:type="dxa"/>
            <w:vAlign w:val="bottom"/>
            <w:gridSpan w:val="2"/>
          </w:tcPr>
          <w:p>
            <w:pPr>
              <w:jc w:val="right"/>
              <w:spacing w:after="0"/>
              <w:rPr>
                <w:sz w:val="20"/>
                <w:szCs w:val="20"/>
                <w:color w:val="auto"/>
              </w:rPr>
            </w:pPr>
            <w:r>
              <w:rPr>
                <w:rFonts w:ascii="Arial" w:cs="Arial" w:eastAsia="Arial" w:hAnsi="Arial"/>
                <w:sz w:val="13"/>
                <w:szCs w:val="13"/>
                <w:color w:val="auto"/>
              </w:rPr>
              <w:t>3</w:t>
            </w:r>
          </w:p>
        </w:tc>
        <w:tc>
          <w:tcPr>
            <w:tcW w:w="260" w:type="dxa"/>
            <w:vAlign w:val="bottom"/>
          </w:tcPr>
          <w:p>
            <w:pPr>
              <w:spacing w:after="0"/>
              <w:rPr>
                <w:sz w:val="12"/>
                <w:szCs w:val="12"/>
                <w:color w:val="auto"/>
              </w:rPr>
            </w:pPr>
          </w:p>
        </w:tc>
        <w:tc>
          <w:tcPr>
            <w:tcW w:w="5020" w:type="dxa"/>
            <w:vAlign w:val="bottom"/>
            <w:gridSpan w:val="2"/>
          </w:tcPr>
          <w:p>
            <w:pPr>
              <w:spacing w:after="0"/>
              <w:rPr>
                <w:sz w:val="20"/>
                <w:szCs w:val="20"/>
                <w:color w:val="auto"/>
              </w:rPr>
            </w:pPr>
            <w:r>
              <w:rPr>
                <w:rFonts w:ascii="Arial" w:cs="Arial" w:eastAsia="Arial" w:hAnsi="Arial"/>
                <w:sz w:val="13"/>
                <w:szCs w:val="13"/>
                <w:color w:val="auto"/>
              </w:rPr>
              <w:t>Instant Web, Inc.</w:t>
            </w:r>
          </w:p>
        </w:tc>
        <w:tc>
          <w:tcPr>
            <w:tcW w:w="300" w:type="dxa"/>
            <w:vAlign w:val="bottom"/>
          </w:tcPr>
          <w:p>
            <w:pPr>
              <w:ind w:left="220"/>
              <w:spacing w:after="0"/>
              <w:rPr>
                <w:sz w:val="20"/>
                <w:szCs w:val="20"/>
                <w:color w:val="auto"/>
              </w:rPr>
            </w:pPr>
            <w:r>
              <w:rPr>
                <w:rFonts w:ascii="Arial" w:cs="Arial" w:eastAsia="Arial" w:hAnsi="Arial"/>
                <w:sz w:val="13"/>
                <w:szCs w:val="13"/>
                <w:color w:val="auto"/>
                <w:w w:val="82"/>
              </w:rPr>
              <w:t>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K2 Pure Solutions NoCal, L.P.</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260" w:type="dxa"/>
            <w:vAlign w:val="bottom"/>
            <w:shd w:val="clear" w:color="auto" w:fill="CCEEFF"/>
          </w:tcPr>
          <w:p>
            <w:pPr>
              <w:spacing w:after="0"/>
              <w:rPr>
                <w:sz w:val="12"/>
                <w:szCs w:val="12"/>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K2 Pure Solutions NoCal, L.P.</w:t>
            </w:r>
          </w:p>
        </w:tc>
        <w:tc>
          <w:tcPr>
            <w:tcW w:w="300" w:type="dxa"/>
            <w:vAlign w:val="bottom"/>
            <w:shd w:val="clear" w:color="auto" w:fill="CCEEFF"/>
          </w:tcPr>
          <w:p>
            <w:pPr>
              <w:ind w:left="220"/>
              <w:spacing w:after="0"/>
              <w:rPr>
                <w:sz w:val="20"/>
                <w:szCs w:val="20"/>
                <w:color w:val="auto"/>
              </w:rPr>
            </w:pPr>
            <w:r>
              <w:rPr>
                <w:rFonts w:ascii="Arial" w:cs="Arial" w:eastAsia="Arial" w:hAnsi="Arial"/>
                <w:sz w:val="13"/>
                <w:szCs w:val="13"/>
                <w:color w:val="auto"/>
                <w:w w:val="82"/>
              </w:rPr>
              <w:t>5</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gridSpan w:val="2"/>
          </w:tcPr>
          <w:p>
            <w:pPr>
              <w:spacing w:after="0"/>
              <w:rPr>
                <w:sz w:val="20"/>
                <w:szCs w:val="20"/>
                <w:color w:val="auto"/>
              </w:rPr>
            </w:pPr>
            <w:r>
              <w:rPr>
                <w:rFonts w:ascii="Arial" w:cs="Arial" w:eastAsia="Arial" w:hAnsi="Arial"/>
                <w:sz w:val="13"/>
                <w:szCs w:val="13"/>
                <w:color w:val="auto"/>
              </w:rPr>
              <w:t>KIK Custom Products Inc.</w:t>
            </w:r>
          </w:p>
        </w:tc>
        <w:tc>
          <w:tcPr>
            <w:tcW w:w="1660" w:type="dxa"/>
            <w:vAlign w:val="bottom"/>
            <w:gridSpan w:val="2"/>
          </w:tcPr>
          <w:p>
            <w:pPr>
              <w:jc w:val="right"/>
              <w:spacing w:after="0"/>
              <w:rPr>
                <w:sz w:val="20"/>
                <w:szCs w:val="20"/>
                <w:color w:val="auto"/>
              </w:rPr>
            </w:pPr>
            <w:r>
              <w:rPr>
                <w:rFonts w:ascii="Arial" w:cs="Arial" w:eastAsia="Arial" w:hAnsi="Arial"/>
                <w:sz w:val="13"/>
                <w:szCs w:val="13"/>
                <w:color w:val="auto"/>
              </w:rPr>
              <w:t>3</w:t>
            </w:r>
          </w:p>
        </w:tc>
        <w:tc>
          <w:tcPr>
            <w:tcW w:w="260" w:type="dxa"/>
            <w:vAlign w:val="bottom"/>
          </w:tcPr>
          <w:p>
            <w:pPr>
              <w:spacing w:after="0"/>
              <w:rPr>
                <w:sz w:val="12"/>
                <w:szCs w:val="12"/>
                <w:color w:val="auto"/>
              </w:rPr>
            </w:pPr>
          </w:p>
        </w:tc>
        <w:tc>
          <w:tcPr>
            <w:tcW w:w="5020" w:type="dxa"/>
            <w:vAlign w:val="bottom"/>
            <w:gridSpan w:val="2"/>
          </w:tcPr>
          <w:p>
            <w:pPr>
              <w:spacing w:after="0"/>
              <w:rPr>
                <w:sz w:val="20"/>
                <w:szCs w:val="20"/>
                <w:color w:val="auto"/>
              </w:rPr>
            </w:pPr>
            <w:r>
              <w:rPr>
                <w:rFonts w:ascii="Arial" w:cs="Arial" w:eastAsia="Arial" w:hAnsi="Arial"/>
                <w:sz w:val="13"/>
                <w:szCs w:val="13"/>
                <w:color w:val="auto"/>
              </w:rPr>
              <w:t>Mood Media Corporation</w:t>
            </w:r>
          </w:p>
        </w:tc>
        <w:tc>
          <w:tcPr>
            <w:tcW w:w="300" w:type="dxa"/>
            <w:vAlign w:val="bottom"/>
          </w:tcPr>
          <w:p>
            <w:pPr>
              <w:ind w:left="220"/>
              <w:spacing w:after="0"/>
              <w:rPr>
                <w:sz w:val="20"/>
                <w:szCs w:val="20"/>
                <w:color w:val="auto"/>
              </w:rPr>
            </w:pPr>
            <w:r>
              <w:rPr>
                <w:rFonts w:ascii="Arial" w:cs="Arial" w:eastAsia="Arial" w:hAnsi="Arial"/>
                <w:sz w:val="13"/>
                <w:szCs w:val="13"/>
                <w:color w:val="auto"/>
                <w:w w:val="82"/>
              </w:rPr>
              <w:t>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Mood Media Corporation</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260" w:type="dxa"/>
            <w:vAlign w:val="bottom"/>
            <w:shd w:val="clear" w:color="auto" w:fill="CCEEFF"/>
          </w:tcPr>
          <w:p>
            <w:pPr>
              <w:spacing w:after="0"/>
              <w:rPr>
                <w:sz w:val="12"/>
                <w:szCs w:val="12"/>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Trusthouse Services Group, Inc.</w:t>
            </w:r>
          </w:p>
        </w:tc>
        <w:tc>
          <w:tcPr>
            <w:tcW w:w="300" w:type="dxa"/>
            <w:vAlign w:val="bottom"/>
            <w:shd w:val="clear" w:color="auto" w:fill="CCEEFF"/>
          </w:tcPr>
          <w:p>
            <w:pPr>
              <w:ind w:left="220"/>
              <w:spacing w:after="0"/>
              <w:rPr>
                <w:sz w:val="20"/>
                <w:szCs w:val="20"/>
                <w:color w:val="auto"/>
              </w:rPr>
            </w:pPr>
            <w:r>
              <w:rPr>
                <w:rFonts w:ascii="Arial" w:cs="Arial" w:eastAsia="Arial" w:hAnsi="Arial"/>
                <w:sz w:val="13"/>
                <w:szCs w:val="13"/>
                <w:color w:val="auto"/>
                <w:w w:val="82"/>
              </w:rPr>
              <w:t>5</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gridSpan w:val="2"/>
          </w:tcPr>
          <w:p>
            <w:pPr>
              <w:spacing w:after="0"/>
              <w:rPr>
                <w:sz w:val="20"/>
                <w:szCs w:val="20"/>
                <w:color w:val="auto"/>
              </w:rPr>
            </w:pPr>
            <w:r>
              <w:rPr>
                <w:rFonts w:ascii="Arial" w:cs="Arial" w:eastAsia="Arial" w:hAnsi="Arial"/>
                <w:sz w:val="13"/>
                <w:szCs w:val="13"/>
                <w:color w:val="auto"/>
              </w:rPr>
              <w:t>Penton Media, Inc.</w:t>
            </w:r>
          </w:p>
        </w:tc>
        <w:tc>
          <w:tcPr>
            <w:tcW w:w="1660" w:type="dxa"/>
            <w:vAlign w:val="bottom"/>
            <w:gridSpan w:val="2"/>
          </w:tcPr>
          <w:p>
            <w:pPr>
              <w:jc w:val="right"/>
              <w:spacing w:after="0"/>
              <w:rPr>
                <w:sz w:val="20"/>
                <w:szCs w:val="20"/>
                <w:color w:val="auto"/>
              </w:rPr>
            </w:pPr>
            <w:r>
              <w:rPr>
                <w:rFonts w:ascii="Arial" w:cs="Arial" w:eastAsia="Arial" w:hAnsi="Arial"/>
                <w:sz w:val="13"/>
                <w:szCs w:val="13"/>
                <w:color w:val="auto"/>
              </w:rPr>
              <w:t>3</w:t>
            </w:r>
          </w:p>
        </w:tc>
        <w:tc>
          <w:tcPr>
            <w:tcW w:w="260" w:type="dxa"/>
            <w:vAlign w:val="bottom"/>
          </w:tcPr>
          <w:p>
            <w:pPr>
              <w:spacing w:after="0"/>
              <w:rPr>
                <w:sz w:val="12"/>
                <w:szCs w:val="12"/>
                <w:color w:val="auto"/>
              </w:rPr>
            </w:pPr>
          </w:p>
        </w:tc>
        <w:tc>
          <w:tcPr>
            <w:tcW w:w="5020" w:type="dxa"/>
            <w:vAlign w:val="bottom"/>
            <w:gridSpan w:val="2"/>
          </w:tcPr>
          <w:p>
            <w:pPr>
              <w:spacing w:after="0"/>
              <w:rPr>
                <w:sz w:val="20"/>
                <w:szCs w:val="20"/>
                <w:color w:val="auto"/>
              </w:rPr>
            </w:pPr>
            <w:r>
              <w:rPr>
                <w:rFonts w:ascii="Arial" w:cs="Arial" w:eastAsia="Arial" w:hAnsi="Arial"/>
                <w:sz w:val="13"/>
                <w:szCs w:val="13"/>
                <w:color w:val="auto"/>
              </w:rPr>
              <w:t>C.H.I. Overhead Doors, Inc.</w:t>
            </w:r>
          </w:p>
        </w:tc>
        <w:tc>
          <w:tcPr>
            <w:tcW w:w="300" w:type="dxa"/>
            <w:vAlign w:val="bottom"/>
          </w:tcPr>
          <w:p>
            <w:pPr>
              <w:ind w:left="220"/>
              <w:spacing w:after="0"/>
              <w:rPr>
                <w:sz w:val="20"/>
                <w:szCs w:val="20"/>
                <w:color w:val="auto"/>
              </w:rPr>
            </w:pPr>
            <w:r>
              <w:rPr>
                <w:rFonts w:ascii="Arial" w:cs="Arial" w:eastAsia="Arial" w:hAnsi="Arial"/>
                <w:sz w:val="13"/>
                <w:szCs w:val="13"/>
                <w:color w:val="auto"/>
                <w:w w:val="82"/>
              </w:rPr>
              <w:t>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Trusthouse Services Group, Inc.</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260" w:type="dxa"/>
            <w:vAlign w:val="bottom"/>
            <w:shd w:val="clear" w:color="auto" w:fill="CCEEFF"/>
          </w:tcPr>
          <w:p>
            <w:pPr>
              <w:spacing w:after="0"/>
              <w:rPr>
                <w:sz w:val="12"/>
                <w:szCs w:val="12"/>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KIK Custom Products Inc.</w:t>
            </w:r>
          </w:p>
        </w:tc>
        <w:tc>
          <w:tcPr>
            <w:tcW w:w="300" w:type="dxa"/>
            <w:vAlign w:val="bottom"/>
            <w:shd w:val="clear" w:color="auto" w:fill="CCEEFF"/>
          </w:tcPr>
          <w:p>
            <w:pPr>
              <w:ind w:left="220"/>
              <w:spacing w:after="0"/>
              <w:rPr>
                <w:sz w:val="20"/>
                <w:szCs w:val="20"/>
                <w:color w:val="auto"/>
              </w:rPr>
            </w:pPr>
            <w:r>
              <w:rPr>
                <w:rFonts w:ascii="Arial" w:cs="Arial" w:eastAsia="Arial" w:hAnsi="Arial"/>
                <w:sz w:val="13"/>
                <w:szCs w:val="13"/>
                <w:color w:val="auto"/>
                <w:w w:val="82"/>
              </w:rPr>
              <w:t>4</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gridSpan w:val="2"/>
          </w:tcPr>
          <w:p>
            <w:pPr>
              <w:spacing w:after="0"/>
              <w:rPr>
                <w:sz w:val="20"/>
                <w:szCs w:val="20"/>
                <w:color w:val="auto"/>
              </w:rPr>
            </w:pPr>
            <w:r>
              <w:rPr>
                <w:rFonts w:ascii="Arial" w:cs="Arial" w:eastAsia="Arial" w:hAnsi="Arial"/>
                <w:sz w:val="13"/>
                <w:szCs w:val="13"/>
                <w:color w:val="auto"/>
              </w:rPr>
              <w:t>Yonkers Racing Corporation</w:t>
            </w:r>
          </w:p>
        </w:tc>
        <w:tc>
          <w:tcPr>
            <w:tcW w:w="1660" w:type="dxa"/>
            <w:vAlign w:val="bottom"/>
            <w:gridSpan w:val="2"/>
          </w:tcPr>
          <w:p>
            <w:pPr>
              <w:jc w:val="right"/>
              <w:spacing w:after="0"/>
              <w:rPr>
                <w:sz w:val="20"/>
                <w:szCs w:val="20"/>
                <w:color w:val="auto"/>
              </w:rPr>
            </w:pPr>
            <w:r>
              <w:rPr>
                <w:rFonts w:ascii="Arial" w:cs="Arial" w:eastAsia="Arial" w:hAnsi="Arial"/>
                <w:sz w:val="13"/>
                <w:szCs w:val="13"/>
                <w:color w:val="auto"/>
              </w:rPr>
              <w:t>3</w:t>
            </w:r>
          </w:p>
        </w:tc>
        <w:tc>
          <w:tcPr>
            <w:tcW w:w="260" w:type="dxa"/>
            <w:vAlign w:val="bottom"/>
          </w:tcPr>
          <w:p>
            <w:pPr>
              <w:spacing w:after="0"/>
              <w:rPr>
                <w:sz w:val="12"/>
                <w:szCs w:val="12"/>
                <w:color w:val="auto"/>
              </w:rPr>
            </w:pPr>
          </w:p>
        </w:tc>
        <w:tc>
          <w:tcPr>
            <w:tcW w:w="5020" w:type="dxa"/>
            <w:vAlign w:val="bottom"/>
            <w:gridSpan w:val="2"/>
          </w:tcPr>
          <w:p>
            <w:pPr>
              <w:spacing w:after="0"/>
              <w:rPr>
                <w:sz w:val="20"/>
                <w:szCs w:val="20"/>
                <w:color w:val="auto"/>
              </w:rPr>
            </w:pPr>
            <w:r>
              <w:rPr>
                <w:rFonts w:ascii="Arial" w:cs="Arial" w:eastAsia="Arial" w:hAnsi="Arial"/>
                <w:sz w:val="13"/>
                <w:szCs w:val="13"/>
                <w:color w:val="auto"/>
              </w:rPr>
              <w:t>Triple Point Technology, Inc.</w:t>
            </w:r>
          </w:p>
        </w:tc>
        <w:tc>
          <w:tcPr>
            <w:tcW w:w="300" w:type="dxa"/>
            <w:vAlign w:val="bottom"/>
          </w:tcPr>
          <w:p>
            <w:pPr>
              <w:ind w:left="220"/>
              <w:spacing w:after="0"/>
              <w:rPr>
                <w:sz w:val="20"/>
                <w:szCs w:val="20"/>
                <w:color w:val="auto"/>
              </w:rPr>
            </w:pPr>
            <w:r>
              <w:rPr>
                <w:rFonts w:ascii="Arial" w:cs="Arial" w:eastAsia="Arial" w:hAnsi="Arial"/>
                <w:sz w:val="13"/>
                <w:szCs w:val="13"/>
                <w:color w:val="auto"/>
                <w:w w:val="82"/>
              </w:rPr>
              <w:t>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DS Waters of America, Inc.</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260" w:type="dxa"/>
            <w:vAlign w:val="bottom"/>
            <w:shd w:val="clear" w:color="auto" w:fill="CCEEFF"/>
          </w:tcPr>
          <w:p>
            <w:pPr>
              <w:spacing w:after="0"/>
              <w:rPr>
                <w:sz w:val="12"/>
                <w:szCs w:val="12"/>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Viamedia Services Corp.</w:t>
            </w:r>
          </w:p>
        </w:tc>
        <w:tc>
          <w:tcPr>
            <w:tcW w:w="300" w:type="dxa"/>
            <w:vAlign w:val="bottom"/>
            <w:shd w:val="clear" w:color="auto" w:fill="CCEEFF"/>
          </w:tcPr>
          <w:p>
            <w:pPr>
              <w:ind w:left="220"/>
              <w:spacing w:after="0"/>
              <w:rPr>
                <w:sz w:val="20"/>
                <w:szCs w:val="20"/>
                <w:color w:val="auto"/>
              </w:rPr>
            </w:pPr>
            <w:r>
              <w:rPr>
                <w:rFonts w:ascii="Arial" w:cs="Arial" w:eastAsia="Arial" w:hAnsi="Arial"/>
                <w:sz w:val="13"/>
                <w:szCs w:val="13"/>
                <w:color w:val="auto"/>
                <w:w w:val="82"/>
              </w:rPr>
              <w:t>4</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860" w:type="dxa"/>
            <w:vAlign w:val="bottom"/>
            <w:gridSpan w:val="2"/>
          </w:tcPr>
          <w:p>
            <w:pPr>
              <w:spacing w:after="0"/>
              <w:rPr>
                <w:sz w:val="20"/>
                <w:szCs w:val="20"/>
                <w:color w:val="auto"/>
              </w:rPr>
            </w:pPr>
            <w:r>
              <w:rPr>
                <w:rFonts w:ascii="Arial" w:cs="Arial" w:eastAsia="Arial" w:hAnsi="Arial"/>
                <w:sz w:val="13"/>
                <w:szCs w:val="13"/>
                <w:color w:val="auto"/>
              </w:rPr>
              <w:t>Viamedia Services Corp.</w:t>
            </w:r>
          </w:p>
        </w:tc>
        <w:tc>
          <w:tcPr>
            <w:tcW w:w="1660" w:type="dxa"/>
            <w:vAlign w:val="bottom"/>
            <w:gridSpan w:val="2"/>
          </w:tcPr>
          <w:p>
            <w:pPr>
              <w:jc w:val="right"/>
              <w:spacing w:after="0"/>
              <w:rPr>
                <w:sz w:val="20"/>
                <w:szCs w:val="20"/>
                <w:color w:val="auto"/>
              </w:rPr>
            </w:pPr>
            <w:r>
              <w:rPr>
                <w:rFonts w:ascii="Arial" w:cs="Arial" w:eastAsia="Arial" w:hAnsi="Arial"/>
                <w:sz w:val="13"/>
                <w:szCs w:val="13"/>
                <w:color w:val="auto"/>
              </w:rPr>
              <w:t>2</w:t>
            </w:r>
          </w:p>
        </w:tc>
        <w:tc>
          <w:tcPr>
            <w:tcW w:w="260" w:type="dxa"/>
            <w:vAlign w:val="bottom"/>
          </w:tcPr>
          <w:p>
            <w:pPr>
              <w:spacing w:after="0"/>
              <w:rPr>
                <w:sz w:val="14"/>
                <w:szCs w:val="14"/>
                <w:color w:val="auto"/>
              </w:rPr>
            </w:pPr>
          </w:p>
        </w:tc>
        <w:tc>
          <w:tcPr>
            <w:tcW w:w="5020" w:type="dxa"/>
            <w:vAlign w:val="bottom"/>
            <w:gridSpan w:val="2"/>
          </w:tcPr>
          <w:p>
            <w:pPr>
              <w:spacing w:after="0"/>
              <w:rPr>
                <w:sz w:val="20"/>
                <w:szCs w:val="20"/>
                <w:color w:val="auto"/>
              </w:rPr>
            </w:pPr>
            <w:r>
              <w:rPr>
                <w:rFonts w:ascii="Arial" w:cs="Arial" w:eastAsia="Arial" w:hAnsi="Arial"/>
                <w:sz w:val="13"/>
                <w:szCs w:val="13"/>
                <w:color w:val="auto"/>
              </w:rPr>
              <w:t>Yonkers Racing Corporation</w:t>
            </w:r>
          </w:p>
        </w:tc>
        <w:tc>
          <w:tcPr>
            <w:tcW w:w="300" w:type="dxa"/>
            <w:vAlign w:val="bottom"/>
          </w:tcPr>
          <w:p>
            <w:pPr>
              <w:ind w:left="220"/>
              <w:spacing w:after="0"/>
              <w:rPr>
                <w:sz w:val="20"/>
                <w:szCs w:val="20"/>
                <w:color w:val="auto"/>
              </w:rPr>
            </w:pPr>
            <w:r>
              <w:rPr>
                <w:rFonts w:ascii="Arial" w:cs="Arial" w:eastAsia="Arial" w:hAnsi="Arial"/>
                <w:sz w:val="13"/>
                <w:szCs w:val="13"/>
                <w:color w:val="auto"/>
                <w:w w:val="82"/>
              </w:rPr>
              <w:t>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Industry</w:t>
            </w:r>
          </w:p>
        </w:tc>
        <w:tc>
          <w:tcPr>
            <w:tcW w:w="3300" w:type="dxa"/>
            <w:vAlign w:val="bottom"/>
          </w:tcPr>
          <w:p>
            <w:pPr>
              <w:spacing w:after="0"/>
              <w:rPr>
                <w:sz w:val="14"/>
                <w:szCs w:val="14"/>
                <w:color w:val="auto"/>
              </w:rPr>
            </w:pPr>
          </w:p>
        </w:tc>
        <w:tc>
          <w:tcPr>
            <w:tcW w:w="1680" w:type="dxa"/>
            <w:vAlign w:val="bottom"/>
            <w:gridSpan w:val="2"/>
          </w:tcPr>
          <w:p>
            <w:pPr>
              <w:jc w:val="right"/>
              <w:spacing w:after="0"/>
              <w:rPr>
                <w:sz w:val="20"/>
                <w:szCs w:val="20"/>
                <w:color w:val="auto"/>
              </w:rPr>
            </w:pPr>
            <w:r>
              <w:rPr>
                <w:rFonts w:ascii="Arial" w:cs="Arial" w:eastAsia="Arial" w:hAnsi="Arial"/>
                <w:sz w:val="13"/>
                <w:szCs w:val="13"/>
                <w:b w:val="1"/>
                <w:bCs w:val="1"/>
                <w:color w:val="auto"/>
              </w:rPr>
              <w:t>2012</w:t>
            </w:r>
          </w:p>
        </w:tc>
        <w:tc>
          <w:tcPr>
            <w:tcW w:w="260" w:type="dxa"/>
            <w:vAlign w:val="bottom"/>
          </w:tcPr>
          <w:p>
            <w:pPr>
              <w:spacing w:after="0"/>
              <w:rPr>
                <w:sz w:val="14"/>
                <w:szCs w:val="1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Industry</w:t>
            </w:r>
          </w:p>
        </w:tc>
        <w:tc>
          <w:tcPr>
            <w:tcW w:w="448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9"/>
              </w:rPr>
              <w:t>2011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4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rPr>
              <w:t>High Tech Industries</w:t>
            </w:r>
          </w:p>
        </w:tc>
        <w:tc>
          <w:tcPr>
            <w:tcW w:w="142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02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rPr>
              <w:t>Business Services</w:t>
            </w:r>
          </w:p>
        </w:tc>
        <w:tc>
          <w:tcPr>
            <w:tcW w:w="4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10%</w:t>
            </w:r>
          </w:p>
        </w:tc>
        <w:tc>
          <w:tcPr>
            <w:tcW w:w="0" w:type="dxa"/>
            <w:vAlign w:val="bottom"/>
          </w:tcPr>
          <w:p>
            <w:pPr>
              <w:spacing w:after="0" w:line="20" w:lineRule="exact"/>
              <w:rPr>
                <w:sz w:val="1"/>
                <w:szCs w:val="1"/>
                <w:color w:val="auto"/>
              </w:rPr>
            </w:pPr>
          </w:p>
        </w:tc>
      </w:tr>
      <w:tr>
        <w:trPr>
          <w:trHeight w:val="136"/>
        </w:trPr>
        <w:tc>
          <w:tcPr>
            <w:tcW w:w="3840" w:type="dxa"/>
            <w:vAlign w:val="bottom"/>
            <w:gridSpan w:val="2"/>
            <w:vMerge w:val="continue"/>
            <w:shd w:val="clear" w:color="auto" w:fill="CCEEFF"/>
          </w:tcPr>
          <w:p>
            <w:pPr>
              <w:spacing w:after="0"/>
              <w:rPr>
                <w:sz w:val="11"/>
                <w:szCs w:val="11"/>
                <w:color w:val="auto"/>
              </w:rPr>
            </w:pPr>
          </w:p>
        </w:tc>
        <w:tc>
          <w:tcPr>
            <w:tcW w:w="1420" w:type="dxa"/>
            <w:vAlign w:val="bottom"/>
            <w:vMerge w:val="continue"/>
            <w:shd w:val="clear" w:color="auto" w:fill="CCEEFF"/>
          </w:tcPr>
          <w:p>
            <w:pPr>
              <w:spacing w:after="0"/>
              <w:rPr>
                <w:sz w:val="11"/>
                <w:szCs w:val="11"/>
                <w:color w:val="auto"/>
              </w:rPr>
            </w:pPr>
          </w:p>
        </w:tc>
        <w:tc>
          <w:tcPr>
            <w:tcW w:w="52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11%</w:t>
            </w:r>
          </w:p>
        </w:tc>
        <w:tc>
          <w:tcPr>
            <w:tcW w:w="5020" w:type="dxa"/>
            <w:vAlign w:val="bottom"/>
            <w:gridSpan w:val="2"/>
            <w:vMerge w:val="continue"/>
            <w:shd w:val="clear" w:color="auto" w:fill="CCEEFF"/>
          </w:tcPr>
          <w:p>
            <w:pPr>
              <w:spacing w:after="0"/>
              <w:rPr>
                <w:sz w:val="11"/>
                <w:szCs w:val="11"/>
                <w:color w:val="auto"/>
              </w:rPr>
            </w:pPr>
          </w:p>
        </w:tc>
        <w:tc>
          <w:tcPr>
            <w:tcW w:w="44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40" w:type="dxa"/>
            <w:vAlign w:val="bottom"/>
            <w:gridSpan w:val="2"/>
          </w:tcPr>
          <w:p>
            <w:pPr>
              <w:spacing w:after="0"/>
              <w:rPr>
                <w:sz w:val="20"/>
                <w:szCs w:val="20"/>
                <w:color w:val="auto"/>
              </w:rPr>
            </w:pPr>
            <w:r>
              <w:rPr>
                <w:rFonts w:ascii="Arial" w:cs="Arial" w:eastAsia="Arial" w:hAnsi="Arial"/>
                <w:sz w:val="13"/>
                <w:szCs w:val="13"/>
                <w:color w:val="auto"/>
              </w:rPr>
              <w:t>Business Services</w:t>
            </w:r>
          </w:p>
        </w:tc>
        <w:tc>
          <w:tcPr>
            <w:tcW w:w="1680" w:type="dxa"/>
            <w:vAlign w:val="bottom"/>
            <w:gridSpan w:val="2"/>
          </w:tcPr>
          <w:p>
            <w:pPr>
              <w:jc w:val="right"/>
              <w:spacing w:after="0"/>
              <w:rPr>
                <w:sz w:val="20"/>
                <w:szCs w:val="20"/>
                <w:color w:val="auto"/>
              </w:rPr>
            </w:pPr>
            <w:r>
              <w:rPr>
                <w:rFonts w:ascii="Arial" w:cs="Arial" w:eastAsia="Arial" w:hAnsi="Arial"/>
                <w:sz w:val="13"/>
                <w:szCs w:val="13"/>
                <w:color w:val="auto"/>
              </w:rPr>
              <w:t>10</w:t>
            </w:r>
          </w:p>
        </w:tc>
        <w:tc>
          <w:tcPr>
            <w:tcW w:w="260" w:type="dxa"/>
            <w:vAlign w:val="bottom"/>
          </w:tcPr>
          <w:p>
            <w:pPr>
              <w:spacing w:after="0"/>
              <w:rPr>
                <w:sz w:val="12"/>
                <w:szCs w:val="12"/>
                <w:color w:val="auto"/>
              </w:rPr>
            </w:pPr>
          </w:p>
        </w:tc>
        <w:tc>
          <w:tcPr>
            <w:tcW w:w="5020" w:type="dxa"/>
            <w:vAlign w:val="bottom"/>
            <w:gridSpan w:val="2"/>
          </w:tcPr>
          <w:p>
            <w:pPr>
              <w:spacing w:after="0"/>
              <w:rPr>
                <w:sz w:val="20"/>
                <w:szCs w:val="20"/>
                <w:color w:val="auto"/>
              </w:rPr>
            </w:pPr>
            <w:r>
              <w:rPr>
                <w:rFonts w:ascii="Arial" w:cs="Arial" w:eastAsia="Arial" w:hAnsi="Arial"/>
                <w:sz w:val="13"/>
                <w:szCs w:val="13"/>
                <w:color w:val="auto"/>
              </w:rPr>
              <w:t>Healthcare and Pharmaceuticals</w:t>
            </w:r>
          </w:p>
        </w:tc>
        <w:tc>
          <w:tcPr>
            <w:tcW w:w="300" w:type="dxa"/>
            <w:vAlign w:val="bottom"/>
          </w:tcPr>
          <w:p>
            <w:pPr>
              <w:jc w:val="right"/>
              <w:spacing w:after="0"/>
              <w:rPr>
                <w:sz w:val="20"/>
                <w:szCs w:val="20"/>
                <w:color w:val="auto"/>
              </w:rPr>
            </w:pPr>
            <w:r>
              <w:rPr>
                <w:rFonts w:ascii="Arial" w:cs="Arial" w:eastAsia="Arial" w:hAnsi="Arial"/>
                <w:sz w:val="13"/>
                <w:szCs w:val="13"/>
                <w:color w:val="auto"/>
              </w:rPr>
              <w:t>10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Healthcare and Pharmaceuticals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260" w:type="dxa"/>
            <w:vAlign w:val="bottom"/>
            <w:shd w:val="clear" w:color="auto" w:fill="CCEEFF"/>
          </w:tcPr>
          <w:p>
            <w:pPr>
              <w:spacing w:after="0"/>
              <w:rPr>
                <w:sz w:val="12"/>
                <w:szCs w:val="12"/>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Media: Advertising, Printing and Publishing</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gridSpan w:val="2"/>
          </w:tcPr>
          <w:p>
            <w:pPr>
              <w:spacing w:after="0"/>
              <w:rPr>
                <w:sz w:val="20"/>
                <w:szCs w:val="20"/>
                <w:color w:val="auto"/>
              </w:rPr>
            </w:pPr>
            <w:r>
              <w:rPr>
                <w:rFonts w:ascii="Arial" w:cs="Arial" w:eastAsia="Arial" w:hAnsi="Arial"/>
                <w:sz w:val="13"/>
                <w:szCs w:val="13"/>
                <w:color w:val="auto"/>
              </w:rPr>
              <w:t>Hotel, Gaming and Leisure</w:t>
            </w:r>
          </w:p>
        </w:tc>
        <w:tc>
          <w:tcPr>
            <w:tcW w:w="1680" w:type="dxa"/>
            <w:vAlign w:val="bottom"/>
            <w:gridSpan w:val="2"/>
          </w:tcPr>
          <w:p>
            <w:pPr>
              <w:jc w:val="right"/>
              <w:spacing w:after="0"/>
              <w:rPr>
                <w:sz w:val="20"/>
                <w:szCs w:val="20"/>
                <w:color w:val="auto"/>
              </w:rPr>
            </w:pPr>
            <w:r>
              <w:rPr>
                <w:rFonts w:ascii="Arial" w:cs="Arial" w:eastAsia="Arial" w:hAnsi="Arial"/>
                <w:sz w:val="13"/>
                <w:szCs w:val="13"/>
                <w:color w:val="auto"/>
              </w:rPr>
              <w:t>8</w:t>
            </w:r>
          </w:p>
        </w:tc>
        <w:tc>
          <w:tcPr>
            <w:tcW w:w="260" w:type="dxa"/>
            <w:vAlign w:val="bottom"/>
          </w:tcPr>
          <w:p>
            <w:pPr>
              <w:spacing w:after="0"/>
              <w:rPr>
                <w:sz w:val="12"/>
                <w:szCs w:val="12"/>
                <w:color w:val="auto"/>
              </w:rPr>
            </w:pPr>
          </w:p>
        </w:tc>
        <w:tc>
          <w:tcPr>
            <w:tcW w:w="5020" w:type="dxa"/>
            <w:vAlign w:val="bottom"/>
            <w:gridSpan w:val="2"/>
          </w:tcPr>
          <w:p>
            <w:pPr>
              <w:spacing w:after="0"/>
              <w:rPr>
                <w:sz w:val="20"/>
                <w:szCs w:val="20"/>
                <w:color w:val="auto"/>
              </w:rPr>
            </w:pPr>
            <w:r>
              <w:rPr>
                <w:rFonts w:ascii="Arial" w:cs="Arial" w:eastAsia="Arial" w:hAnsi="Arial"/>
                <w:sz w:val="13"/>
                <w:szCs w:val="13"/>
                <w:color w:val="auto"/>
              </w:rPr>
              <w:t>Hotel, Gaming and Leisure</w:t>
            </w:r>
          </w:p>
        </w:tc>
        <w:tc>
          <w:tcPr>
            <w:tcW w:w="300" w:type="dxa"/>
            <w:vAlign w:val="bottom"/>
          </w:tcPr>
          <w:p>
            <w:pPr>
              <w:jc w:val="right"/>
              <w:spacing w:after="0"/>
              <w:rPr>
                <w:sz w:val="20"/>
                <w:szCs w:val="20"/>
                <w:color w:val="auto"/>
              </w:rPr>
            </w:pPr>
            <w:r>
              <w:rPr>
                <w:rFonts w:ascii="Arial" w:cs="Arial" w:eastAsia="Arial" w:hAnsi="Arial"/>
                <w:sz w:val="13"/>
                <w:szCs w:val="13"/>
                <w:color w:val="auto"/>
              </w:rPr>
              <w:t>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Beverage, Food and Tobacco</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260" w:type="dxa"/>
            <w:vAlign w:val="bottom"/>
            <w:shd w:val="clear" w:color="auto" w:fill="CCEEFF"/>
          </w:tcPr>
          <w:p>
            <w:pPr>
              <w:spacing w:after="0"/>
              <w:rPr>
                <w:sz w:val="14"/>
                <w:szCs w:val="14"/>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Consumer Goods: Durable</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gridSpan w:val="2"/>
          </w:tcPr>
          <w:p>
            <w:pPr>
              <w:spacing w:after="0"/>
              <w:rPr>
                <w:sz w:val="20"/>
                <w:szCs w:val="20"/>
                <w:color w:val="auto"/>
              </w:rPr>
            </w:pPr>
            <w:r>
              <w:rPr>
                <w:rFonts w:ascii="Arial" w:cs="Arial" w:eastAsia="Arial" w:hAnsi="Arial"/>
                <w:sz w:val="13"/>
                <w:szCs w:val="13"/>
                <w:color w:val="auto"/>
              </w:rPr>
              <w:t>Chemicals, Plastics and Rubber</w:t>
            </w:r>
          </w:p>
        </w:tc>
        <w:tc>
          <w:tcPr>
            <w:tcW w:w="1680" w:type="dxa"/>
            <w:vAlign w:val="bottom"/>
            <w:gridSpan w:val="2"/>
          </w:tcPr>
          <w:p>
            <w:pPr>
              <w:jc w:val="right"/>
              <w:spacing w:after="0"/>
              <w:rPr>
                <w:sz w:val="20"/>
                <w:szCs w:val="20"/>
                <w:color w:val="auto"/>
              </w:rPr>
            </w:pPr>
            <w:r>
              <w:rPr>
                <w:rFonts w:ascii="Arial" w:cs="Arial" w:eastAsia="Arial" w:hAnsi="Arial"/>
                <w:sz w:val="13"/>
                <w:szCs w:val="13"/>
                <w:color w:val="auto"/>
              </w:rPr>
              <w:t>6</w:t>
            </w:r>
          </w:p>
        </w:tc>
        <w:tc>
          <w:tcPr>
            <w:tcW w:w="260" w:type="dxa"/>
            <w:vAlign w:val="bottom"/>
          </w:tcPr>
          <w:p>
            <w:pPr>
              <w:spacing w:after="0"/>
              <w:rPr>
                <w:sz w:val="14"/>
                <w:szCs w:val="14"/>
                <w:color w:val="auto"/>
              </w:rPr>
            </w:pPr>
          </w:p>
        </w:tc>
        <w:tc>
          <w:tcPr>
            <w:tcW w:w="5020" w:type="dxa"/>
            <w:vAlign w:val="bottom"/>
            <w:gridSpan w:val="2"/>
          </w:tcPr>
          <w:p>
            <w:pPr>
              <w:spacing w:after="0"/>
              <w:rPr>
                <w:sz w:val="20"/>
                <w:szCs w:val="20"/>
                <w:color w:val="auto"/>
              </w:rPr>
            </w:pPr>
            <w:r>
              <w:rPr>
                <w:rFonts w:ascii="Arial" w:cs="Arial" w:eastAsia="Arial" w:hAnsi="Arial"/>
                <w:sz w:val="13"/>
                <w:szCs w:val="13"/>
                <w:color w:val="auto"/>
              </w:rPr>
              <w:t>Media: Diversified and Production</w:t>
            </w:r>
          </w:p>
        </w:tc>
        <w:tc>
          <w:tcPr>
            <w:tcW w:w="300" w:type="dxa"/>
            <w:vAlign w:val="bottom"/>
          </w:tcPr>
          <w:p>
            <w:pPr>
              <w:jc w:val="right"/>
              <w:spacing w:after="0"/>
              <w:rPr>
                <w:sz w:val="20"/>
                <w:szCs w:val="20"/>
                <w:color w:val="auto"/>
              </w:rPr>
            </w:pPr>
            <w:r>
              <w:rPr>
                <w:rFonts w:ascii="Arial" w:cs="Arial" w:eastAsia="Arial" w:hAnsi="Arial"/>
                <w:sz w:val="13"/>
                <w:szCs w:val="13"/>
                <w:color w:val="auto"/>
              </w:rPr>
              <w:t>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Consumer Goods: Non-Durable</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260" w:type="dxa"/>
            <w:vAlign w:val="bottom"/>
            <w:shd w:val="clear" w:color="auto" w:fill="CCEEFF"/>
          </w:tcPr>
          <w:p>
            <w:pPr>
              <w:spacing w:after="0"/>
              <w:rPr>
                <w:sz w:val="12"/>
                <w:szCs w:val="12"/>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Beverage, Food and Tobacco</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gridSpan w:val="2"/>
          </w:tcPr>
          <w:p>
            <w:pPr>
              <w:spacing w:after="0"/>
              <w:rPr>
                <w:sz w:val="20"/>
                <w:szCs w:val="20"/>
                <w:color w:val="auto"/>
              </w:rPr>
            </w:pPr>
            <w:r>
              <w:rPr>
                <w:rFonts w:ascii="Arial" w:cs="Arial" w:eastAsia="Arial" w:hAnsi="Arial"/>
                <w:sz w:val="13"/>
                <w:szCs w:val="13"/>
                <w:color w:val="auto"/>
              </w:rPr>
              <w:t>Media: Diversified and Production</w:t>
            </w:r>
          </w:p>
        </w:tc>
        <w:tc>
          <w:tcPr>
            <w:tcW w:w="1680" w:type="dxa"/>
            <w:vAlign w:val="bottom"/>
            <w:gridSpan w:val="2"/>
          </w:tcPr>
          <w:p>
            <w:pPr>
              <w:jc w:val="right"/>
              <w:spacing w:after="0"/>
              <w:rPr>
                <w:sz w:val="20"/>
                <w:szCs w:val="20"/>
                <w:color w:val="auto"/>
              </w:rPr>
            </w:pPr>
            <w:r>
              <w:rPr>
                <w:rFonts w:ascii="Arial" w:cs="Arial" w:eastAsia="Arial" w:hAnsi="Arial"/>
                <w:sz w:val="13"/>
                <w:szCs w:val="13"/>
                <w:color w:val="auto"/>
              </w:rPr>
              <w:t>6</w:t>
            </w:r>
          </w:p>
        </w:tc>
        <w:tc>
          <w:tcPr>
            <w:tcW w:w="260" w:type="dxa"/>
            <w:vAlign w:val="bottom"/>
          </w:tcPr>
          <w:p>
            <w:pPr>
              <w:spacing w:after="0"/>
              <w:rPr>
                <w:sz w:val="12"/>
                <w:szCs w:val="12"/>
                <w:color w:val="auto"/>
              </w:rPr>
            </w:pPr>
          </w:p>
        </w:tc>
        <w:tc>
          <w:tcPr>
            <w:tcW w:w="5020" w:type="dxa"/>
            <w:vAlign w:val="bottom"/>
            <w:gridSpan w:val="2"/>
          </w:tcPr>
          <w:p>
            <w:pPr>
              <w:spacing w:after="0"/>
              <w:rPr>
                <w:sz w:val="20"/>
                <w:szCs w:val="20"/>
                <w:color w:val="auto"/>
              </w:rPr>
            </w:pPr>
            <w:r>
              <w:rPr>
                <w:rFonts w:ascii="Arial" w:cs="Arial" w:eastAsia="Arial" w:hAnsi="Arial"/>
                <w:sz w:val="13"/>
                <w:szCs w:val="13"/>
                <w:color w:val="auto"/>
              </w:rPr>
              <w:t>Chemicals, Plastics and Rubber</w:t>
            </w:r>
          </w:p>
        </w:tc>
        <w:tc>
          <w:tcPr>
            <w:tcW w:w="300" w:type="dxa"/>
            <w:vAlign w:val="bottom"/>
          </w:tcPr>
          <w:p>
            <w:pPr>
              <w:jc w:val="right"/>
              <w:spacing w:after="0"/>
              <w:rPr>
                <w:sz w:val="20"/>
                <w:szCs w:val="20"/>
                <w:color w:val="auto"/>
              </w:rPr>
            </w:pPr>
            <w:r>
              <w:rPr>
                <w:rFonts w:ascii="Arial" w:cs="Arial" w:eastAsia="Arial" w:hAnsi="Arial"/>
                <w:sz w:val="13"/>
                <w:szCs w:val="13"/>
                <w:color w:val="auto"/>
              </w:rPr>
              <w:t>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Media: Advertising, Printing and Publishing</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260" w:type="dxa"/>
            <w:vAlign w:val="bottom"/>
            <w:shd w:val="clear" w:color="auto" w:fill="CCEEFF"/>
          </w:tcPr>
          <w:p>
            <w:pPr>
              <w:spacing w:after="0"/>
              <w:rPr>
                <w:sz w:val="12"/>
                <w:szCs w:val="12"/>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Telecommunications</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840" w:type="dxa"/>
            <w:vAlign w:val="bottom"/>
            <w:gridSpan w:val="2"/>
          </w:tcPr>
          <w:p>
            <w:pPr>
              <w:spacing w:after="0"/>
              <w:rPr>
                <w:sz w:val="20"/>
                <w:szCs w:val="20"/>
                <w:color w:val="auto"/>
              </w:rPr>
            </w:pPr>
            <w:r>
              <w:rPr>
                <w:rFonts w:ascii="Arial" w:cs="Arial" w:eastAsia="Arial" w:hAnsi="Arial"/>
                <w:sz w:val="13"/>
                <w:szCs w:val="13"/>
                <w:color w:val="auto"/>
              </w:rPr>
              <w:t>Telecommunications</w:t>
            </w:r>
          </w:p>
        </w:tc>
        <w:tc>
          <w:tcPr>
            <w:tcW w:w="1680" w:type="dxa"/>
            <w:vAlign w:val="bottom"/>
            <w:gridSpan w:val="2"/>
          </w:tcPr>
          <w:p>
            <w:pPr>
              <w:jc w:val="right"/>
              <w:spacing w:after="0"/>
              <w:rPr>
                <w:sz w:val="20"/>
                <w:szCs w:val="20"/>
                <w:color w:val="auto"/>
              </w:rPr>
            </w:pPr>
            <w:r>
              <w:rPr>
                <w:rFonts w:ascii="Arial" w:cs="Arial" w:eastAsia="Arial" w:hAnsi="Arial"/>
                <w:sz w:val="13"/>
                <w:szCs w:val="13"/>
                <w:color w:val="auto"/>
              </w:rPr>
              <w:t>5</w:t>
            </w:r>
          </w:p>
        </w:tc>
        <w:tc>
          <w:tcPr>
            <w:tcW w:w="260" w:type="dxa"/>
            <w:vAlign w:val="bottom"/>
          </w:tcPr>
          <w:p>
            <w:pPr>
              <w:spacing w:after="0"/>
              <w:rPr>
                <w:sz w:val="14"/>
                <w:szCs w:val="14"/>
                <w:color w:val="auto"/>
              </w:rPr>
            </w:pPr>
          </w:p>
        </w:tc>
        <w:tc>
          <w:tcPr>
            <w:tcW w:w="5020" w:type="dxa"/>
            <w:vAlign w:val="bottom"/>
            <w:gridSpan w:val="2"/>
          </w:tcPr>
          <w:p>
            <w:pPr>
              <w:spacing w:after="0"/>
              <w:rPr>
                <w:sz w:val="20"/>
                <w:szCs w:val="20"/>
                <w:color w:val="auto"/>
              </w:rPr>
            </w:pPr>
            <w:r>
              <w:rPr>
                <w:rFonts w:ascii="Arial" w:cs="Arial" w:eastAsia="Arial" w:hAnsi="Arial"/>
                <w:sz w:val="13"/>
                <w:szCs w:val="13"/>
                <w:color w:val="auto"/>
              </w:rPr>
              <w:t>Automotive</w:t>
            </w:r>
          </w:p>
        </w:tc>
        <w:tc>
          <w:tcPr>
            <w:tcW w:w="300" w:type="dxa"/>
            <w:vAlign w:val="bottom"/>
          </w:tcPr>
          <w:p>
            <w:pPr>
              <w:jc w:val="right"/>
              <w:spacing w:after="0"/>
              <w:rPr>
                <w:sz w:val="20"/>
                <w:szCs w:val="20"/>
                <w:color w:val="auto"/>
              </w:rPr>
            </w:pPr>
            <w:r>
              <w:rPr>
                <w:rFonts w:ascii="Arial" w:cs="Arial" w:eastAsia="Arial" w:hAnsi="Arial"/>
                <w:sz w:val="13"/>
                <w:szCs w:val="13"/>
                <w:color w:val="auto"/>
              </w:rPr>
              <w:t>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6"/>
        </w:trPr>
        <w:tc>
          <w:tcPr>
            <w:tcW w:w="5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940" w:type="dxa"/>
            <w:vAlign w:val="bottom"/>
            <w:gridSpan w:val="3"/>
          </w:tcPr>
          <w:p>
            <w:pPr>
              <w:jc w:val="right"/>
              <w:ind w:right="120"/>
              <w:spacing w:after="0"/>
              <w:rPr>
                <w:sz w:val="20"/>
                <w:szCs w:val="20"/>
                <w:color w:val="auto"/>
              </w:rPr>
            </w:pPr>
            <w:r>
              <w:rPr>
                <w:rFonts w:ascii="Arial" w:cs="Arial" w:eastAsia="Arial" w:hAnsi="Arial"/>
                <w:sz w:val="13"/>
                <w:szCs w:val="13"/>
                <w:color w:val="auto"/>
              </w:rPr>
              <w:t>6</w:t>
            </w:r>
          </w:p>
        </w:tc>
        <w:tc>
          <w:tcPr>
            <w:tcW w:w="5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60" w:firstLine="562"/>
        <w:spacing w:after="0" w:line="265" w:lineRule="auto"/>
        <w:rPr>
          <w:sz w:val="20"/>
          <w:szCs w:val="20"/>
          <w:color w:val="auto"/>
        </w:rPr>
      </w:pPr>
      <w:r>
        <w:rPr>
          <w:rFonts w:ascii="Arial" w:cs="Arial" w:eastAsia="Arial" w:hAnsi="Arial"/>
          <w:sz w:val="12"/>
          <w:szCs w:val="12"/>
          <w:color w:val="auto"/>
        </w:rPr>
        <w:t>Our executive officers and directors, as well as the senior investment professionals of the Investment Adviser and Administrator, may serve as officers, directors or principals of entities that operate in the same or a related line of business as we do. Currently, the executive officers and directors, as well as the current senior investment professionals of the Investment Adviser and Administrator, serve as officers and directors of PennantPark Investment Corporation, a publicly traded BDC and other managed funds, as applicable. Accordingly, they may have obligations to investors in those entities, the fulfillment of which obligations might not be in the best interest of us or our stockholders. In addition, we note that any affiliated investment vehicle currently existing, or formed in the future, and managed by the Investment Adviser and or its affiliates may, notwithstanding different stated investment objectives, have overlapping investment objectives with our own and, accordingly, may invest in asset classes similar to those targeted by us. As a result, the Investment Adviser may face conflicts in allocating investment opportunities among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its affiliates. In any such case, when the Investment Adviser identifies an investment, it will choose which investment fund should receive the allocation. See “Risk Factors—Risks Relating to our Business and Structure—There are significant potential conflicts of interest which could impact our investment returns” for more information.</w:t>
      </w:r>
    </w:p>
    <w:p>
      <w:pPr>
        <w:spacing w:after="0" w:line="100" w:lineRule="exact"/>
        <w:rPr>
          <w:sz w:val="20"/>
          <w:szCs w:val="20"/>
          <w:color w:val="auto"/>
        </w:rPr>
      </w:pPr>
    </w:p>
    <w:p>
      <w:pPr>
        <w:ind w:firstLine="562"/>
        <w:spacing w:after="0" w:line="250" w:lineRule="auto"/>
        <w:rPr>
          <w:sz w:val="20"/>
          <w:szCs w:val="20"/>
          <w:color w:val="auto"/>
        </w:rPr>
      </w:pPr>
      <w:r>
        <w:rPr>
          <w:rFonts w:ascii="Arial" w:cs="Arial" w:eastAsia="Arial" w:hAnsi="Arial"/>
          <w:sz w:val="13"/>
          <w:szCs w:val="13"/>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We may also co-invest in the future on a concurrent basis with our affiliates, subject to compliance with applicable regulations and our trade allocation procedures. Some types of negotiated co-investments may be made only if we receive an order from the SEC permitting us to do so. We have not sought, and there can be no assurance that we would obtain, any such order.</w:t>
      </w:r>
    </w:p>
    <w:p>
      <w:pPr>
        <w:spacing w:after="0" w:line="160"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Due Diligence</w:t>
      </w:r>
    </w:p>
    <w:p>
      <w:pPr>
        <w:spacing w:after="0" w:line="80" w:lineRule="exact"/>
        <w:rPr>
          <w:sz w:val="20"/>
          <w:szCs w:val="20"/>
          <w:color w:val="auto"/>
        </w:rPr>
      </w:pPr>
    </w:p>
    <w:p>
      <w:pPr>
        <w:ind w:right="100" w:firstLine="562"/>
        <w:spacing w:after="0" w:line="250" w:lineRule="auto"/>
        <w:rPr>
          <w:sz w:val="20"/>
          <w:szCs w:val="20"/>
          <w:color w:val="auto"/>
        </w:rPr>
      </w:pPr>
      <w:r>
        <w:rPr>
          <w:rFonts w:ascii="Arial" w:cs="Arial" w:eastAsia="Arial" w:hAnsi="Arial"/>
          <w:sz w:val="13"/>
          <w:szCs w:val="13"/>
          <w:color w:val="auto"/>
        </w:rPr>
        <w:t>We believe it is critical to conduct extensive due diligence on investment targets and in evaluating new investments. Our Investment Adviser conducts a rigorous due diligence process that is applied to prospective portfolio companies and draws from our Investment Adviser’s experience, industry expertise and network of contacts. In conducting due diligence, our Investment Adviser uses information provided by companies, financial sponsors and publicly available information as well as information from relationships with former and current management teams, consultants, competitors and investment bankers.</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13"/>
          <w:szCs w:val="13"/>
          <w:color w:val="auto"/>
        </w:rPr>
        <w:t>Our due diligence typically includes:</w:t>
      </w:r>
    </w:p>
    <w:p>
      <w:pPr>
        <w:spacing w:after="0" w:line="67" w:lineRule="exact"/>
        <w:rPr>
          <w:sz w:val="20"/>
          <w:szCs w:val="20"/>
          <w:color w:val="auto"/>
        </w:rPr>
      </w:pPr>
    </w:p>
    <w:p>
      <w:pPr>
        <w:ind w:left="540" w:hanging="316"/>
        <w:spacing w:after="0"/>
        <w:tabs>
          <w:tab w:leader="none" w:pos="5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review of historical and prospective financial information;</w:t>
      </w:r>
    </w:p>
    <w:p>
      <w:pPr>
        <w:spacing w:after="0" w:line="66" w:lineRule="exact"/>
        <w:rPr>
          <w:rFonts w:ascii="Arial" w:cs="Arial" w:eastAsia="Arial" w:hAnsi="Arial"/>
          <w:sz w:val="13"/>
          <w:szCs w:val="13"/>
          <w:color w:val="auto"/>
        </w:rPr>
      </w:pPr>
    </w:p>
    <w:p>
      <w:pPr>
        <w:ind w:left="540" w:hanging="316"/>
        <w:spacing w:after="0"/>
        <w:tabs>
          <w:tab w:leader="none" w:pos="5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research relating to the company’s management, industry, markets, products and services and competitors;</w:t>
      </w:r>
    </w:p>
    <w:p>
      <w:pPr>
        <w:spacing w:after="0" w:line="66" w:lineRule="exact"/>
        <w:rPr>
          <w:rFonts w:ascii="Arial" w:cs="Arial" w:eastAsia="Arial" w:hAnsi="Arial"/>
          <w:sz w:val="13"/>
          <w:szCs w:val="13"/>
          <w:color w:val="auto"/>
        </w:rPr>
      </w:pPr>
    </w:p>
    <w:p>
      <w:pPr>
        <w:ind w:left="540" w:hanging="316"/>
        <w:spacing w:after="0"/>
        <w:tabs>
          <w:tab w:leader="none" w:pos="5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interviews with management, employees, customers and vendors of the potential portfolio company;</w:t>
      </w:r>
    </w:p>
    <w:p>
      <w:pPr>
        <w:spacing w:after="0" w:line="66" w:lineRule="exact"/>
        <w:rPr>
          <w:rFonts w:ascii="Arial" w:cs="Arial" w:eastAsia="Arial" w:hAnsi="Arial"/>
          <w:sz w:val="13"/>
          <w:szCs w:val="13"/>
          <w:color w:val="auto"/>
        </w:rPr>
      </w:pPr>
    </w:p>
    <w:p>
      <w:pPr>
        <w:ind w:left="540" w:hanging="316"/>
        <w:spacing w:after="0"/>
        <w:tabs>
          <w:tab w:leader="none" w:pos="5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on-site visits;</w:t>
      </w:r>
    </w:p>
    <w:p>
      <w:pPr>
        <w:spacing w:after="0" w:line="66" w:lineRule="exact"/>
        <w:rPr>
          <w:rFonts w:ascii="Arial" w:cs="Arial" w:eastAsia="Arial" w:hAnsi="Arial"/>
          <w:sz w:val="13"/>
          <w:szCs w:val="13"/>
          <w:color w:val="auto"/>
        </w:rPr>
      </w:pPr>
    </w:p>
    <w:p>
      <w:pPr>
        <w:ind w:left="540" w:hanging="316"/>
        <w:spacing w:after="0"/>
        <w:tabs>
          <w:tab w:leader="none" w:pos="5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review of loan documents; and</w:t>
      </w:r>
    </w:p>
    <w:p>
      <w:pPr>
        <w:spacing w:after="0" w:line="66" w:lineRule="exact"/>
        <w:rPr>
          <w:rFonts w:ascii="Arial" w:cs="Arial" w:eastAsia="Arial" w:hAnsi="Arial"/>
          <w:sz w:val="13"/>
          <w:szCs w:val="13"/>
          <w:color w:val="auto"/>
        </w:rPr>
      </w:pPr>
    </w:p>
    <w:p>
      <w:pPr>
        <w:ind w:left="540" w:hanging="316"/>
        <w:spacing w:after="0"/>
        <w:tabs>
          <w:tab w:leader="none" w:pos="5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background checks.</w:t>
      </w:r>
    </w:p>
    <w:p>
      <w:pPr>
        <w:spacing w:after="0" w:line="134" w:lineRule="exact"/>
        <w:rPr>
          <w:sz w:val="20"/>
          <w:szCs w:val="20"/>
          <w:color w:val="auto"/>
        </w:rPr>
      </w:pPr>
    </w:p>
    <w:p>
      <w:pPr>
        <w:ind w:right="160" w:firstLine="562"/>
        <w:spacing w:after="0" w:line="288" w:lineRule="auto"/>
        <w:rPr>
          <w:sz w:val="20"/>
          <w:szCs w:val="20"/>
          <w:color w:val="auto"/>
        </w:rPr>
      </w:pPr>
      <w:r>
        <w:rPr>
          <w:rFonts w:ascii="Arial" w:cs="Arial" w:eastAsia="Arial" w:hAnsi="Arial"/>
          <w:sz w:val="12"/>
          <w:szCs w:val="12"/>
          <w:color w:val="auto"/>
        </w:rPr>
        <w:t>Upon the completion of due diligence and a decision to proceed with an investment in a portfolio company, the team leading the investment presents the investment opportunity to our Investment Adviser’s investment committee. This committee determines whether to pursue the potential investment. All new investments are required to be reviewed by the investment committee of our Investment Adviser. The members of the investment committee receive no compensation from us. These members are employees of our Investment Adviser and receive compensation from our Investment Adviser.</w:t>
      </w:r>
    </w:p>
    <w:p>
      <w:pPr>
        <w:spacing w:after="0" w:line="84" w:lineRule="exact"/>
        <w:rPr>
          <w:sz w:val="20"/>
          <w:szCs w:val="20"/>
          <w:color w:val="auto"/>
        </w:rPr>
      </w:pPr>
    </w:p>
    <w:p>
      <w:pPr>
        <w:ind w:right="440" w:firstLine="562"/>
        <w:spacing w:after="0" w:line="274" w:lineRule="auto"/>
        <w:rPr>
          <w:sz w:val="20"/>
          <w:szCs w:val="20"/>
          <w:color w:val="auto"/>
        </w:rPr>
      </w:pPr>
      <w:r>
        <w:rPr>
          <w:rFonts w:ascii="Arial" w:cs="Arial" w:eastAsia="Arial" w:hAnsi="Arial"/>
          <w:sz w:val="13"/>
          <w:szCs w:val="13"/>
          <w:color w:val="auto"/>
        </w:rPr>
        <w:t>Additional due diligence with respect to any investment may be conducted on our behalf by attorneys and independent auditors prior to the closing of the investment, as well as other outside advisers, as appropriate.</w:t>
      </w:r>
    </w:p>
    <w:p>
      <w:pPr>
        <w:spacing w:after="0" w:line="91"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The Investment Adviser monitors credit risk of each portfolio company regularly and periodically with a goal toward identifying early, and when able and appropriate selling, Floating Rate Loans and other investments with potential credit problems. This monitoring process may include reviewing: (1) a portfolio company’s financial resources and operating history; (2) comparing a portfolio company’s current operating results with the Investment Adviser’s initial thesis for the investment and its expectations for the performance of the investment; (3) a portfolio company’s sensitivity to economic and industry conditions; (4) the performance of a portfolio company’s management; (5) a portfolio company’s debt maturities and borrowing requirements; (6) a portfolio company’s interest and asset coverage; and (7) the relative value of an investment based on a portfolio company’s anticipated cash flow.</w:t>
      </w:r>
    </w:p>
    <w:p>
      <w:pPr>
        <w:spacing w:after="0" w:line="108" w:lineRule="exact"/>
        <w:rPr>
          <w:sz w:val="20"/>
          <w:szCs w:val="20"/>
          <w:color w:val="auto"/>
        </w:rPr>
      </w:pPr>
    </w:p>
    <w:p>
      <w:pPr>
        <w:ind w:right="120" w:firstLine="562"/>
        <w:spacing w:after="0" w:line="274" w:lineRule="auto"/>
        <w:rPr>
          <w:sz w:val="20"/>
          <w:szCs w:val="20"/>
          <w:color w:val="auto"/>
        </w:rPr>
      </w:pPr>
      <w:r>
        <w:rPr>
          <w:rFonts w:ascii="Arial" w:cs="Arial" w:eastAsia="Arial" w:hAnsi="Arial"/>
          <w:sz w:val="13"/>
          <w:szCs w:val="13"/>
          <w:color w:val="auto"/>
        </w:rPr>
        <w:t>Under normal market conditions, we expect that at least 80% of our Managed Assets will be invested in Floating Rate Loans and other instruments bearing a variable rate of interest. This policy is not fundamental and may be changed by our board of directors with at least 60 days’ prior written notice provided to stockholders.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40"/>
          </w:cols>
          <w:pgMar w:left="32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firstLine="562"/>
        <w:spacing w:after="0" w:line="244" w:lineRule="auto"/>
        <w:rPr>
          <w:sz w:val="20"/>
          <w:szCs w:val="20"/>
          <w:color w:val="auto"/>
        </w:rPr>
      </w:pPr>
      <w:r>
        <w:rPr>
          <w:rFonts w:ascii="Arial" w:cs="Arial" w:eastAsia="Arial" w:hAnsi="Arial"/>
          <w:sz w:val="13"/>
          <w:szCs w:val="13"/>
          <w:color w:val="auto"/>
        </w:rPr>
        <w:t>The Investment Adviser seeks to achieve our investment objectives through a disciplined approach to the selection of credit investments and its evaluation of portfolio companies. The Investment Adviser also gains exposure to portfolio companies across a broad range of industries and of varying operating and financial characteristics and return profiles, as well as active management of such investments in light of economic developments and trends. However, we are classified as “non-diversified” under the 1940 Act, and our investment portfolio may be more concentrated than the portfolios of other issuers. We may take certain actions if short-term interest rates increase or market conditions otherwise change (or if we anticipate such an increase or change) and our use of leverage, if any, begins (or is expected) to adversely affect our common stockholders. To offset any potentially negative impact of leverage on common stockholders, we may shorten the average maturity of our investment portfolio (by investing in short-term securities) or may reduce our indebtedness or unwind other leveraged transactions. We may also attempt to reduce our use of leverage by redeeming or otherwise purchasing outstanding preferred stock or debt securities, if any.</w:t>
      </w:r>
    </w:p>
    <w:p>
      <w:pPr>
        <w:spacing w:after="0" w:line="111" w:lineRule="exact"/>
        <w:rPr>
          <w:sz w:val="20"/>
          <w:szCs w:val="20"/>
          <w:color w:val="auto"/>
        </w:rPr>
      </w:pPr>
    </w:p>
    <w:p>
      <w:pPr>
        <w:ind w:firstLine="562"/>
        <w:spacing w:after="0" w:line="256" w:lineRule="auto"/>
        <w:rPr>
          <w:sz w:val="20"/>
          <w:szCs w:val="20"/>
          <w:color w:val="auto"/>
        </w:rPr>
      </w:pPr>
      <w:r>
        <w:rPr>
          <w:rFonts w:ascii="Arial" w:cs="Arial" w:eastAsia="Arial" w:hAnsi="Arial"/>
          <w:sz w:val="13"/>
          <w:szCs w:val="13"/>
          <w:color w:val="auto"/>
        </w:rPr>
        <w:t>While our investment objectives are to seek high current income and capital appreciation through investments in Floating Rate Loans, we may invest up to 35% of the portfolio in opportunistic investments. These investments may include investments in high-yield bonds, distressed debt, private equity or securities of public companies and securities of companies located outside of the United States. We expect that investments in public foreign companies, if any, generally will be in debt securities that are non-investment grade.</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Investment Structure</w:t>
      </w:r>
    </w:p>
    <w:p>
      <w:pPr>
        <w:spacing w:after="0" w:line="80" w:lineRule="exact"/>
        <w:rPr>
          <w:sz w:val="20"/>
          <w:szCs w:val="20"/>
          <w:color w:val="auto"/>
        </w:rPr>
      </w:pPr>
    </w:p>
    <w:p>
      <w:pPr>
        <w:jc w:val="both"/>
        <w:ind w:right="40" w:firstLine="562"/>
        <w:spacing w:after="0" w:line="317" w:lineRule="auto"/>
        <w:rPr>
          <w:sz w:val="20"/>
          <w:szCs w:val="20"/>
          <w:color w:val="auto"/>
        </w:rPr>
      </w:pPr>
      <w:r>
        <w:rPr>
          <w:rFonts w:ascii="Arial" w:cs="Arial" w:eastAsia="Arial" w:hAnsi="Arial"/>
          <w:sz w:val="12"/>
          <w:szCs w:val="12"/>
          <w:color w:val="auto"/>
        </w:rPr>
        <w:t>Once we determine that a prospective portfolio company is suitable for investment, we work with the management of that portfolio company and its other capital providers, including senior, junior and equity capital providers, to structure an investment. We negotiate among these parties to agree on how our investment is structured relative to the other capital in the portfolio company’s capital structure.</w:t>
      </w:r>
    </w:p>
    <w:p>
      <w:pPr>
        <w:spacing w:after="0" w:line="67" w:lineRule="exact"/>
        <w:rPr>
          <w:sz w:val="20"/>
          <w:szCs w:val="20"/>
          <w:color w:val="auto"/>
        </w:rPr>
      </w:pPr>
    </w:p>
    <w:p>
      <w:pPr>
        <w:ind w:right="460" w:firstLine="562"/>
        <w:spacing w:after="0" w:line="274" w:lineRule="auto"/>
        <w:rPr>
          <w:sz w:val="20"/>
          <w:szCs w:val="20"/>
          <w:color w:val="auto"/>
        </w:rPr>
      </w:pPr>
      <w:r>
        <w:rPr>
          <w:rFonts w:ascii="Arial" w:cs="Arial" w:eastAsia="Arial" w:hAnsi="Arial"/>
          <w:sz w:val="13"/>
          <w:szCs w:val="13"/>
          <w:color w:val="auto"/>
        </w:rPr>
        <w:t>We expect our Floating Rate Loans to have terms of three to ten years. We may obtain security interests in the assets of our portfolio companies that will serve as collateral in support of the repayment of these loans. This collateral may take the form of first or second priority liens on the assets of a portfolio company.</w:t>
      </w:r>
    </w:p>
    <w:p>
      <w:pPr>
        <w:spacing w:after="0" w:line="91" w:lineRule="exact"/>
        <w:rPr>
          <w:sz w:val="20"/>
          <w:szCs w:val="20"/>
          <w:color w:val="auto"/>
        </w:rPr>
      </w:pPr>
    </w:p>
    <w:p>
      <w:pPr>
        <w:jc w:val="both"/>
        <w:ind w:right="140" w:firstLine="562"/>
        <w:spacing w:after="0" w:line="288" w:lineRule="auto"/>
        <w:rPr>
          <w:sz w:val="20"/>
          <w:szCs w:val="20"/>
          <w:color w:val="auto"/>
        </w:rPr>
      </w:pPr>
      <w:r>
        <w:rPr>
          <w:rFonts w:ascii="Arial" w:cs="Arial" w:eastAsia="Arial" w:hAnsi="Arial"/>
          <w:sz w:val="12"/>
          <w:szCs w:val="12"/>
          <w:color w:val="auto"/>
        </w:rPr>
        <w:t>Certain opportunistic investments may have interest-only payments in the early years with cash or payment-in-kind, or PIK, payments with amortization of principal deferred to the later years. In some cases, we may invest in debt securities that, by their terms, convert into equity or additional debt securities or defer payment of interest for the first few years after our investment. Also, in some cases our mezzanine debt may be collateralized by a subordinated lien on some or all of the assets of the borrower. Typically, our mezzanine debt has maturities of three to ten years.</w:t>
      </w:r>
    </w:p>
    <w:p>
      <w:pPr>
        <w:spacing w:after="0" w:line="84" w:lineRule="exact"/>
        <w:rPr>
          <w:sz w:val="20"/>
          <w:szCs w:val="20"/>
          <w:color w:val="auto"/>
        </w:rPr>
      </w:pPr>
    </w:p>
    <w:p>
      <w:pPr>
        <w:ind w:firstLine="337"/>
        <w:spacing w:after="0" w:line="256" w:lineRule="auto"/>
        <w:rPr>
          <w:sz w:val="20"/>
          <w:szCs w:val="20"/>
          <w:color w:val="auto"/>
        </w:rPr>
      </w:pPr>
      <w:r>
        <w:rPr>
          <w:rFonts w:ascii="Arial" w:cs="Arial" w:eastAsia="Arial" w:hAnsi="Arial"/>
          <w:sz w:val="13"/>
          <w:szCs w:val="13"/>
          <w:color w:val="auto"/>
        </w:rPr>
        <w:t>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48" w:lineRule="exact"/>
        <w:rPr>
          <w:sz w:val="20"/>
          <w:szCs w:val="20"/>
          <w:color w:val="auto"/>
        </w:rPr>
      </w:pPr>
    </w:p>
    <w:p>
      <w:pPr>
        <w:ind w:left="880" w:hanging="656"/>
        <w:spacing w:after="0"/>
        <w:tabs>
          <w:tab w:leader="none" w:pos="8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requiring a total or minimum return on our investments (including both interest in the form of a floor and potential equity appreciation) that compensates us for credit risk;</w:t>
      </w:r>
    </w:p>
    <w:p>
      <w:pPr>
        <w:spacing w:after="0" w:line="80" w:lineRule="exact"/>
        <w:rPr>
          <w:rFonts w:ascii="Arial" w:cs="Arial" w:eastAsia="Arial" w:hAnsi="Arial"/>
          <w:sz w:val="13"/>
          <w:szCs w:val="13"/>
          <w:color w:val="auto"/>
        </w:rPr>
      </w:pPr>
    </w:p>
    <w:p>
      <w:pPr>
        <w:ind w:left="880" w:hanging="656"/>
        <w:spacing w:after="0"/>
        <w:tabs>
          <w:tab w:leader="none" w:pos="8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incorporating “put” rights and call protection into the investment structure; and</w:t>
      </w:r>
    </w:p>
    <w:p>
      <w:pPr>
        <w:spacing w:after="0" w:line="80" w:lineRule="exact"/>
        <w:rPr>
          <w:rFonts w:ascii="Arial" w:cs="Arial" w:eastAsia="Arial" w:hAnsi="Arial"/>
          <w:sz w:val="13"/>
          <w:szCs w:val="13"/>
          <w:color w:val="auto"/>
        </w:rPr>
      </w:pPr>
    </w:p>
    <w:p>
      <w:pPr>
        <w:ind w:left="880" w:right="440" w:hanging="656"/>
        <w:spacing w:after="0" w:line="256" w:lineRule="auto"/>
        <w:tabs>
          <w:tab w:leader="none" w:pos="8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negotiating covenants in connection with our investments that afford our portfolio companies as much flexibility in managing their businesses as possible, consistent with our focus of preserving capital. Such restrictions may include affirmative and negative covenants, default penalties, lien protection, change of control provisions and board rights, including either observation or participation rights.</w:t>
      </w:r>
    </w:p>
    <w:p>
      <w:pPr>
        <w:spacing w:after="0" w:line="102" w:lineRule="exact"/>
        <w:rPr>
          <w:sz w:val="20"/>
          <w:szCs w:val="20"/>
          <w:color w:val="auto"/>
        </w:rPr>
      </w:pPr>
    </w:p>
    <w:p>
      <w:pPr>
        <w:ind w:right="80" w:firstLine="562"/>
        <w:spacing w:after="0" w:line="278" w:lineRule="auto"/>
        <w:rPr>
          <w:sz w:val="20"/>
          <w:szCs w:val="20"/>
          <w:color w:val="auto"/>
        </w:rPr>
      </w:pPr>
      <w:r>
        <w:rPr>
          <w:rFonts w:ascii="Arial" w:cs="Arial" w:eastAsia="Arial" w:hAnsi="Arial"/>
          <w:sz w:val="12"/>
          <w:szCs w:val="12"/>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portfolio company, upon the occurrence of specified events. In many cases, we may also obtain registration rights in connection with these equity investments, which may include demand and “piggyback” registration rights.</w:t>
      </w:r>
    </w:p>
    <w:p>
      <w:pPr>
        <w:spacing w:after="0" w:line="90" w:lineRule="exact"/>
        <w:rPr>
          <w:sz w:val="20"/>
          <w:szCs w:val="20"/>
          <w:color w:val="auto"/>
        </w:rPr>
      </w:pPr>
    </w:p>
    <w:p>
      <w:pPr>
        <w:ind w:right="460" w:firstLine="562"/>
        <w:spacing w:after="0" w:line="274" w:lineRule="auto"/>
        <w:rPr>
          <w:sz w:val="20"/>
          <w:szCs w:val="20"/>
          <w:color w:val="auto"/>
        </w:rPr>
      </w:pPr>
      <w:r>
        <w:rPr>
          <w:rFonts w:ascii="Arial" w:cs="Arial" w:eastAsia="Arial" w:hAnsi="Arial"/>
          <w:sz w:val="13"/>
          <w:szCs w:val="13"/>
          <w:color w:val="auto"/>
        </w:rPr>
        <w:t>We expect to hold most of our investments to maturity or repayment, but we may sell certain investments earlier if a liquidity event takes place, such as the sale or refinancing of a portfolio company. We also may turn over investments to better position the portfolio in light of market conditions.</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Ongoing Relationships with Portfolio Companies</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Monitoring</w:t>
      </w:r>
    </w:p>
    <w:p>
      <w:pPr>
        <w:spacing w:after="0" w:line="80" w:lineRule="exact"/>
        <w:rPr>
          <w:sz w:val="20"/>
          <w:szCs w:val="20"/>
          <w:color w:val="auto"/>
        </w:rPr>
      </w:pPr>
    </w:p>
    <w:p>
      <w:pPr>
        <w:ind w:right="260" w:firstLine="562"/>
        <w:spacing w:after="0" w:line="274" w:lineRule="auto"/>
        <w:rPr>
          <w:sz w:val="20"/>
          <w:szCs w:val="20"/>
          <w:color w:val="auto"/>
        </w:rPr>
      </w:pPr>
      <w:r>
        <w:rPr>
          <w:rFonts w:ascii="Arial" w:cs="Arial" w:eastAsia="Arial" w:hAnsi="Arial"/>
          <w:sz w:val="13"/>
          <w:szCs w:val="13"/>
          <w:color w:val="auto"/>
        </w:rPr>
        <w:t>The Investment Adviser monitors our portfolio companies on an ongoing basis. The Investment Adviser monitors the financial trends of each portfolio company to determine if it is meeting its business plans and to assess the appropriate course of action for each portfolio company.</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200"/>
          </w:cols>
          <w:pgMar w:left="320" w:top="459" w:right="3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Investment Adviser has several methods of evaluating and monitoring the performance and fair value of our investments, which may include the following:</w:t>
      </w:r>
    </w:p>
    <w:p>
      <w:pPr>
        <w:spacing w:after="0" w:line="148" w:lineRule="exact"/>
        <w:rPr>
          <w:sz w:val="20"/>
          <w:szCs w:val="20"/>
          <w:color w:val="auto"/>
        </w:rPr>
      </w:pPr>
    </w:p>
    <w:p>
      <w:pPr>
        <w:ind w:left="880" w:hanging="656"/>
        <w:spacing w:after="0"/>
        <w:tabs>
          <w:tab w:leader="none" w:pos="8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Assessment of success in adhering to a portfolio company’s business plan and compliance with covenants;</w:t>
      </w:r>
    </w:p>
    <w:p>
      <w:pPr>
        <w:spacing w:after="0" w:line="147" w:lineRule="exact"/>
        <w:rPr>
          <w:rFonts w:ascii="Arial" w:cs="Arial" w:eastAsia="Arial" w:hAnsi="Arial"/>
          <w:sz w:val="13"/>
          <w:szCs w:val="13"/>
          <w:color w:val="auto"/>
        </w:rPr>
      </w:pPr>
    </w:p>
    <w:p>
      <w:pPr>
        <w:ind w:left="880" w:hanging="656"/>
        <w:spacing w:after="0"/>
        <w:tabs>
          <w:tab w:leader="none" w:pos="8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Periodic or regular contact with portfolio company management and, if appropriate, the financial or strategic sponsor, to discuss financial position, requirements and accomplishments;</w:t>
      </w:r>
    </w:p>
    <w:p>
      <w:pPr>
        <w:spacing w:after="0" w:line="159" w:lineRule="exact"/>
        <w:rPr>
          <w:rFonts w:ascii="Arial" w:cs="Arial" w:eastAsia="Arial" w:hAnsi="Arial"/>
          <w:sz w:val="12"/>
          <w:szCs w:val="12"/>
          <w:color w:val="auto"/>
        </w:rPr>
      </w:pPr>
    </w:p>
    <w:p>
      <w:pPr>
        <w:ind w:left="880" w:hanging="656"/>
        <w:spacing w:after="0"/>
        <w:tabs>
          <w:tab w:leader="none" w:pos="8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Comparisons to other portfolio companies in the industry, if any;</w:t>
      </w:r>
    </w:p>
    <w:p>
      <w:pPr>
        <w:spacing w:after="0" w:line="147" w:lineRule="exact"/>
        <w:rPr>
          <w:rFonts w:ascii="Arial" w:cs="Arial" w:eastAsia="Arial" w:hAnsi="Arial"/>
          <w:sz w:val="13"/>
          <w:szCs w:val="13"/>
          <w:color w:val="auto"/>
        </w:rPr>
      </w:pPr>
    </w:p>
    <w:p>
      <w:pPr>
        <w:ind w:left="880" w:hanging="656"/>
        <w:spacing w:after="0"/>
        <w:tabs>
          <w:tab w:leader="none" w:pos="8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Attendance at and participation in board meetings or presentations by portfolio companies; and</w:t>
      </w:r>
    </w:p>
    <w:p>
      <w:pPr>
        <w:spacing w:after="0" w:line="147" w:lineRule="exact"/>
        <w:rPr>
          <w:rFonts w:ascii="Arial" w:cs="Arial" w:eastAsia="Arial" w:hAnsi="Arial"/>
          <w:sz w:val="13"/>
          <w:szCs w:val="13"/>
          <w:color w:val="auto"/>
        </w:rPr>
      </w:pPr>
    </w:p>
    <w:p>
      <w:pPr>
        <w:ind w:left="880" w:hanging="656"/>
        <w:spacing w:after="0"/>
        <w:tabs>
          <w:tab w:leader="none" w:pos="8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Review of monthly and quarterly financial statements and financial projections of portfolio companies.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Managerial assistance</w:t>
      </w:r>
    </w:p>
    <w:p>
      <w:pPr>
        <w:spacing w:after="0" w:line="80" w:lineRule="exact"/>
        <w:rPr>
          <w:sz w:val="20"/>
          <w:szCs w:val="20"/>
          <w:color w:val="auto"/>
        </w:rPr>
      </w:pPr>
    </w:p>
    <w:p>
      <w:pPr>
        <w:ind w:right="580" w:firstLine="562"/>
        <w:spacing w:after="0" w:line="274" w:lineRule="auto"/>
        <w:rPr>
          <w:sz w:val="20"/>
          <w:szCs w:val="20"/>
          <w:color w:val="auto"/>
        </w:rPr>
      </w:pPr>
      <w:r>
        <w:rPr>
          <w:rFonts w:ascii="Arial" w:cs="Arial" w:eastAsia="Arial" w:hAnsi="Arial"/>
          <w:sz w:val="13"/>
          <w:szCs w:val="13"/>
          <w:color w:val="auto"/>
        </w:rPr>
        <w:t>We offer managerial assistance to our portfolio companies. As a BDC, we are required to make available such managerial assistance within the meaning of section 55 of the 1940 Act. See “Regulation” for more information.</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Staffing</w:t>
      </w:r>
    </w:p>
    <w:p>
      <w:pPr>
        <w:spacing w:after="0" w:line="80" w:lineRule="exact"/>
        <w:rPr>
          <w:sz w:val="20"/>
          <w:szCs w:val="20"/>
          <w:color w:val="auto"/>
        </w:rPr>
      </w:pPr>
    </w:p>
    <w:p>
      <w:pPr>
        <w:ind w:right="220" w:firstLine="562"/>
        <w:spacing w:after="0" w:line="274" w:lineRule="auto"/>
        <w:rPr>
          <w:sz w:val="20"/>
          <w:szCs w:val="20"/>
          <w:color w:val="auto"/>
        </w:rPr>
      </w:pPr>
      <w:r>
        <w:rPr>
          <w:rFonts w:ascii="Arial" w:cs="Arial" w:eastAsia="Arial" w:hAnsi="Arial"/>
          <w:sz w:val="13"/>
          <w:szCs w:val="13"/>
          <w:color w:val="auto"/>
        </w:rPr>
        <w:t>We do not currently have any employees. Our Investment Adviser and Administrator have hired and expect to continue to hire professionals with skills applicable to our business plan, including experience in middle-market investing, mezzanine lending, leveraged finance, distressed debt and private equity businesses.</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Investment Management Agreement</w:t>
      </w:r>
    </w:p>
    <w:p>
      <w:pPr>
        <w:spacing w:after="0" w:line="80" w:lineRule="exact"/>
        <w:rPr>
          <w:sz w:val="20"/>
          <w:szCs w:val="20"/>
          <w:color w:val="auto"/>
        </w:rPr>
      </w:pPr>
    </w:p>
    <w:p>
      <w:pPr>
        <w:ind w:right="40" w:firstLine="562"/>
        <w:spacing w:after="0" w:line="273" w:lineRule="auto"/>
        <w:rPr>
          <w:sz w:val="20"/>
          <w:szCs w:val="20"/>
          <w:color w:val="auto"/>
        </w:rPr>
      </w:pPr>
      <w:r>
        <w:rPr>
          <w:rFonts w:ascii="Arial" w:cs="Arial" w:eastAsia="Arial" w:hAnsi="Arial"/>
          <w:sz w:val="12"/>
          <w:szCs w:val="12"/>
          <w:color w:val="auto"/>
        </w:rPr>
        <w:t>PennantPark Floating Rate Capital Ltd. has entered into the Investment Management Agreement with the Investment Adviser under which the Investment Adviser, subject to the overall supervision of the Company’s board of directors, manages the day-to-day operations of and provides investment advisory services to the Company. Mr. Penn, our Chairman and Chief Executive Officer, is the managing member and a senior investment professional of, and has a financial and controlling interests in PennantPark Investment Advisers. The Investment Adviser, as collateral manager for Funding I, manages day-to-day operations of and provides investment advisory services to Funding I under its collateral management agreement. Funding I’s collateral management agreement does not affect the management or incentive fees that we pay to the Investment Adviser on a consolidated basis. Under the terms of our Investment Management Agreement, PennantPark Investment Advisers:</w:t>
      </w:r>
    </w:p>
    <w:p>
      <w:pPr>
        <w:spacing w:after="0" w:line="106" w:lineRule="exact"/>
        <w:rPr>
          <w:sz w:val="20"/>
          <w:szCs w:val="20"/>
          <w:color w:val="auto"/>
        </w:rPr>
      </w:pPr>
    </w:p>
    <w:p>
      <w:pPr>
        <w:ind w:left="660" w:hanging="436"/>
        <w:spacing w:after="0"/>
        <w:tabs>
          <w:tab w:leader="none" w:pos="6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determines the composition of our portfolio, the nature and timing of the changes to our portfolio and the manner of implementing such changes;</w:t>
      </w:r>
    </w:p>
    <w:p>
      <w:pPr>
        <w:spacing w:after="0" w:line="147" w:lineRule="exact"/>
        <w:rPr>
          <w:rFonts w:ascii="Arial" w:cs="Arial" w:eastAsia="Arial" w:hAnsi="Arial"/>
          <w:sz w:val="13"/>
          <w:szCs w:val="13"/>
          <w:color w:val="auto"/>
        </w:rPr>
      </w:pPr>
    </w:p>
    <w:p>
      <w:pPr>
        <w:ind w:left="660" w:hanging="436"/>
        <w:spacing w:after="0"/>
        <w:tabs>
          <w:tab w:leader="none" w:pos="6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identifies, evaluates and negotiates the structure of the investments we make (including performing due diligence on our prospective portfolio companies);</w:t>
      </w:r>
    </w:p>
    <w:p>
      <w:pPr>
        <w:spacing w:after="0" w:line="147" w:lineRule="exact"/>
        <w:rPr>
          <w:rFonts w:ascii="Arial" w:cs="Arial" w:eastAsia="Arial" w:hAnsi="Arial"/>
          <w:sz w:val="13"/>
          <w:szCs w:val="13"/>
          <w:color w:val="auto"/>
        </w:rPr>
      </w:pPr>
    </w:p>
    <w:p>
      <w:pPr>
        <w:ind w:left="660" w:hanging="436"/>
        <w:spacing w:after="0"/>
        <w:tabs>
          <w:tab w:leader="none" w:pos="6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closes and monitors the investments and other assets we make or acquire; and</w:t>
      </w:r>
    </w:p>
    <w:p>
      <w:pPr>
        <w:spacing w:after="0" w:line="147" w:lineRule="exact"/>
        <w:rPr>
          <w:rFonts w:ascii="Arial" w:cs="Arial" w:eastAsia="Arial" w:hAnsi="Arial"/>
          <w:sz w:val="13"/>
          <w:szCs w:val="13"/>
          <w:color w:val="auto"/>
        </w:rPr>
      </w:pPr>
    </w:p>
    <w:p>
      <w:pPr>
        <w:ind w:left="660" w:hanging="436"/>
        <w:spacing w:after="0"/>
        <w:tabs>
          <w:tab w:leader="none" w:pos="6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provides us with such other investment advisory, research and related services as we may need from time to time.</w:t>
      </w:r>
    </w:p>
    <w:p>
      <w:pPr>
        <w:spacing w:after="0" w:line="134" w:lineRule="exact"/>
        <w:rPr>
          <w:sz w:val="20"/>
          <w:szCs w:val="20"/>
          <w:color w:val="auto"/>
        </w:rPr>
      </w:pPr>
    </w:p>
    <w:p>
      <w:pPr>
        <w:jc w:val="both"/>
        <w:ind w:right="60" w:firstLine="562"/>
        <w:spacing w:after="0" w:line="288" w:lineRule="auto"/>
        <w:rPr>
          <w:sz w:val="20"/>
          <w:szCs w:val="20"/>
          <w:color w:val="auto"/>
        </w:rPr>
      </w:pPr>
      <w:r>
        <w:rPr>
          <w:rFonts w:ascii="Arial" w:cs="Arial" w:eastAsia="Arial" w:hAnsi="Arial"/>
          <w:sz w:val="12"/>
          <w:szCs w:val="12"/>
          <w:color w:val="auto"/>
        </w:rPr>
        <w:t>PennantPark Investment Advisers’ services under our Investment Management Agreement are not exclusive, and it is free to furnish similar services, without the prior approval of our stockholders or our board of directors, to other entities so long as its services to us are not impaired. Our board of directors monitors for any potential conflicts that may arise upon such a development. For providing these services, the Investment Adviser receives a fee from us, consisting of two components—a base management fee and an incentive fee, collectively, Management Fees.</w:t>
      </w:r>
    </w:p>
    <w:p>
      <w:pPr>
        <w:spacing w:after="0" w:line="138"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Investment Advisory Fees</w:t>
      </w:r>
    </w:p>
    <w:p>
      <w:pPr>
        <w:spacing w:after="0" w:line="80" w:lineRule="exact"/>
        <w:rPr>
          <w:sz w:val="20"/>
          <w:szCs w:val="20"/>
          <w:color w:val="auto"/>
        </w:rPr>
      </w:pPr>
    </w:p>
    <w:p>
      <w:pPr>
        <w:ind w:firstLine="562"/>
        <w:spacing w:after="0" w:line="268" w:lineRule="auto"/>
        <w:rPr>
          <w:sz w:val="20"/>
          <w:szCs w:val="20"/>
          <w:color w:val="auto"/>
        </w:rPr>
      </w:pPr>
      <w:r>
        <w:rPr>
          <w:rFonts w:ascii="Arial" w:cs="Arial" w:eastAsia="Arial" w:hAnsi="Arial"/>
          <w:sz w:val="12"/>
          <w:szCs w:val="12"/>
          <w:color w:val="auto"/>
        </w:rPr>
        <w:t>The base management fee is calculated at an annual rate of 1.00% of our gross assets (net of U.S. Treasury Bills, temporary draws under any Credit Facility, repurchase agreements or other balance sheet transactions undertaken at the end of a fiscal quarter for purposes of preserving investment flexibility for the next quarter, or “average adjusted gross assets,” if any (see example below)) and is payable quarterly in arrears. The base management fee is calculated based on the average value of our average adjusted gross total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Base management fees for any partial month or quarter are appropriately pro-rated. For the fiscal year ended September 30, 2012, and for the period March 4, 2011 (commencement of operations) to September 30, 2011, the Investment Adviser earned base management fees of $1.5 million and $0.4 million, respectively, from us.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240"/>
          </w:cols>
          <w:pgMar w:left="320" w:top="45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following is a hypothetical example of the calculation of average adjusted gross assets:</w:t>
      </w:r>
    </w:p>
    <w:p>
      <w:pPr>
        <w:spacing w:after="0" w:line="13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Gross assets as of December 31, 20XX = $160 million</w:t>
      </w:r>
    </w:p>
    <w:p>
      <w:pPr>
        <w:spacing w:after="0" w:line="1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U.S. Treasury bills and temporary draws on credit facilities as of December 31, 20XX = $10 million</w:t>
      </w:r>
    </w:p>
    <w:p>
      <w:pPr>
        <w:ind w:left="560"/>
        <w:spacing w:after="0"/>
        <w:rPr>
          <w:sz w:val="20"/>
          <w:szCs w:val="20"/>
          <w:color w:val="auto"/>
        </w:rPr>
      </w:pPr>
      <w:r>
        <w:rPr>
          <w:rFonts w:ascii="Arial" w:cs="Arial" w:eastAsia="Arial" w:hAnsi="Arial"/>
          <w:sz w:val="13"/>
          <w:szCs w:val="13"/>
          <w:color w:val="auto"/>
        </w:rPr>
        <w:t>Adjusted gross assets as of December 31, 20XX = $150 million</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Gross assets as of March 31, 20XX = $200 million</w:t>
      </w:r>
    </w:p>
    <w:p>
      <w:pPr>
        <w:spacing w:after="0" w:line="1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U.S. Treasury bills and temporary draws on credit facilities as of March 31, 20XX = $20 million</w:t>
      </w:r>
    </w:p>
    <w:p>
      <w:pPr>
        <w:ind w:left="560"/>
        <w:spacing w:after="0"/>
        <w:rPr>
          <w:sz w:val="20"/>
          <w:szCs w:val="20"/>
          <w:color w:val="auto"/>
        </w:rPr>
      </w:pPr>
      <w:r>
        <w:rPr>
          <w:rFonts w:ascii="Arial" w:cs="Arial" w:eastAsia="Arial" w:hAnsi="Arial"/>
          <w:sz w:val="13"/>
          <w:szCs w:val="13"/>
          <w:color w:val="auto"/>
        </w:rPr>
        <w:t>Adjusted gross assets as of March 31, 20XX = $180 million</w:t>
      </w:r>
    </w:p>
    <w:p>
      <w:pPr>
        <w:spacing w:after="0" w:line="122" w:lineRule="exact"/>
        <w:rPr>
          <w:sz w:val="20"/>
          <w:szCs w:val="20"/>
          <w:color w:val="auto"/>
        </w:rPr>
      </w:pPr>
    </w:p>
    <w:p>
      <w:pPr>
        <w:ind w:right="280"/>
        <w:spacing w:after="0" w:line="274" w:lineRule="auto"/>
        <w:rPr>
          <w:sz w:val="20"/>
          <w:szCs w:val="20"/>
          <w:color w:val="auto"/>
        </w:rPr>
      </w:pPr>
      <w:r>
        <w:rPr>
          <w:rFonts w:ascii="Arial" w:cs="Arial" w:eastAsia="Arial" w:hAnsi="Arial"/>
          <w:sz w:val="13"/>
          <w:szCs w:val="13"/>
          <w:color w:val="auto"/>
        </w:rPr>
        <w:t>Average value of adjusted gross assets as of March 31, 20XX at the end of the two most recently completed calendar quarters, and appropriately adjusted for any share issuances or repurchases during the current calendar quarter = ($150 million + $180 million) / 2 = $165 million</w:t>
      </w:r>
    </w:p>
    <w:p>
      <w:pPr>
        <w:spacing w:after="0" w:line="9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incentive fee has two parts, as follows:</w:t>
      </w:r>
    </w:p>
    <w:p>
      <w:pPr>
        <w:spacing w:after="0" w:line="53" w:lineRule="exact"/>
        <w:rPr>
          <w:sz w:val="20"/>
          <w:szCs w:val="20"/>
          <w:color w:val="auto"/>
        </w:rPr>
      </w:pPr>
    </w:p>
    <w:p>
      <w:pPr>
        <w:ind w:firstLine="562"/>
        <w:spacing w:after="0" w:line="261" w:lineRule="auto"/>
        <w:rPr>
          <w:sz w:val="20"/>
          <w:szCs w:val="20"/>
          <w:color w:val="auto"/>
        </w:rPr>
      </w:pPr>
      <w:r>
        <w:rPr>
          <w:rFonts w:ascii="Arial" w:cs="Arial" w:eastAsia="Arial" w:hAnsi="Arial"/>
          <w:sz w:val="12"/>
          <w:szCs w:val="12"/>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original issue discount, or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on the value of our net assets at the end of the immediately preceding calendar quarter, is compared to the hurdle rate of</w:t>
      </w:r>
    </w:p>
    <w:p>
      <w:pPr>
        <w:spacing w:after="0" w:line="1" w:lineRule="exact"/>
        <w:rPr>
          <w:sz w:val="20"/>
          <w:szCs w:val="20"/>
          <w:color w:val="auto"/>
        </w:rPr>
      </w:pPr>
    </w:p>
    <w:p>
      <w:pPr>
        <w:spacing w:after="0" w:line="266" w:lineRule="auto"/>
        <w:rPr>
          <w:sz w:val="20"/>
          <w:szCs w:val="20"/>
          <w:color w:val="auto"/>
        </w:rPr>
      </w:pPr>
      <w:r>
        <w:rPr>
          <w:rFonts w:ascii="Arial" w:cs="Arial" w:eastAsia="Arial" w:hAnsi="Arial"/>
          <w:sz w:val="12"/>
          <w:szCs w:val="12"/>
          <w:color w:val="auto"/>
        </w:rPr>
        <w:t>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and (3) 20% of the amount of our Pre-Incentive Fee Net Investment Income, if any, that exceeds 2.9167% in any calendar quarter. These calculations are pro-rated for any share issuances or repurchases during the relevant quarter. The performance based incentive fee on net investment income due to our Investment Adviser as calculated under the Investment Management Agreement (as described above) for the year ended September 30, 2012, and for the period March 4, 2011 (commencement of operations) to September 30, 2011, resulted in an accrual of $0.3 million and in no accrual, respectively.</w:t>
      </w:r>
    </w:p>
    <w:p>
      <w:pPr>
        <w:spacing w:after="0" w:line="96" w:lineRule="exact"/>
        <w:rPr>
          <w:sz w:val="20"/>
          <w:szCs w:val="20"/>
          <w:color w:val="auto"/>
        </w:rPr>
      </w:pPr>
    </w:p>
    <w:p>
      <w:pPr>
        <w:ind w:left="2480"/>
        <w:spacing w:after="0"/>
        <w:rPr>
          <w:sz w:val="20"/>
          <w:szCs w:val="20"/>
          <w:color w:val="auto"/>
        </w:rPr>
      </w:pPr>
      <w:r>
        <w:rPr>
          <w:rFonts w:ascii="Arial" w:cs="Arial" w:eastAsia="Arial" w:hAnsi="Arial"/>
          <w:sz w:val="13"/>
          <w:szCs w:val="13"/>
          <w:color w:val="auto"/>
        </w:rPr>
        <w:t>The following is a graphical representation of calculation of quarterly incentive fee based on Net Investment Income</w:t>
      </w:r>
    </w:p>
    <w:p>
      <w:pPr>
        <w:spacing w:after="0" w:line="134" w:lineRule="exact"/>
        <w:rPr>
          <w:sz w:val="20"/>
          <w:szCs w:val="20"/>
          <w:color w:val="auto"/>
        </w:rPr>
      </w:pPr>
    </w:p>
    <w:p>
      <w:pPr>
        <w:ind w:left="4460"/>
        <w:spacing w:after="0"/>
        <w:rPr>
          <w:sz w:val="20"/>
          <w:szCs w:val="20"/>
          <w:color w:val="auto"/>
        </w:rPr>
      </w:pPr>
      <w:r>
        <w:rPr>
          <w:rFonts w:ascii="Arial" w:cs="Arial" w:eastAsia="Arial" w:hAnsi="Arial"/>
          <w:sz w:val="13"/>
          <w:szCs w:val="13"/>
          <w:b w:val="1"/>
          <w:bCs w:val="1"/>
          <w:i w:val="1"/>
          <w:iCs w:val="1"/>
          <w:color w:val="auto"/>
        </w:rPr>
        <w:t>Pre-Incentive Fee Net Investment Income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i w:val="1"/>
          <w:i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2482215</wp:posOffset>
            </wp:positionH>
            <wp:positionV relativeFrom="paragraph">
              <wp:posOffset>178435</wp:posOffset>
            </wp:positionV>
            <wp:extent cx="2185670" cy="3854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85670" cy="38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Percentage of Pre-Incentive Fee Net Investment Income</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allocated to income-related portion of incentive fee</w:t>
      </w:r>
    </w:p>
    <w:p>
      <w:pPr>
        <w:spacing w:after="0" w:line="122" w:lineRule="exact"/>
        <w:rPr>
          <w:sz w:val="20"/>
          <w:szCs w:val="20"/>
          <w:color w:val="auto"/>
        </w:rPr>
      </w:pPr>
    </w:p>
    <w:p>
      <w:pPr>
        <w:ind w:firstLine="562"/>
        <w:spacing w:after="0" w:line="288" w:lineRule="auto"/>
        <w:rPr>
          <w:sz w:val="20"/>
          <w:szCs w:val="20"/>
          <w:color w:val="auto"/>
        </w:rPr>
      </w:pPr>
      <w:r>
        <w:rPr>
          <w:rFonts w:ascii="Arial" w:cs="Arial" w:eastAsia="Arial" w:hAnsi="Arial"/>
          <w:sz w:val="12"/>
          <w:szCs w:val="12"/>
          <w:color w:val="auto"/>
        </w:rPr>
        <w:t>These calculations will be appropriately pro-rated for any period of less than three months and adjusted for any share issuances or repurchases during the relevant quarter. You should be aware that a rise in the general level of interest rates can be expected to lead to higher interest income applicable to our debt investments. Accordingly, an increase in interest rates would make it easier for us to meet or exceed the incentive fee hurdle rate and may result in a substantial increase in incentive fees payable to the Investment Adviser with respect to Pre-Incentive Fee Net Investment Income.</w:t>
      </w:r>
    </w:p>
    <w:p>
      <w:pPr>
        <w:spacing w:after="0" w:line="84" w:lineRule="exact"/>
        <w:rPr>
          <w:sz w:val="20"/>
          <w:szCs w:val="20"/>
          <w:color w:val="auto"/>
        </w:rPr>
      </w:pPr>
    </w:p>
    <w:p>
      <w:pPr>
        <w:ind w:right="120" w:firstLine="562"/>
        <w:spacing w:after="0" w:line="247" w:lineRule="auto"/>
        <w:rPr>
          <w:sz w:val="20"/>
          <w:szCs w:val="20"/>
          <w:color w:val="auto"/>
        </w:rPr>
      </w:pPr>
      <w:r>
        <w:rPr>
          <w:rFonts w:ascii="Arial" w:cs="Arial" w:eastAsia="Arial" w:hAnsi="Arial"/>
          <w:sz w:val="13"/>
          <w:szCs w:val="13"/>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commencement of operations through the end of each calendar year, computed net of all realized capital losses and unrealized capital depreciation on a cumulative basis, less the aggregate amount of any previously paid capital gain incentive fees, from our inception. The performance-based incentive fee on capital gains due to our Investment Adviser as calculated under the Investment Management Agreement (as described above) for the year ended September 30, 2012, and for the period March 4, 2011 (commencement of operations) to September 30, 2011, resulted no accruals, respectively.</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240"/>
          </w:cols>
          <w:pgMar w:left="320" w:top="459"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firstLine="562"/>
        <w:spacing w:after="0" w:line="266" w:lineRule="auto"/>
        <w:rPr>
          <w:sz w:val="20"/>
          <w:szCs w:val="20"/>
          <w:color w:val="auto"/>
        </w:rPr>
      </w:pPr>
      <w:r>
        <w:rPr>
          <w:rFonts w:ascii="Arial" w:cs="Arial" w:eastAsia="Arial" w:hAnsi="Arial"/>
          <w:sz w:val="12"/>
          <w:szCs w:val="12"/>
          <w:color w:val="auto"/>
        </w:rPr>
        <w:t>Under U.S. generally accepted accounting principles, or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20.0% of such amount, less the aggregate amount of actual capital gains related incentive fees paid in all prior years. If such amount is negative, then there is no accrual for such year. There can be no assurance that such unrealized capital appreciation will be realized in the future. The performance based incentive fee on our unrealized and realized capital gains due to our Investment Adviser for the year ended September 30, 2012 resulted in an accrual of $0.3 million. For the period from March 4, 2011 (commencement of operations) to September 30, 2011, our unrealized and realized capital gains did not exceed our cumulative realized and unrealized losses and resulted in no accrual under GAAP.</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Examples of Quarterly Incentive Fee Calculation</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Example 1: Income Related Portion of Incentive Fee (*):</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Alternative 1:</w:t>
      </w:r>
    </w:p>
    <w:p>
      <w:pPr>
        <w:spacing w:after="0" w:line="82" w:lineRule="exact"/>
        <w:rPr>
          <w:sz w:val="20"/>
          <w:szCs w:val="20"/>
          <w:color w:val="auto"/>
        </w:rPr>
      </w:pPr>
    </w:p>
    <w:p>
      <w:pPr>
        <w:ind w:left="560"/>
        <w:spacing w:after="0"/>
        <w:rPr>
          <w:sz w:val="20"/>
          <w:szCs w:val="20"/>
          <w:color w:val="auto"/>
        </w:rPr>
      </w:pPr>
      <w:r>
        <w:rPr>
          <w:rFonts w:ascii="Arial" w:cs="Arial" w:eastAsia="Arial" w:hAnsi="Arial"/>
          <w:sz w:val="13"/>
          <w:szCs w:val="13"/>
          <w:i w:val="1"/>
          <w:iCs w:val="1"/>
          <w:color w:val="auto"/>
        </w:rPr>
        <w:t>Assumptions</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Investment income (including interest, dividends, fees, etc.) = 1.25%</w:t>
      </w:r>
    </w:p>
    <w:p>
      <w:pPr>
        <w:spacing w:after="0" w:line="48" w:lineRule="exact"/>
        <w:rPr>
          <w:sz w:val="20"/>
          <w:szCs w:val="20"/>
          <w:color w:val="auto"/>
        </w:rPr>
      </w:pPr>
    </w:p>
    <w:p>
      <w:pPr>
        <w:ind w:left="560"/>
        <w:spacing w:after="0"/>
        <w:rPr>
          <w:sz w:val="20"/>
          <w:szCs w:val="20"/>
          <w:color w:val="auto"/>
        </w:rPr>
      </w:pPr>
      <w:r>
        <w:rPr>
          <w:rFonts w:ascii="Arial" w:cs="Arial" w:eastAsia="Arial" w:hAnsi="Arial"/>
          <w:sz w:val="13"/>
          <w:szCs w:val="13"/>
          <w:color w:val="auto"/>
        </w:rPr>
        <w:t>Hurdle</w:t>
      </w:r>
      <w:r>
        <w:rPr>
          <w:rFonts w:ascii="Arial" w:cs="Arial" w:eastAsia="Arial" w:hAnsi="Arial"/>
          <w:sz w:val="22"/>
          <w:szCs w:val="22"/>
          <w:color w:val="auto"/>
          <w:vertAlign w:val="superscript"/>
        </w:rPr>
        <w:t>(1)</w:t>
      </w:r>
      <w:r>
        <w:rPr>
          <w:rFonts w:ascii="Arial" w:cs="Arial" w:eastAsia="Arial" w:hAnsi="Arial"/>
          <w:sz w:val="13"/>
          <w:szCs w:val="13"/>
          <w:color w:val="auto"/>
        </w:rPr>
        <w:t xml:space="preserve"> = 1.75%</w:t>
      </w:r>
    </w:p>
    <w:p>
      <w:pPr>
        <w:ind w:left="560"/>
        <w:spacing w:after="0" w:line="237" w:lineRule="auto"/>
        <w:rPr>
          <w:sz w:val="20"/>
          <w:szCs w:val="20"/>
          <w:color w:val="auto"/>
        </w:rPr>
      </w:pPr>
      <w:r>
        <w:rPr>
          <w:rFonts w:ascii="Arial" w:cs="Arial" w:eastAsia="Arial" w:hAnsi="Arial"/>
          <w:sz w:val="13"/>
          <w:szCs w:val="13"/>
          <w:color w:val="auto"/>
        </w:rPr>
        <w:t>Base management fee</w:t>
      </w:r>
      <w:r>
        <w:rPr>
          <w:rFonts w:ascii="Arial" w:cs="Arial" w:eastAsia="Arial" w:hAnsi="Arial"/>
          <w:sz w:val="22"/>
          <w:szCs w:val="22"/>
          <w:color w:val="auto"/>
          <w:vertAlign w:val="superscript"/>
        </w:rPr>
        <w:t>(2)</w:t>
      </w:r>
      <w:r>
        <w:rPr>
          <w:rFonts w:ascii="Arial" w:cs="Arial" w:eastAsia="Arial" w:hAnsi="Arial"/>
          <w:sz w:val="13"/>
          <w:szCs w:val="13"/>
          <w:color w:val="auto"/>
        </w:rPr>
        <w:t xml:space="preserve"> = 0.25%</w:t>
      </w:r>
    </w:p>
    <w:p>
      <w:pPr>
        <w:ind w:left="560"/>
        <w:spacing w:after="0"/>
        <w:rPr>
          <w:sz w:val="20"/>
          <w:szCs w:val="20"/>
          <w:color w:val="auto"/>
        </w:rPr>
      </w:pPr>
      <w:r>
        <w:rPr>
          <w:rFonts w:ascii="Arial" w:cs="Arial" w:eastAsia="Arial" w:hAnsi="Arial"/>
          <w:sz w:val="13"/>
          <w:szCs w:val="13"/>
          <w:color w:val="auto"/>
        </w:rPr>
        <w:t>Other expenses (legal, accounting, custodian, transfer agent, etc.) = 0.20%</w:t>
      </w:r>
    </w:p>
    <w:p>
      <w:pPr>
        <w:spacing w:after="0" w:line="68" w:lineRule="exact"/>
        <w:rPr>
          <w:sz w:val="20"/>
          <w:szCs w:val="20"/>
          <w:color w:val="auto"/>
        </w:rPr>
      </w:pPr>
    </w:p>
    <w:p>
      <w:pPr>
        <w:ind w:left="560"/>
        <w:spacing w:after="0"/>
        <w:rPr>
          <w:sz w:val="20"/>
          <w:szCs w:val="20"/>
          <w:color w:val="auto"/>
        </w:rPr>
      </w:pPr>
      <w:r>
        <w:rPr>
          <w:rFonts w:ascii="Arial" w:cs="Arial" w:eastAsia="Arial" w:hAnsi="Arial"/>
          <w:sz w:val="13"/>
          <w:szCs w:val="13"/>
          <w:color w:val="auto"/>
        </w:rPr>
        <w:t>Pre-Incentive Fee Net Investment Income</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(investment income—(base management fee + other expenses)) = 0.80%</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Pre-incentive net investment income does not exceed hurdle; therefore there is no incentive fee.</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Alternative 2:</w:t>
      </w:r>
    </w:p>
    <w:p>
      <w:pPr>
        <w:spacing w:after="0" w:line="82" w:lineRule="exact"/>
        <w:rPr>
          <w:sz w:val="20"/>
          <w:szCs w:val="20"/>
          <w:color w:val="auto"/>
        </w:rPr>
      </w:pPr>
    </w:p>
    <w:p>
      <w:pPr>
        <w:ind w:left="560"/>
        <w:spacing w:after="0"/>
        <w:rPr>
          <w:sz w:val="20"/>
          <w:szCs w:val="20"/>
          <w:color w:val="auto"/>
        </w:rPr>
      </w:pPr>
      <w:r>
        <w:rPr>
          <w:rFonts w:ascii="Arial" w:cs="Arial" w:eastAsia="Arial" w:hAnsi="Arial"/>
          <w:sz w:val="13"/>
          <w:szCs w:val="13"/>
          <w:i w:val="1"/>
          <w:iCs w:val="1"/>
          <w:color w:val="auto"/>
        </w:rPr>
        <w:t>Assumptions</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Investment income (including interest, dividends, fees, etc.) = 2.70%</w:t>
      </w:r>
    </w:p>
    <w:p>
      <w:pPr>
        <w:spacing w:after="0" w:line="48" w:lineRule="exact"/>
        <w:rPr>
          <w:sz w:val="20"/>
          <w:szCs w:val="20"/>
          <w:color w:val="auto"/>
        </w:rPr>
      </w:pPr>
    </w:p>
    <w:p>
      <w:pPr>
        <w:ind w:left="560"/>
        <w:spacing w:after="0"/>
        <w:rPr>
          <w:sz w:val="20"/>
          <w:szCs w:val="20"/>
          <w:color w:val="auto"/>
        </w:rPr>
      </w:pPr>
      <w:r>
        <w:rPr>
          <w:rFonts w:ascii="Arial" w:cs="Arial" w:eastAsia="Arial" w:hAnsi="Arial"/>
          <w:sz w:val="13"/>
          <w:szCs w:val="13"/>
          <w:color w:val="auto"/>
        </w:rPr>
        <w:t>Hurdle</w:t>
      </w:r>
      <w:r>
        <w:rPr>
          <w:rFonts w:ascii="Arial" w:cs="Arial" w:eastAsia="Arial" w:hAnsi="Arial"/>
          <w:sz w:val="22"/>
          <w:szCs w:val="22"/>
          <w:color w:val="auto"/>
          <w:vertAlign w:val="superscript"/>
        </w:rPr>
        <w:t>(1)</w:t>
      </w:r>
      <w:r>
        <w:rPr>
          <w:rFonts w:ascii="Arial" w:cs="Arial" w:eastAsia="Arial" w:hAnsi="Arial"/>
          <w:sz w:val="13"/>
          <w:szCs w:val="13"/>
          <w:color w:val="auto"/>
        </w:rPr>
        <w:t xml:space="preserve"> = 1.75%</w:t>
      </w:r>
    </w:p>
    <w:p>
      <w:pPr>
        <w:ind w:left="560"/>
        <w:spacing w:after="0" w:line="237" w:lineRule="auto"/>
        <w:rPr>
          <w:sz w:val="20"/>
          <w:szCs w:val="20"/>
          <w:color w:val="auto"/>
        </w:rPr>
      </w:pPr>
      <w:r>
        <w:rPr>
          <w:rFonts w:ascii="Arial" w:cs="Arial" w:eastAsia="Arial" w:hAnsi="Arial"/>
          <w:sz w:val="13"/>
          <w:szCs w:val="13"/>
          <w:color w:val="auto"/>
        </w:rPr>
        <w:t>Base management fee</w:t>
      </w:r>
      <w:r>
        <w:rPr>
          <w:rFonts w:ascii="Arial" w:cs="Arial" w:eastAsia="Arial" w:hAnsi="Arial"/>
          <w:sz w:val="22"/>
          <w:szCs w:val="22"/>
          <w:color w:val="auto"/>
          <w:vertAlign w:val="superscript"/>
        </w:rPr>
        <w:t>(2)</w:t>
      </w:r>
      <w:r>
        <w:rPr>
          <w:rFonts w:ascii="Arial" w:cs="Arial" w:eastAsia="Arial" w:hAnsi="Arial"/>
          <w:sz w:val="13"/>
          <w:szCs w:val="13"/>
          <w:color w:val="auto"/>
        </w:rPr>
        <w:t xml:space="preserve"> = 0.25%</w:t>
      </w:r>
    </w:p>
    <w:p>
      <w:pPr>
        <w:ind w:left="560"/>
        <w:spacing w:after="0"/>
        <w:rPr>
          <w:sz w:val="20"/>
          <w:szCs w:val="20"/>
          <w:color w:val="auto"/>
        </w:rPr>
      </w:pPr>
      <w:r>
        <w:rPr>
          <w:rFonts w:ascii="Arial" w:cs="Arial" w:eastAsia="Arial" w:hAnsi="Arial"/>
          <w:sz w:val="13"/>
          <w:szCs w:val="13"/>
          <w:color w:val="auto"/>
        </w:rPr>
        <w:t>Other expenses (legal, accounting, custodian, transfer agent, etc.) = 0.20%</w:t>
      </w:r>
    </w:p>
    <w:p>
      <w:pPr>
        <w:spacing w:after="0" w:line="68" w:lineRule="exact"/>
        <w:rPr>
          <w:sz w:val="20"/>
          <w:szCs w:val="20"/>
          <w:color w:val="auto"/>
        </w:rPr>
      </w:pPr>
    </w:p>
    <w:p>
      <w:pPr>
        <w:ind w:left="560"/>
        <w:spacing w:after="0"/>
        <w:rPr>
          <w:sz w:val="20"/>
          <w:szCs w:val="20"/>
          <w:color w:val="auto"/>
        </w:rPr>
      </w:pPr>
      <w:r>
        <w:rPr>
          <w:rFonts w:ascii="Arial" w:cs="Arial" w:eastAsia="Arial" w:hAnsi="Arial"/>
          <w:sz w:val="13"/>
          <w:szCs w:val="13"/>
          <w:color w:val="auto"/>
        </w:rPr>
        <w:t>Pre-Incentive Fee Net Investment Income</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(investment income—(base management fee + other expenses)) = 2.25%</w:t>
      </w:r>
    </w:p>
    <w:p>
      <w:pPr>
        <w:spacing w:after="0" w:line="134"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Incentive fee</w:t>
      </w:r>
    </w:p>
    <w:p>
      <w:pPr>
        <w:spacing w:after="0" w:line="53" w:lineRule="exact"/>
        <w:rPr>
          <w:sz w:val="20"/>
          <w:szCs w:val="20"/>
          <w:color w:val="auto"/>
        </w:rPr>
      </w:pPr>
    </w:p>
    <w:p>
      <w:pPr>
        <w:ind w:left="2660" w:hanging="108"/>
        <w:spacing w:after="0"/>
        <w:tabs>
          <w:tab w:leader="none" w:pos="26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50% X Pre-Incentive Fee Net Investment Income, subject to “catch-up”</w:t>
      </w:r>
    </w:p>
    <w:p>
      <w:pPr>
        <w:spacing w:after="0" w:line="80" w:lineRule="exact"/>
        <w:rPr>
          <w:rFonts w:ascii="Arial" w:cs="Arial" w:eastAsia="Arial" w:hAnsi="Arial"/>
          <w:sz w:val="13"/>
          <w:szCs w:val="13"/>
          <w:color w:val="auto"/>
        </w:rPr>
      </w:pPr>
    </w:p>
    <w:p>
      <w:pPr>
        <w:ind w:left="2660" w:hanging="108"/>
        <w:spacing w:after="0"/>
        <w:tabs>
          <w:tab w:leader="none" w:pos="26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50% X (2.25% - 1.75%)</w:t>
      </w:r>
    </w:p>
    <w:p>
      <w:pPr>
        <w:spacing w:after="0" w:line="80" w:lineRule="exact"/>
        <w:rPr>
          <w:rFonts w:ascii="Arial" w:cs="Arial" w:eastAsia="Arial" w:hAnsi="Arial"/>
          <w:sz w:val="13"/>
          <w:szCs w:val="13"/>
          <w:color w:val="auto"/>
        </w:rPr>
      </w:pPr>
    </w:p>
    <w:p>
      <w:pPr>
        <w:ind w:left="2660" w:hanging="108"/>
        <w:spacing w:after="0"/>
        <w:tabs>
          <w:tab w:leader="none" w:pos="26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0.25%</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200"/>
          </w:cols>
          <w:pgMar w:left="320" w:top="459" w:right="3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Alternative 3:</w:t>
      </w:r>
    </w:p>
    <w:p>
      <w:pPr>
        <w:spacing w:after="0" w:line="82" w:lineRule="exact"/>
        <w:rPr>
          <w:sz w:val="20"/>
          <w:szCs w:val="20"/>
          <w:color w:val="auto"/>
        </w:rPr>
      </w:pPr>
    </w:p>
    <w:p>
      <w:pPr>
        <w:ind w:left="560"/>
        <w:spacing w:after="0"/>
        <w:rPr>
          <w:sz w:val="20"/>
          <w:szCs w:val="20"/>
          <w:color w:val="auto"/>
        </w:rPr>
      </w:pPr>
      <w:r>
        <w:rPr>
          <w:rFonts w:ascii="Arial" w:cs="Arial" w:eastAsia="Arial" w:hAnsi="Arial"/>
          <w:sz w:val="13"/>
          <w:szCs w:val="13"/>
          <w:i w:val="1"/>
          <w:iCs w:val="1"/>
          <w:color w:val="auto"/>
        </w:rPr>
        <w:t>Assumptions</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Investment income (including interest, dividends, fees, etc.) = 4.00%</w:t>
      </w:r>
    </w:p>
    <w:p>
      <w:pPr>
        <w:spacing w:after="0" w:line="48" w:lineRule="exact"/>
        <w:rPr>
          <w:sz w:val="20"/>
          <w:szCs w:val="20"/>
          <w:color w:val="auto"/>
        </w:rPr>
      </w:pPr>
    </w:p>
    <w:p>
      <w:pPr>
        <w:ind w:left="560"/>
        <w:spacing w:after="0"/>
        <w:rPr>
          <w:sz w:val="20"/>
          <w:szCs w:val="20"/>
          <w:color w:val="auto"/>
        </w:rPr>
      </w:pPr>
      <w:r>
        <w:rPr>
          <w:rFonts w:ascii="Arial" w:cs="Arial" w:eastAsia="Arial" w:hAnsi="Arial"/>
          <w:sz w:val="13"/>
          <w:szCs w:val="13"/>
          <w:color w:val="auto"/>
        </w:rPr>
        <w:t>Hurdle</w:t>
      </w:r>
      <w:r>
        <w:rPr>
          <w:rFonts w:ascii="Arial" w:cs="Arial" w:eastAsia="Arial" w:hAnsi="Arial"/>
          <w:sz w:val="22"/>
          <w:szCs w:val="22"/>
          <w:color w:val="auto"/>
          <w:vertAlign w:val="superscript"/>
        </w:rPr>
        <w:t>(1)</w:t>
      </w:r>
      <w:r>
        <w:rPr>
          <w:rFonts w:ascii="Arial" w:cs="Arial" w:eastAsia="Arial" w:hAnsi="Arial"/>
          <w:sz w:val="13"/>
          <w:szCs w:val="13"/>
          <w:color w:val="auto"/>
        </w:rPr>
        <w:t xml:space="preserve"> = 1.75%</w:t>
      </w:r>
    </w:p>
    <w:p>
      <w:pPr>
        <w:ind w:left="560"/>
        <w:spacing w:after="0" w:line="237" w:lineRule="auto"/>
        <w:rPr>
          <w:sz w:val="20"/>
          <w:szCs w:val="20"/>
          <w:color w:val="auto"/>
        </w:rPr>
      </w:pPr>
      <w:r>
        <w:rPr>
          <w:rFonts w:ascii="Arial" w:cs="Arial" w:eastAsia="Arial" w:hAnsi="Arial"/>
          <w:sz w:val="13"/>
          <w:szCs w:val="13"/>
          <w:color w:val="auto"/>
        </w:rPr>
        <w:t>Base management fee</w:t>
      </w:r>
      <w:r>
        <w:rPr>
          <w:rFonts w:ascii="Arial" w:cs="Arial" w:eastAsia="Arial" w:hAnsi="Arial"/>
          <w:sz w:val="22"/>
          <w:szCs w:val="22"/>
          <w:color w:val="auto"/>
          <w:vertAlign w:val="superscript"/>
        </w:rPr>
        <w:t>(2)</w:t>
      </w:r>
      <w:r>
        <w:rPr>
          <w:rFonts w:ascii="Arial" w:cs="Arial" w:eastAsia="Arial" w:hAnsi="Arial"/>
          <w:sz w:val="13"/>
          <w:szCs w:val="13"/>
          <w:color w:val="auto"/>
        </w:rPr>
        <w:t xml:space="preserve"> = 0.25%</w:t>
      </w:r>
    </w:p>
    <w:p>
      <w:pPr>
        <w:ind w:left="560"/>
        <w:spacing w:after="0"/>
        <w:rPr>
          <w:sz w:val="20"/>
          <w:szCs w:val="20"/>
          <w:color w:val="auto"/>
        </w:rPr>
      </w:pPr>
      <w:r>
        <w:rPr>
          <w:rFonts w:ascii="Arial" w:cs="Arial" w:eastAsia="Arial" w:hAnsi="Arial"/>
          <w:sz w:val="13"/>
          <w:szCs w:val="13"/>
          <w:color w:val="auto"/>
        </w:rPr>
        <w:t>Other expenses (legal, accounting, custodian, transfer agent, etc.) = 0.20%</w:t>
      </w:r>
    </w:p>
    <w:p>
      <w:pPr>
        <w:spacing w:after="0" w:line="68" w:lineRule="exact"/>
        <w:rPr>
          <w:sz w:val="20"/>
          <w:szCs w:val="20"/>
          <w:color w:val="auto"/>
        </w:rPr>
      </w:pPr>
    </w:p>
    <w:p>
      <w:pPr>
        <w:ind w:left="560"/>
        <w:spacing w:after="0"/>
        <w:rPr>
          <w:sz w:val="20"/>
          <w:szCs w:val="20"/>
          <w:color w:val="auto"/>
        </w:rPr>
      </w:pPr>
      <w:r>
        <w:rPr>
          <w:rFonts w:ascii="Arial" w:cs="Arial" w:eastAsia="Arial" w:hAnsi="Arial"/>
          <w:sz w:val="13"/>
          <w:szCs w:val="13"/>
          <w:color w:val="auto"/>
        </w:rPr>
        <w:t>Pre-Incentive Fee Net Investment Income</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(investment income—(base management fee + other expenses)) = 3.55%</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3"/>
          <w:szCs w:val="13"/>
          <w:color w:val="auto"/>
        </w:rPr>
        <w:t>Incentive fee</w:t>
      </w:r>
    </w:p>
    <w:p>
      <w:pPr>
        <w:ind w:left="2260"/>
        <w:spacing w:after="0" w:line="185" w:lineRule="auto"/>
        <w:rPr>
          <w:sz w:val="20"/>
          <w:szCs w:val="20"/>
          <w:color w:val="auto"/>
        </w:rPr>
      </w:pPr>
      <w:r>
        <w:rPr>
          <w:rFonts w:ascii="Arial" w:cs="Arial" w:eastAsia="Arial" w:hAnsi="Arial"/>
          <w:sz w:val="12"/>
          <w:szCs w:val="12"/>
          <w:color w:val="auto"/>
        </w:rPr>
        <w:t>= 20% X Pre-Incentive Fee Net Investment Income, subject to “catch-up”</w:t>
      </w:r>
      <w:r>
        <w:rPr>
          <w:rFonts w:ascii="Arial" w:cs="Arial" w:eastAsia="Arial" w:hAnsi="Arial"/>
          <w:sz w:val="19"/>
          <w:szCs w:val="19"/>
          <w:color w:val="auto"/>
          <w:vertAlign w:val="superscript"/>
        </w:rPr>
        <w:t>(3)</w:t>
      </w:r>
    </w:p>
    <w:p>
      <w:pPr>
        <w:ind w:left="340"/>
        <w:spacing w:after="0"/>
        <w:rPr>
          <w:sz w:val="20"/>
          <w:szCs w:val="20"/>
          <w:color w:val="auto"/>
        </w:rPr>
      </w:pPr>
      <w:r>
        <w:rPr>
          <w:rFonts w:ascii="Arial" w:cs="Arial" w:eastAsia="Arial" w:hAnsi="Arial"/>
          <w:sz w:val="13"/>
          <w:szCs w:val="13"/>
          <w:color w:val="auto"/>
        </w:rPr>
        <w:t>Incentive fee</w:t>
      </w:r>
    </w:p>
    <w:p>
      <w:pPr>
        <w:ind w:left="2260"/>
        <w:spacing w:after="0"/>
        <w:rPr>
          <w:sz w:val="20"/>
          <w:szCs w:val="20"/>
          <w:color w:val="auto"/>
        </w:rPr>
      </w:pPr>
      <w:r>
        <w:rPr>
          <w:rFonts w:ascii="Arial" w:cs="Arial" w:eastAsia="Arial" w:hAnsi="Arial"/>
          <w:sz w:val="13"/>
          <w:szCs w:val="13"/>
          <w:color w:val="auto"/>
        </w:rPr>
        <w:t>= 50% X “catch-up” + (20% x (Pre-Incentive Fee Net Investment Income - 2.9167%))</w:t>
      </w:r>
    </w:p>
    <w:p>
      <w:pPr>
        <w:ind w:left="340"/>
        <w:spacing w:after="0"/>
        <w:rPr>
          <w:sz w:val="20"/>
          <w:szCs w:val="20"/>
          <w:color w:val="auto"/>
        </w:rPr>
      </w:pPr>
      <w:r>
        <w:rPr>
          <w:rFonts w:ascii="Arial" w:cs="Arial" w:eastAsia="Arial" w:hAnsi="Arial"/>
          <w:sz w:val="13"/>
          <w:szCs w:val="13"/>
          <w:color w:val="auto"/>
        </w:rPr>
        <w:t>Catch-up</w:t>
      </w:r>
    </w:p>
    <w:p>
      <w:pPr>
        <w:ind w:left="2360" w:hanging="106"/>
        <w:spacing w:after="0"/>
        <w:tabs>
          <w:tab w:leader="none" w:pos="2360" w:val="left"/>
        </w:tabs>
        <w:numPr>
          <w:ilvl w:val="1"/>
          <w:numId w:val="16"/>
        </w:numPr>
        <w:rPr>
          <w:rFonts w:ascii="Arial" w:cs="Arial" w:eastAsia="Arial" w:hAnsi="Arial"/>
          <w:sz w:val="13"/>
          <w:szCs w:val="13"/>
          <w:color w:val="auto"/>
        </w:rPr>
      </w:pPr>
      <w:r>
        <w:rPr>
          <w:rFonts w:ascii="Arial" w:cs="Arial" w:eastAsia="Arial" w:hAnsi="Arial"/>
          <w:sz w:val="13"/>
          <w:szCs w:val="13"/>
          <w:color w:val="auto"/>
        </w:rPr>
        <w:t>2.9167%-1.75%</w:t>
      </w:r>
    </w:p>
    <w:p>
      <w:pPr>
        <w:ind w:left="2360" w:hanging="106"/>
        <w:spacing w:after="0"/>
        <w:tabs>
          <w:tab w:leader="none" w:pos="2360" w:val="left"/>
        </w:tabs>
        <w:numPr>
          <w:ilvl w:val="1"/>
          <w:numId w:val="16"/>
        </w:numPr>
        <w:rPr>
          <w:rFonts w:ascii="Arial" w:cs="Arial" w:eastAsia="Arial" w:hAnsi="Arial"/>
          <w:sz w:val="13"/>
          <w:szCs w:val="13"/>
          <w:color w:val="auto"/>
        </w:rPr>
      </w:pPr>
      <w:r>
        <w:rPr>
          <w:rFonts w:ascii="Arial" w:cs="Arial" w:eastAsia="Arial" w:hAnsi="Arial"/>
          <w:sz w:val="13"/>
          <w:szCs w:val="13"/>
          <w:color w:val="auto"/>
        </w:rPr>
        <w:t>1.1667%</w:t>
      </w:r>
    </w:p>
    <w:p>
      <w:pPr>
        <w:ind w:left="2360" w:hanging="106"/>
        <w:spacing w:after="0"/>
        <w:tabs>
          <w:tab w:leader="none" w:pos="2360" w:val="left"/>
        </w:tabs>
        <w:numPr>
          <w:ilvl w:val="1"/>
          <w:numId w:val="16"/>
        </w:numPr>
        <w:rPr>
          <w:rFonts w:ascii="Arial" w:cs="Arial" w:eastAsia="Arial" w:hAnsi="Arial"/>
          <w:sz w:val="13"/>
          <w:szCs w:val="13"/>
          <w:color w:val="auto"/>
        </w:rPr>
      </w:pPr>
      <w:r>
        <w:rPr>
          <w:rFonts w:ascii="Arial" w:cs="Arial" w:eastAsia="Arial" w:hAnsi="Arial"/>
          <w:sz w:val="13"/>
          <w:szCs w:val="13"/>
          <w:color w:val="auto"/>
        </w:rPr>
        <w:t>(50% X 1.1667%) + (20% X (3.55% -2.9167%))</w:t>
      </w:r>
    </w:p>
    <w:p>
      <w:pPr>
        <w:ind w:left="2360" w:hanging="106"/>
        <w:spacing w:after="0"/>
        <w:tabs>
          <w:tab w:leader="none" w:pos="2360" w:val="left"/>
        </w:tabs>
        <w:numPr>
          <w:ilvl w:val="1"/>
          <w:numId w:val="16"/>
        </w:numPr>
        <w:rPr>
          <w:rFonts w:ascii="Arial" w:cs="Arial" w:eastAsia="Arial" w:hAnsi="Arial"/>
          <w:sz w:val="13"/>
          <w:szCs w:val="13"/>
          <w:color w:val="auto"/>
        </w:rPr>
      </w:pPr>
      <w:r>
        <w:rPr>
          <w:rFonts w:ascii="Arial" w:cs="Arial" w:eastAsia="Arial" w:hAnsi="Arial"/>
          <w:sz w:val="13"/>
          <w:szCs w:val="13"/>
          <w:color w:val="auto"/>
        </w:rPr>
        <w:t>0.5833% + (20% X 0.6333%)</w:t>
      </w:r>
    </w:p>
    <w:p>
      <w:pPr>
        <w:ind w:left="2360" w:hanging="106"/>
        <w:spacing w:after="0"/>
        <w:tabs>
          <w:tab w:leader="none" w:pos="2360" w:val="left"/>
        </w:tabs>
        <w:numPr>
          <w:ilvl w:val="1"/>
          <w:numId w:val="16"/>
        </w:numPr>
        <w:rPr>
          <w:rFonts w:ascii="Arial" w:cs="Arial" w:eastAsia="Arial" w:hAnsi="Arial"/>
          <w:sz w:val="13"/>
          <w:szCs w:val="13"/>
          <w:color w:val="auto"/>
        </w:rPr>
      </w:pPr>
      <w:r>
        <w:rPr>
          <w:rFonts w:ascii="Arial" w:cs="Arial" w:eastAsia="Arial" w:hAnsi="Arial"/>
          <w:sz w:val="13"/>
          <w:szCs w:val="13"/>
          <w:color w:val="auto"/>
        </w:rPr>
        <w:t>0.5833% + 0.1267%</w:t>
      </w:r>
    </w:p>
    <w:p>
      <w:pPr>
        <w:ind w:left="2360" w:hanging="106"/>
        <w:spacing w:after="0"/>
        <w:tabs>
          <w:tab w:leader="none" w:pos="2360" w:val="left"/>
        </w:tabs>
        <w:numPr>
          <w:ilvl w:val="1"/>
          <w:numId w:val="16"/>
        </w:numPr>
        <w:rPr>
          <w:rFonts w:ascii="Arial" w:cs="Arial" w:eastAsia="Arial" w:hAnsi="Arial"/>
          <w:sz w:val="13"/>
          <w:szCs w:val="13"/>
          <w:color w:val="auto"/>
        </w:rPr>
      </w:pPr>
      <w:r>
        <w:rPr>
          <w:rFonts w:ascii="Arial" w:cs="Arial" w:eastAsia="Arial" w:hAnsi="Arial"/>
          <w:sz w:val="13"/>
          <w:szCs w:val="13"/>
          <w:color w:val="auto"/>
        </w:rPr>
        <w:t>0.71%</w:t>
      </w:r>
    </w:p>
    <w:p>
      <w:pPr>
        <w:spacing w:after="0" w:line="135"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2"/>
          <w:szCs w:val="12"/>
          <w:color w:val="auto"/>
        </w:rPr>
        <w:t>The hypothetical amount of Pre-Incentive Fee Net Investment Income shown is based on a percentage of total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11398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39825" cy="8890"/>
                    </a:xfrm>
                    <a:prstGeom prst="rect">
                      <a:avLst/>
                    </a:prstGeom>
                    <a:noFill/>
                  </pic:spPr>
                </pic:pic>
              </a:graphicData>
            </a:graphic>
          </wp:anchor>
        </w:drawing>
      </w:r>
    </w:p>
    <w:p>
      <w:pPr>
        <w:spacing w:after="0" w:line="60"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Represents 7.0% annualized Hurdle.</w:t>
      </w:r>
    </w:p>
    <w:p>
      <w:pPr>
        <w:spacing w:after="0" w:line="11" w:lineRule="exact"/>
        <w:rPr>
          <w:rFonts w:ascii="Arial" w:cs="Arial" w:eastAsia="Arial" w:hAnsi="Arial"/>
          <w:sz w:val="13"/>
          <w:szCs w:val="13"/>
          <w:color w:val="auto"/>
        </w:rPr>
      </w:pPr>
    </w:p>
    <w:p>
      <w:pPr>
        <w:ind w:left="460" w:hanging="452"/>
        <w:spacing w:after="0"/>
        <w:tabs>
          <w:tab w:leader="none" w:pos="4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Represents 1.0% annualized base management fee.</w:t>
      </w:r>
    </w:p>
    <w:p>
      <w:pPr>
        <w:ind w:left="460" w:hanging="452"/>
        <w:spacing w:after="0" w:line="255" w:lineRule="auto"/>
        <w:tabs>
          <w:tab w:leader="none" w:pos="4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“catch-up” provision is intended to provide the Investment Adviser with an incentive fee of approximately 20% on all of our Pre-Incentive Fee Net Investment Income as if a hurdle rate did not apply when our net investment income exceeds 2.9167% in any calendar quarter.</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Example 2: Capital Gains Portion of Incentive Fee:</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Alternative 1:</w:t>
      </w:r>
    </w:p>
    <w:p>
      <w:pPr>
        <w:spacing w:after="0" w:line="82" w:lineRule="exact"/>
        <w:rPr>
          <w:sz w:val="20"/>
          <w:szCs w:val="20"/>
          <w:color w:val="auto"/>
        </w:rPr>
      </w:pPr>
    </w:p>
    <w:p>
      <w:pPr>
        <w:ind w:left="560"/>
        <w:spacing w:after="0"/>
        <w:rPr>
          <w:sz w:val="20"/>
          <w:szCs w:val="20"/>
          <w:color w:val="auto"/>
        </w:rPr>
      </w:pPr>
      <w:r>
        <w:rPr>
          <w:rFonts w:ascii="Arial" w:cs="Arial" w:eastAsia="Arial" w:hAnsi="Arial"/>
          <w:sz w:val="13"/>
          <w:szCs w:val="13"/>
          <w:i w:val="1"/>
          <w:iCs w:val="1"/>
          <w:color w:val="auto"/>
        </w:rPr>
        <w:t>Assumptions</w:t>
      </w:r>
    </w:p>
    <w:p>
      <w:pPr>
        <w:spacing w:after="0" w:line="5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Year 1: $20 million investment made in Company A (“Investment A”), and $30 million investment made in Company B (“Investment B”)</w:t>
      </w:r>
    </w:p>
    <w:p>
      <w:pPr>
        <w:spacing w:after="0" w:line="1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Year 2: Investment A sold for $50 million and fair market value (“FMV”) of Investment B determined to be $32 million</w:t>
      </w:r>
    </w:p>
    <w:p>
      <w:pPr>
        <w:ind w:left="560"/>
        <w:spacing w:after="0"/>
        <w:rPr>
          <w:sz w:val="20"/>
          <w:szCs w:val="20"/>
          <w:color w:val="auto"/>
        </w:rPr>
      </w:pPr>
      <w:r>
        <w:rPr>
          <w:rFonts w:ascii="Arial" w:cs="Arial" w:eastAsia="Arial" w:hAnsi="Arial"/>
          <w:sz w:val="13"/>
          <w:szCs w:val="13"/>
          <w:color w:val="auto"/>
        </w:rPr>
        <w:t>Year 3: FMV of Investment B determined to be $25 million</w:t>
      </w:r>
    </w:p>
    <w:p>
      <w:pPr>
        <w:ind w:left="560"/>
        <w:spacing w:after="0"/>
        <w:rPr>
          <w:sz w:val="20"/>
          <w:szCs w:val="20"/>
          <w:color w:val="auto"/>
        </w:rPr>
      </w:pPr>
      <w:r>
        <w:rPr>
          <w:rFonts w:ascii="Arial" w:cs="Arial" w:eastAsia="Arial" w:hAnsi="Arial"/>
          <w:sz w:val="13"/>
          <w:szCs w:val="13"/>
          <w:color w:val="auto"/>
        </w:rPr>
        <w:t>Year 4: Investment B sold for $31 million</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capital gains portion of the incentive fee, if any, would be:</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Year 1: None</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Year 2: $6 million capital gains incentive fee</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$30 million realized capital gains on sale of Investment A multiplied by 20%</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Year 3: None</w:t>
      </w:r>
    </w:p>
    <w:p>
      <w:pPr>
        <w:spacing w:after="0" w:line="80" w:lineRule="exact"/>
        <w:rPr>
          <w:sz w:val="20"/>
          <w:szCs w:val="20"/>
          <w:color w:val="auto"/>
        </w:rPr>
      </w:pPr>
    </w:p>
    <w:p>
      <w:pPr>
        <w:ind w:left="560"/>
        <w:spacing w:after="0" w:line="274" w:lineRule="auto"/>
        <w:rPr>
          <w:sz w:val="20"/>
          <w:szCs w:val="20"/>
          <w:color w:val="auto"/>
        </w:rPr>
      </w:pPr>
      <w:r>
        <w:rPr>
          <w:rFonts w:ascii="Arial" w:cs="Arial" w:eastAsia="Arial" w:hAnsi="Arial"/>
          <w:sz w:val="13"/>
          <w:szCs w:val="13"/>
          <w:color w:val="auto"/>
        </w:rPr>
        <w:t>$5 million cumulative fee (20% multiplied by $25 million ($30 million cumulative capital gains less $5 million cumulative capital depreciation)) less $6 million (previous capital gains fee paid in Year 2)</w:t>
      </w:r>
    </w:p>
    <w:p>
      <w:pPr>
        <w:spacing w:after="0" w:line="37" w:lineRule="exact"/>
        <w:rPr>
          <w:sz w:val="20"/>
          <w:szCs w:val="20"/>
          <w:color w:val="auto"/>
        </w:rPr>
      </w:pPr>
    </w:p>
    <w:p>
      <w:pPr>
        <w:ind w:left="560"/>
        <w:spacing w:after="0"/>
        <w:rPr>
          <w:sz w:val="20"/>
          <w:szCs w:val="20"/>
          <w:color w:val="auto"/>
        </w:rPr>
      </w:pPr>
      <w:r>
        <w:rPr>
          <w:rFonts w:ascii="Arial" w:cs="Arial" w:eastAsia="Arial" w:hAnsi="Arial"/>
          <w:sz w:val="13"/>
          <w:szCs w:val="13"/>
          <w:color w:val="auto"/>
        </w:rPr>
        <w:t>Year 4: $200,000 capital gains incentive fee</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$6.2 million cumulative fee ($31 million cumulative realized capital gains multiplied by 20%) less $6 million (previous capital gains fee paid in Year 2).</w:t>
      </w:r>
    </w:p>
    <w:p>
      <w:pPr>
        <w:spacing w:after="0" w:line="148"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1100"/>
          </w:cols>
          <w:pgMar w:left="320" w:top="459" w:right="4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Alternative 2:</w:t>
      </w:r>
    </w:p>
    <w:p>
      <w:pPr>
        <w:spacing w:after="0" w:line="82" w:lineRule="exact"/>
        <w:rPr>
          <w:sz w:val="20"/>
          <w:szCs w:val="20"/>
          <w:color w:val="auto"/>
        </w:rPr>
      </w:pPr>
    </w:p>
    <w:p>
      <w:pPr>
        <w:ind w:left="560"/>
        <w:spacing w:after="0"/>
        <w:rPr>
          <w:sz w:val="20"/>
          <w:szCs w:val="20"/>
          <w:color w:val="auto"/>
        </w:rPr>
      </w:pPr>
      <w:r>
        <w:rPr>
          <w:rFonts w:ascii="Arial" w:cs="Arial" w:eastAsia="Arial" w:hAnsi="Arial"/>
          <w:sz w:val="13"/>
          <w:szCs w:val="13"/>
          <w:i w:val="1"/>
          <w:iCs w:val="1"/>
          <w:color w:val="auto"/>
        </w:rPr>
        <w:t>Assumptions</w:t>
      </w:r>
    </w:p>
    <w:p>
      <w:pPr>
        <w:spacing w:after="0" w:line="80" w:lineRule="exact"/>
        <w:rPr>
          <w:sz w:val="20"/>
          <w:szCs w:val="20"/>
          <w:color w:val="auto"/>
        </w:rPr>
      </w:pPr>
    </w:p>
    <w:p>
      <w:pPr>
        <w:spacing w:after="0"/>
        <w:rPr>
          <w:sz w:val="20"/>
          <w:szCs w:val="20"/>
          <w:color w:val="auto"/>
        </w:rPr>
      </w:pPr>
      <w:r>
        <w:rPr>
          <w:rFonts w:ascii="Arial" w:cs="Arial" w:eastAsia="Arial" w:hAnsi="Arial"/>
          <w:sz w:val="12"/>
          <w:szCs w:val="12"/>
          <w:color w:val="auto"/>
        </w:rPr>
        <w:t>Year 1: $20 million investment made in Company A (“Investment A”), $30 million investment made in Company B (“Investment B”) and $25 million investment made in Company C (“Investment C”)</w:t>
      </w:r>
    </w:p>
    <w:p>
      <w:pPr>
        <w:spacing w:after="0" w:line="9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Year 2: Investment A sold for $50 million, FMV of Investment B determined to be $25 million and FMV of Investment C determined to be $25 million</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Year 3: FMV of Investment B determined to be $27 million and Investment C sold for $30 million</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Year 4: FMV of Investment B determined to be $35 million</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Year 5: Investment B sold for $20 million</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capital gains portion of the incentive fee, if any, would be:</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Year 1: None</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Year 2: $5 million capital gains incentive fee</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20% multiplied by $25 million ($30 million realized capital gains on sale of Investment A less $5 million unrealized capital depreciation on Investment B)</w:t>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3"/>
          <w:szCs w:val="13"/>
          <w:color w:val="auto"/>
        </w:rPr>
        <w:t>Year 3: $1.4 million capital gains incentive fee</w:t>
      </w:r>
      <w:r>
        <w:rPr>
          <w:rFonts w:ascii="Arial" w:cs="Arial" w:eastAsia="Arial" w:hAnsi="Arial"/>
          <w:sz w:val="22"/>
          <w:szCs w:val="22"/>
          <w:color w:val="auto"/>
          <w:vertAlign w:val="superscript"/>
        </w:rPr>
        <w:t>( 1)</w:t>
      </w:r>
    </w:p>
    <w:p>
      <w:pPr>
        <w:ind w:right="160"/>
        <w:spacing w:after="0" w:line="255" w:lineRule="auto"/>
        <w:rPr>
          <w:sz w:val="20"/>
          <w:szCs w:val="20"/>
          <w:color w:val="auto"/>
        </w:rPr>
      </w:pPr>
      <w:r>
        <w:rPr>
          <w:rFonts w:ascii="Arial" w:cs="Arial" w:eastAsia="Arial" w:hAnsi="Arial"/>
          <w:sz w:val="13"/>
          <w:szCs w:val="13"/>
          <w:color w:val="auto"/>
        </w:rPr>
        <w:t>$6.4 million cumulative fee (20% multiplied by $32 million ($35 million cumulative realized capital gains less $3 million unrealized capital depreciation)) less $5 million (previous capital gains fee paid in Year 2)</w:t>
      </w:r>
    </w:p>
    <w:p>
      <w:pPr>
        <w:spacing w:after="0" w:line="48" w:lineRule="exact"/>
        <w:rPr>
          <w:sz w:val="20"/>
          <w:szCs w:val="20"/>
          <w:color w:val="auto"/>
        </w:rPr>
      </w:pPr>
    </w:p>
    <w:p>
      <w:pPr>
        <w:ind w:left="560"/>
        <w:spacing w:after="0"/>
        <w:rPr>
          <w:sz w:val="20"/>
          <w:szCs w:val="20"/>
          <w:color w:val="auto"/>
        </w:rPr>
      </w:pPr>
      <w:r>
        <w:rPr>
          <w:rFonts w:ascii="Arial" w:cs="Arial" w:eastAsia="Arial" w:hAnsi="Arial"/>
          <w:sz w:val="13"/>
          <w:szCs w:val="13"/>
          <w:color w:val="auto"/>
        </w:rPr>
        <w:t>Year 4: None</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Year 5: None</w:t>
      </w:r>
    </w:p>
    <w:p>
      <w:pPr>
        <w:spacing w:after="0" w:line="80" w:lineRule="exact"/>
        <w:rPr>
          <w:sz w:val="20"/>
          <w:szCs w:val="20"/>
          <w:color w:val="auto"/>
        </w:rPr>
      </w:pPr>
    </w:p>
    <w:p>
      <w:pPr>
        <w:ind w:right="80"/>
        <w:spacing w:after="0" w:line="274" w:lineRule="auto"/>
        <w:rPr>
          <w:sz w:val="20"/>
          <w:szCs w:val="20"/>
          <w:color w:val="auto"/>
        </w:rPr>
      </w:pPr>
      <w:r>
        <w:rPr>
          <w:rFonts w:ascii="Arial" w:cs="Arial" w:eastAsia="Arial" w:hAnsi="Arial"/>
          <w:sz w:val="13"/>
          <w:szCs w:val="13"/>
          <w:color w:val="auto"/>
        </w:rPr>
        <w:t>$5 million cumulative fee (20% multiplied by $25 million ($35 million cumulative realized capital gains less $10 million realized capital losses)) less $6.4 million (previous cumulative capital gains fee paid in Year 2 and Year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16370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84" w:lineRule="exact"/>
        <w:rPr>
          <w:sz w:val="20"/>
          <w:szCs w:val="20"/>
          <w:color w:val="auto"/>
        </w:rPr>
      </w:pPr>
    </w:p>
    <w:p>
      <w:pPr>
        <w:ind w:left="340" w:right="120" w:hanging="332"/>
        <w:spacing w:after="0" w:line="204" w:lineRule="auto"/>
        <w:tabs>
          <w:tab w:leader="none" w:pos="340" w:val="left"/>
        </w:tabs>
        <w:numPr>
          <w:ilvl w:val="0"/>
          <w:numId w:val="18"/>
        </w:numPr>
        <w:rPr>
          <w:rFonts w:ascii="Arial" w:cs="Arial" w:eastAsia="Arial" w:hAnsi="Arial"/>
          <w:sz w:val="22"/>
          <w:szCs w:val="22"/>
          <w:color w:val="auto"/>
          <w:vertAlign w:val="superscript"/>
        </w:rPr>
      </w:pPr>
      <w:r>
        <w:rPr>
          <w:rFonts w:ascii="Arial" w:cs="Arial" w:eastAsia="Arial" w:hAnsi="Arial"/>
          <w:sz w:val="13"/>
          <w:szCs w:val="13"/>
          <w:color w:val="auto"/>
        </w:rPr>
        <w:t>As illustrated in Year 3 of Alternative 2 above, if PennantPark Floating Rate Capital Ltd. were to be wound up on a date other than December 31 of any year, PennantPark Floating Rate Capital Ltd. may have paid aggregate capital gain incentive fees that are more than the amount of such fees that would be payable if PennantPark Floating Rate Capital Ltd. had been wound up on December 31 of such year.</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Duration and Termination of Investment Management Agreement</w:t>
      </w:r>
    </w:p>
    <w:p>
      <w:pPr>
        <w:spacing w:after="0" w:line="80" w:lineRule="exact"/>
        <w:rPr>
          <w:sz w:val="20"/>
          <w:szCs w:val="20"/>
          <w:color w:val="auto"/>
        </w:rPr>
      </w:pPr>
    </w:p>
    <w:p>
      <w:pPr>
        <w:ind w:firstLine="562"/>
        <w:spacing w:after="0" w:line="250" w:lineRule="auto"/>
        <w:rPr>
          <w:sz w:val="20"/>
          <w:szCs w:val="20"/>
          <w:color w:val="auto"/>
        </w:rPr>
      </w:pPr>
      <w:r>
        <w:rPr>
          <w:rFonts w:ascii="Arial" w:cs="Arial" w:eastAsia="Arial" w:hAnsi="Arial"/>
          <w:sz w:val="13"/>
          <w:szCs w:val="13"/>
          <w:color w:val="auto"/>
        </w:rPr>
        <w:t>The Investment Management Agreement was approved by our board of directors, including a majority of our directors who are not interested persons of us, in March 2011. Unless terminated earlier as described below, the Investment Management Agreement will continue in effect for a period of two years through April 2013. It will remain in effect from year to year thereafter if approved annually by our board of directors, or by the affirmative vote of the holders of a majority of our outstanding voting securities, including, in either case, approval by a majority of our directors who are not interested persons.</w:t>
      </w:r>
    </w:p>
    <w:p>
      <w:pPr>
        <w:spacing w:after="0" w:line="106" w:lineRule="exact"/>
        <w:rPr>
          <w:sz w:val="20"/>
          <w:szCs w:val="20"/>
          <w:color w:val="auto"/>
        </w:rPr>
      </w:pPr>
    </w:p>
    <w:p>
      <w:pPr>
        <w:ind w:right="80" w:firstLine="562"/>
        <w:spacing w:after="0" w:line="250" w:lineRule="auto"/>
        <w:rPr>
          <w:sz w:val="20"/>
          <w:szCs w:val="20"/>
          <w:color w:val="auto"/>
        </w:rPr>
      </w:pPr>
      <w:r>
        <w:rPr>
          <w:rFonts w:ascii="Arial" w:cs="Arial" w:eastAsia="Arial" w:hAnsi="Arial"/>
          <w:sz w:val="13"/>
          <w:szCs w:val="13"/>
          <w:color w:val="auto"/>
        </w:rPr>
        <w:t>The Investment Management Agreement will automatically terminate in the event of its assignment. The Investment Management Agreement may be terminated by either party without penalty upon 60 days’ written notice to the other. See “Risk Factors—Risks Relating to our Business and Structure—We are dependent upon our Investment Adviser’s key personnel for our future success, and if we are or our Investment Adviser is unable to hire and retain qualified personnel or if we lose any member of our management team, our ability to achieve our investment objectives could be significantly harmed” for more information.</w:t>
      </w:r>
    </w:p>
    <w:p>
      <w:pPr>
        <w:spacing w:after="0" w:line="160"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Organization of the Investment Adviser</w:t>
      </w:r>
    </w:p>
    <w:p>
      <w:pPr>
        <w:spacing w:after="0" w:line="80" w:lineRule="exact"/>
        <w:rPr>
          <w:sz w:val="20"/>
          <w:szCs w:val="20"/>
          <w:color w:val="auto"/>
        </w:rPr>
      </w:pPr>
    </w:p>
    <w:p>
      <w:pPr>
        <w:ind w:right="460" w:firstLine="562"/>
        <w:spacing w:after="0" w:line="274" w:lineRule="auto"/>
        <w:rPr>
          <w:sz w:val="20"/>
          <w:szCs w:val="20"/>
          <w:color w:val="auto"/>
        </w:rPr>
      </w:pPr>
      <w:r>
        <w:rPr>
          <w:rFonts w:ascii="Arial" w:cs="Arial" w:eastAsia="Arial" w:hAnsi="Arial"/>
          <w:sz w:val="13"/>
          <w:szCs w:val="13"/>
          <w:color w:val="auto"/>
        </w:rPr>
        <w:t>PennantPark Investment Advisers is a registered investment adviser under the Investment Advisers Act of 1940, as amended, or Advisers Act. The principal executive office of PennantPark Investment Advisers is located at 590 Madison Avenue, 15th Floor, New York, NY 10022.</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Administration Agreement</w:t>
      </w:r>
    </w:p>
    <w:p>
      <w:pPr>
        <w:spacing w:after="0" w:line="80" w:lineRule="exact"/>
        <w:rPr>
          <w:sz w:val="20"/>
          <w:szCs w:val="20"/>
          <w:color w:val="auto"/>
        </w:rPr>
      </w:pPr>
    </w:p>
    <w:p>
      <w:pPr>
        <w:ind w:firstLine="562"/>
        <w:spacing w:after="0" w:line="250" w:lineRule="auto"/>
        <w:rPr>
          <w:sz w:val="20"/>
          <w:szCs w:val="20"/>
          <w:color w:val="auto"/>
        </w:rPr>
      </w:pPr>
      <w:r>
        <w:rPr>
          <w:rFonts w:ascii="Arial" w:cs="Arial" w:eastAsia="Arial" w:hAnsi="Arial"/>
          <w:sz w:val="13"/>
          <w:szCs w:val="13"/>
          <w:color w:val="auto"/>
        </w:rPr>
        <w:t>Pursuant to the Administration Agreement, the Administrator furnishes us with office facilities, equipment and clerical, bookkeeping and record keeping services at such facilities. Under our Administration Agreement, the Administrator performs, or oversees the performance of, our required administrative services, which include, among other things, being responsible for the financial records which we are required to maintain and preparing reports to our stockholders and reports filed with the SEC. In addition, the Administrator assists us in determining and publishing our net asset value, oversees the preparation and filing of our tax returns and the printing and dissemination of reports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11220"/>
          </w:cols>
          <w:pgMar w:left="320" w:top="459" w:right="3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40"/>
        <w:spacing w:after="0" w:line="245" w:lineRule="auto"/>
        <w:rPr>
          <w:sz w:val="20"/>
          <w:szCs w:val="20"/>
          <w:color w:val="auto"/>
        </w:rPr>
      </w:pPr>
      <w:r>
        <w:rPr>
          <w:rFonts w:ascii="Arial" w:cs="Arial" w:eastAsia="Arial" w:hAnsi="Arial"/>
          <w:sz w:val="13"/>
          <w:szCs w:val="13"/>
          <w:color w:val="auto"/>
        </w:rPr>
        <w:t>to our stockholders, and generally oversees the payment of our expenses and the performance of administrative and professional services rendered to us by others. Payments under our Administration Agreement are equal to an amount based upon our allocable portion of the Administrator’s overhead in performing its obligations under our Administration Agreement, including rent and our allocable portion of the cost of compensation and related expenses of our Chief Compliance Officer and Chief Financial Officer and their respective staffs. Under our Administration Agreement, the Administrator offers, on our behalf, managerial assistance to those portfolio companies to which we are required to offer such assistance. To the extent that our Administrator outsources any of its functions, we will pay the fees associated with such functions on a direct basis without profit to the Administrator. For the year ended September 30, 2012 and for the period March 4, 2011 (commencement of operations) to September 30, 2011, the Investment Adviser and Administrator collectively, were reimbursed $0.2 million and $0.1 million, respectively.</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Duration and Termination of Administration Agreement</w:t>
      </w:r>
    </w:p>
    <w:p>
      <w:pPr>
        <w:spacing w:after="0" w:line="80"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The Administration Agreement was approved by our board of directors, including a majority of our directors who are not interested persons of us, in March 2011. Unless terminated earlier as described below, our Administration Agreement will continue in effect for a period of two years through April 2013. It will remain in effect from year to year thereafter if approved annually by our board of directors, or by the affirmative vote of the holders of a majority of our outstanding voting securities, including, in either case, approval by a majority of our directors who are not interested persons. The Administration Agreement may not be assigned by either party without the consent of the other party. The Administration Agreement may be terminated by either party without penalty upon not more than 60 days’ written notice to the other.</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Indemnification</w:t>
      </w:r>
    </w:p>
    <w:p>
      <w:pPr>
        <w:spacing w:after="0" w:line="80" w:lineRule="exact"/>
        <w:rPr>
          <w:sz w:val="20"/>
          <w:szCs w:val="20"/>
          <w:color w:val="auto"/>
        </w:rPr>
      </w:pPr>
    </w:p>
    <w:p>
      <w:pPr>
        <w:ind w:right="20" w:firstLine="562"/>
        <w:spacing w:after="0" w:line="247" w:lineRule="auto"/>
        <w:rPr>
          <w:sz w:val="20"/>
          <w:szCs w:val="20"/>
          <w:color w:val="auto"/>
        </w:rPr>
      </w:pPr>
      <w:r>
        <w:rPr>
          <w:rFonts w:ascii="Arial" w:cs="Arial" w:eastAsia="Arial" w:hAnsi="Arial"/>
          <w:sz w:val="13"/>
          <w:szCs w:val="13"/>
          <w:color w:val="auto"/>
        </w:rPr>
        <w:t>Our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 partners, agents, employees, controlling persons, members and any other person or entity affiliated with them are entitled to indemnification from us for any damages, liabilities, costs and expenses (including reasonable attorneys’ fees and amounts reasonably paid in settlement) arising from the rendering of PennantPark Investment Advisers’ and PennantPark Investment Administration’s services under our Investment Management Agreement or Administration Agreement or otherwise as Investment Adviser or Administrator for us.</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License Agreement</w:t>
      </w:r>
    </w:p>
    <w:p>
      <w:pPr>
        <w:spacing w:after="0" w:line="80" w:lineRule="exact"/>
        <w:rPr>
          <w:sz w:val="20"/>
          <w:szCs w:val="20"/>
          <w:color w:val="auto"/>
        </w:rPr>
      </w:pPr>
    </w:p>
    <w:p>
      <w:pPr>
        <w:ind w:right="20" w:firstLine="562"/>
        <w:spacing w:after="0" w:line="256" w:lineRule="auto"/>
        <w:rPr>
          <w:sz w:val="20"/>
          <w:szCs w:val="20"/>
          <w:color w:val="auto"/>
        </w:rPr>
      </w:pPr>
      <w:r>
        <w:rPr>
          <w:rFonts w:ascii="Arial" w:cs="Arial" w:eastAsia="Arial" w:hAnsi="Arial"/>
          <w:sz w:val="13"/>
          <w:szCs w:val="13"/>
          <w:color w:val="auto"/>
        </w:rPr>
        <w:t>We have entered into a license agreement, or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Deferred Sales Load</w:t>
      </w:r>
    </w:p>
    <w:p>
      <w:pPr>
        <w:spacing w:after="0" w:line="80" w:lineRule="exact"/>
        <w:rPr>
          <w:sz w:val="20"/>
          <w:szCs w:val="20"/>
          <w:color w:val="auto"/>
        </w:rPr>
      </w:pPr>
    </w:p>
    <w:p>
      <w:pPr>
        <w:ind w:right="40" w:firstLine="562"/>
        <w:spacing w:after="0" w:line="270" w:lineRule="auto"/>
        <w:rPr>
          <w:sz w:val="20"/>
          <w:szCs w:val="20"/>
          <w:color w:val="auto"/>
        </w:rPr>
      </w:pPr>
      <w:r>
        <w:rPr>
          <w:rFonts w:ascii="Arial" w:cs="Arial" w:eastAsia="Arial" w:hAnsi="Arial"/>
          <w:sz w:val="12"/>
          <w:szCs w:val="12"/>
          <w:color w:val="auto"/>
        </w:rPr>
        <w:t>In connection with our initial public offering, the Investment Adviser paid to the underwriters 2% of the sales load, or $2.1 million in the aggregate, with respect to the offering of shares of our common stock. We (and indirectly our stockholders) will be obligated to repay this amount (a) if during any four consecutive calendar quarter-periods ending on or after April 13, 2012, our Pre-Incentive Fee Net Investment Income equals or exceeds 1.75% (7.0% annualized) of our net assets at the beginning of such period (as adjusted for any issuances or repurchases of shares of our common stock) or (b) upon our liquidation. If one or more of these events does not occur on or before April 7, 2014, we will not be obligated to repay this amount. We will repay such amount to the Investment Adviser in cash, and the Investment Adviser has agreed to use such payment to purchase shares of our common stock in the secondary market. Accordingly, for the fiscal year ended September 30, 2012, we have accrued such sales load as it is probable that we will meet the 1.75% Pre-Incentive Fee Net Investment Income hurdle for the fourth consecutive calendar quarter ending on December 31, 2012.</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REGULATION</w:t>
      </w:r>
    </w:p>
    <w:p>
      <w:pPr>
        <w:spacing w:after="0" w:line="8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Regulated Investment Company and Business Development Company Regulations</w:t>
      </w:r>
    </w:p>
    <w:p>
      <w:pPr>
        <w:spacing w:after="0" w:line="80" w:lineRule="exact"/>
        <w:rPr>
          <w:sz w:val="20"/>
          <w:szCs w:val="20"/>
          <w:color w:val="auto"/>
        </w:rPr>
      </w:pPr>
    </w:p>
    <w:p>
      <w:pPr>
        <w:ind w:firstLine="562"/>
        <w:spacing w:after="0" w:line="250" w:lineRule="auto"/>
        <w:rPr>
          <w:sz w:val="20"/>
          <w:szCs w:val="20"/>
          <w:color w:val="auto"/>
        </w:rPr>
      </w:pPr>
      <w:r>
        <w:rPr>
          <w:rFonts w:ascii="Arial" w:cs="Arial" w:eastAsia="Arial" w:hAnsi="Arial"/>
          <w:sz w:val="13"/>
          <w:szCs w:val="13"/>
          <w:color w:val="auto"/>
        </w:rPr>
        <w:t>We are a BDC under the 1940 Act, and which has qualified and intends to continue to qualify to maintain an election to be treated as a RIC under Subchapter M of the Code. The 1940 Act contains prohibitions and restrictions relating to transactions between a BDC and its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holders of a majority of our outstanding voting securities.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11220"/>
          </w:cols>
          <w:pgMar w:left="320" w:top="459" w:right="3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firstLine="562"/>
        <w:spacing w:after="0" w:line="243" w:lineRule="auto"/>
        <w:rPr>
          <w:sz w:val="20"/>
          <w:szCs w:val="20"/>
          <w:color w:val="auto"/>
        </w:rPr>
      </w:pPr>
      <w:r>
        <w:rPr>
          <w:rFonts w:ascii="Arial" w:cs="Arial" w:eastAsia="Arial" w:hAnsi="Arial"/>
          <w:sz w:val="13"/>
          <w:szCs w:val="13"/>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of 1933, as amended, or the Securities Act. We may purchase or otherwise receive warrants to purchase the common stock of our portfolio companies in connection with acquisition financing or other investments. Similarly, in connection with an acquisition, we may acquire rights to require the issuers of acquired securities or their affiliates to repurchase them under certain circumstances. We do not intend to acquire securities issued by any investment company that exceed the limits imposed by the 1940 Act. Under these limits, we generally cannot acquire more than 3% of the voting stock of any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fluctuations. None of these policies in this paragraph are fundamental and they may be changed without stockholder approval.</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Qualifying Assets</w:t>
      </w:r>
    </w:p>
    <w:p>
      <w:pPr>
        <w:spacing w:after="0" w:line="80" w:lineRule="exact"/>
        <w:rPr>
          <w:sz w:val="20"/>
          <w:szCs w:val="20"/>
          <w:color w:val="auto"/>
        </w:rPr>
      </w:pPr>
    </w:p>
    <w:p>
      <w:pPr>
        <w:ind w:right="580" w:firstLine="562"/>
        <w:spacing w:after="0" w:line="317" w:lineRule="auto"/>
        <w:rPr>
          <w:sz w:val="20"/>
          <w:szCs w:val="20"/>
          <w:color w:val="auto"/>
        </w:rPr>
      </w:pPr>
      <w:r>
        <w:rPr>
          <w:rFonts w:ascii="Arial" w:cs="Arial" w:eastAsia="Arial" w:hAnsi="Arial"/>
          <w:sz w:val="12"/>
          <w:szCs w:val="12"/>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total assets. The principal categories of qualifying assets relevant to our business are the following:</w:t>
      </w:r>
    </w:p>
    <w:p>
      <w:pPr>
        <w:spacing w:after="0" w:line="81" w:lineRule="exact"/>
        <w:rPr>
          <w:sz w:val="20"/>
          <w:szCs w:val="20"/>
          <w:color w:val="auto"/>
        </w:rPr>
      </w:pPr>
    </w:p>
    <w:p>
      <w:pPr>
        <w:jc w:val="both"/>
        <w:ind w:left="780" w:right="120" w:hanging="448"/>
        <w:spacing w:after="0" w:line="256" w:lineRule="auto"/>
        <w:tabs>
          <w:tab w:leader="none" w:pos="7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115" w:lineRule="exact"/>
        <w:rPr>
          <w:rFonts w:ascii="Arial" w:cs="Arial" w:eastAsia="Arial" w:hAnsi="Arial"/>
          <w:sz w:val="13"/>
          <w:szCs w:val="13"/>
          <w:color w:val="auto"/>
        </w:rPr>
      </w:pPr>
    </w:p>
    <w:p>
      <w:pPr>
        <w:ind w:left="1580" w:hanging="452"/>
        <w:spacing w:after="0"/>
        <w:tabs>
          <w:tab w:leader="none" w:pos="1580" w:val="left"/>
        </w:tabs>
        <w:numPr>
          <w:ilvl w:val="1"/>
          <w:numId w:val="19"/>
        </w:numPr>
        <w:rPr>
          <w:rFonts w:ascii="Arial" w:cs="Arial" w:eastAsia="Arial" w:hAnsi="Arial"/>
          <w:sz w:val="13"/>
          <w:szCs w:val="13"/>
          <w:color w:val="auto"/>
        </w:rPr>
      </w:pPr>
      <w:r>
        <w:rPr>
          <w:rFonts w:ascii="Arial" w:cs="Arial" w:eastAsia="Arial" w:hAnsi="Arial"/>
          <w:sz w:val="13"/>
          <w:szCs w:val="13"/>
          <w:color w:val="auto"/>
        </w:rPr>
        <w:t>is organized under the laws of, and has its principal place of business in, the United States;</w:t>
      </w:r>
    </w:p>
    <w:p>
      <w:pPr>
        <w:spacing w:after="0" w:line="147" w:lineRule="exact"/>
        <w:rPr>
          <w:rFonts w:ascii="Arial" w:cs="Arial" w:eastAsia="Arial" w:hAnsi="Arial"/>
          <w:sz w:val="13"/>
          <w:szCs w:val="13"/>
          <w:color w:val="auto"/>
        </w:rPr>
      </w:pPr>
    </w:p>
    <w:p>
      <w:pPr>
        <w:ind w:left="1580" w:right="120" w:hanging="452"/>
        <w:spacing w:after="0" w:line="274" w:lineRule="auto"/>
        <w:tabs>
          <w:tab w:leader="none" w:pos="1580" w:val="left"/>
        </w:tabs>
        <w:numPr>
          <w:ilvl w:val="1"/>
          <w:numId w:val="19"/>
        </w:numPr>
        <w:rPr>
          <w:rFonts w:ascii="Arial" w:cs="Arial" w:eastAsia="Arial" w:hAnsi="Arial"/>
          <w:sz w:val="13"/>
          <w:szCs w:val="13"/>
          <w:color w:val="auto"/>
        </w:rPr>
      </w:pPr>
      <w:r>
        <w:rPr>
          <w:rFonts w:ascii="Arial" w:cs="Arial" w:eastAsia="Arial" w:hAnsi="Arial"/>
          <w:sz w:val="13"/>
          <w:szCs w:val="13"/>
          <w:color w:val="auto"/>
        </w:rPr>
        <w:t>is not an investment company (other than a small business investment company wholly-owned by the BDC) or a company that would be an investment company but is excluded from the definition of an investment company by Section 3(c) of the 1940 Act; and</w:t>
      </w:r>
    </w:p>
    <w:p>
      <w:pPr>
        <w:spacing w:after="0" w:line="104" w:lineRule="exact"/>
        <w:rPr>
          <w:rFonts w:ascii="Arial" w:cs="Arial" w:eastAsia="Arial" w:hAnsi="Arial"/>
          <w:sz w:val="13"/>
          <w:szCs w:val="13"/>
          <w:color w:val="auto"/>
        </w:rPr>
      </w:pPr>
    </w:p>
    <w:p>
      <w:pPr>
        <w:ind w:left="1580" w:right="320" w:hanging="452"/>
        <w:spacing w:after="0" w:line="274" w:lineRule="auto"/>
        <w:tabs>
          <w:tab w:leader="none" w:pos="1580" w:val="left"/>
        </w:tabs>
        <w:numPr>
          <w:ilvl w:val="1"/>
          <w:numId w:val="19"/>
        </w:numPr>
        <w:rPr>
          <w:rFonts w:ascii="Arial" w:cs="Arial" w:eastAsia="Arial" w:hAnsi="Arial"/>
          <w:sz w:val="13"/>
          <w:szCs w:val="13"/>
          <w:color w:val="auto"/>
        </w:rPr>
      </w:pPr>
      <w:r>
        <w:rPr>
          <w:rFonts w:ascii="Arial" w:cs="Arial" w:eastAsia="Arial" w:hAnsi="Arial"/>
          <w:sz w:val="13"/>
          <w:szCs w:val="13"/>
          <w:color w:val="auto"/>
        </w:rPr>
        <w:t>does not have any class of securities listed on a national securities exchange; has any class of securities listed on a national securities exchange subject to a maximum market capitalization of $250.0 million.</w:t>
      </w:r>
    </w:p>
    <w:p>
      <w:pPr>
        <w:spacing w:after="0" w:line="104" w:lineRule="exact"/>
        <w:rPr>
          <w:rFonts w:ascii="Arial" w:cs="Arial" w:eastAsia="Arial" w:hAnsi="Arial"/>
          <w:sz w:val="13"/>
          <w:szCs w:val="13"/>
          <w:color w:val="auto"/>
        </w:rPr>
      </w:pPr>
    </w:p>
    <w:p>
      <w:pPr>
        <w:ind w:left="780" w:hanging="448"/>
        <w:spacing w:after="0"/>
        <w:tabs>
          <w:tab w:leader="none" w:pos="7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Securities of any eligible portfolio company which we control which may have an affiliated person who is a director of such portfolio company.</w:t>
      </w:r>
    </w:p>
    <w:p>
      <w:pPr>
        <w:spacing w:after="0" w:line="147" w:lineRule="exact"/>
        <w:rPr>
          <w:rFonts w:ascii="Arial" w:cs="Arial" w:eastAsia="Arial" w:hAnsi="Arial"/>
          <w:sz w:val="13"/>
          <w:szCs w:val="13"/>
          <w:color w:val="auto"/>
        </w:rPr>
      </w:pPr>
    </w:p>
    <w:p>
      <w:pPr>
        <w:ind w:left="780" w:right="260" w:hanging="448"/>
        <w:spacing w:after="0" w:line="256" w:lineRule="auto"/>
        <w:tabs>
          <w:tab w:leader="none" w:pos="7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Securities purchased in a private transaction from a U.S. operating company or from an affiliated person of the issuer, or in transactions incidental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115" w:lineRule="exact"/>
        <w:rPr>
          <w:rFonts w:ascii="Arial" w:cs="Arial" w:eastAsia="Arial" w:hAnsi="Arial"/>
          <w:sz w:val="13"/>
          <w:szCs w:val="13"/>
          <w:color w:val="auto"/>
        </w:rPr>
      </w:pPr>
    </w:p>
    <w:p>
      <w:pPr>
        <w:ind w:left="780" w:right="140" w:hanging="448"/>
        <w:spacing w:after="0" w:line="274" w:lineRule="auto"/>
        <w:tabs>
          <w:tab w:leader="none" w:pos="7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104" w:lineRule="exact"/>
        <w:rPr>
          <w:rFonts w:ascii="Arial" w:cs="Arial" w:eastAsia="Arial" w:hAnsi="Arial"/>
          <w:sz w:val="13"/>
          <w:szCs w:val="13"/>
          <w:color w:val="auto"/>
        </w:rPr>
      </w:pPr>
    </w:p>
    <w:p>
      <w:pPr>
        <w:ind w:left="780" w:hanging="448"/>
        <w:spacing w:after="0"/>
        <w:tabs>
          <w:tab w:leader="none" w:pos="7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Securities received in exchange for or distributed on or with respect to securities described in (1) through (4) above, or pursuant to the exercise of warrants or rights relating to such securities.</w:t>
      </w:r>
    </w:p>
    <w:p>
      <w:pPr>
        <w:spacing w:after="0" w:line="159" w:lineRule="exact"/>
        <w:rPr>
          <w:rFonts w:ascii="Arial" w:cs="Arial" w:eastAsia="Arial" w:hAnsi="Arial"/>
          <w:sz w:val="12"/>
          <w:szCs w:val="12"/>
          <w:color w:val="auto"/>
        </w:rPr>
      </w:pPr>
    </w:p>
    <w:p>
      <w:pPr>
        <w:ind w:left="780" w:hanging="448"/>
        <w:spacing w:after="0"/>
        <w:tabs>
          <w:tab w:leader="none" w:pos="7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Cash, cash equivalents, U.S. government securities or high-quality debt securities maturing in one year or less from the time of investment.</w:t>
      </w:r>
    </w:p>
    <w:p>
      <w:pPr>
        <w:spacing w:after="0" w:line="134" w:lineRule="exact"/>
        <w:rPr>
          <w:sz w:val="20"/>
          <w:szCs w:val="20"/>
          <w:color w:val="auto"/>
        </w:rPr>
      </w:pPr>
    </w:p>
    <w:p>
      <w:pPr>
        <w:ind w:right="320" w:firstLine="562"/>
        <w:spacing w:after="0" w:line="274" w:lineRule="auto"/>
        <w:rPr>
          <w:sz w:val="20"/>
          <w:szCs w:val="20"/>
          <w:color w:val="auto"/>
        </w:rPr>
      </w:pPr>
      <w:r>
        <w:rPr>
          <w:rFonts w:ascii="Arial" w:cs="Arial" w:eastAsia="Arial" w:hAnsi="Arial"/>
          <w:sz w:val="13"/>
          <w:szCs w:val="13"/>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Managerial Assistance to Portfolio Companies</w:t>
      </w:r>
    </w:p>
    <w:p>
      <w:pPr>
        <w:spacing w:after="0" w:line="80" w:lineRule="exact"/>
        <w:rPr>
          <w:sz w:val="20"/>
          <w:szCs w:val="20"/>
          <w:color w:val="auto"/>
        </w:rPr>
      </w:pPr>
    </w:p>
    <w:p>
      <w:pPr>
        <w:ind w:right="180" w:firstLine="562"/>
        <w:spacing w:after="0" w:line="278" w:lineRule="auto"/>
        <w:rPr>
          <w:sz w:val="20"/>
          <w:szCs w:val="20"/>
          <w:color w:val="auto"/>
        </w:rPr>
      </w:pPr>
      <w:r>
        <w:rPr>
          <w:rFonts w:ascii="Arial" w:cs="Arial" w:eastAsia="Arial" w:hAnsi="Arial"/>
          <w:sz w:val="12"/>
          <w:szCs w:val="12"/>
          <w:color w:val="auto"/>
        </w:rPr>
        <w:t>As a BDC, we are required to make available managerial assistance to our portfolio companies that constitute a qualifying asset within the meaning of Section 55 of the 1940 Act. However, if a BDC purchases securities in conjunction with one or more other persons acting together, one of the other persons in the group may make available such managerial assistance. Making available managerial assistance means any arrangement whereby the BDC, through its directors, officers or employees, offers to provide, and, if accepted, does provide, significant guidance and counsel concerning the management, operations or business objectives and policies of a portfolio company. Our Administrator may provide such assistance on our behalf to portfolio companies that request such assistance.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ectPr>
          <w:pgSz w:w="11900" w:h="16838" w:orient="portrait"/>
          <w:cols w:equalWidth="0" w:num="1">
            <w:col w:w="11240"/>
          </w:cols>
          <w:pgMar w:left="320" w:top="459"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Temporary Investments</w:t>
      </w:r>
    </w:p>
    <w:p>
      <w:pPr>
        <w:spacing w:after="0" w:line="80" w:lineRule="exact"/>
        <w:rPr>
          <w:sz w:val="20"/>
          <w:szCs w:val="20"/>
          <w:color w:val="auto"/>
        </w:rPr>
      </w:pPr>
    </w:p>
    <w:p>
      <w:pPr>
        <w:ind w:firstLine="562"/>
        <w:spacing w:after="0" w:line="243" w:lineRule="auto"/>
        <w:rPr>
          <w:sz w:val="20"/>
          <w:szCs w:val="20"/>
          <w:color w:val="auto"/>
        </w:rPr>
      </w:pPr>
      <w:r>
        <w:rPr>
          <w:rFonts w:ascii="Arial" w:cs="Arial" w:eastAsia="Arial" w:hAnsi="Arial"/>
          <w:sz w:val="13"/>
          <w:szCs w:val="13"/>
          <w:color w:val="auto"/>
        </w:rPr>
        <w:t>Pending investments in other types of “qualifying assets,” as described above,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later in this Report under “Regulation—Election to be Taxed as a RIC,” in order to qualify as a RIC for federal income tax purposes. Thus, we do not intend to enter into repurchase agreements with a single counterparty in excess of this limit. Our Investment Adviser monitors the creditworthiness of the counterparties with which we may enter into repurchase agreement transactions.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Senior Securities</w:t>
      </w:r>
    </w:p>
    <w:p>
      <w:pPr>
        <w:spacing w:after="0" w:line="80" w:lineRule="exact"/>
        <w:rPr>
          <w:sz w:val="20"/>
          <w:szCs w:val="20"/>
          <w:color w:val="auto"/>
        </w:rPr>
      </w:pPr>
    </w:p>
    <w:p>
      <w:pPr>
        <w:ind w:right="80" w:firstLine="449"/>
        <w:spacing w:after="0" w:line="245" w:lineRule="auto"/>
        <w:rPr>
          <w:sz w:val="20"/>
          <w:szCs w:val="20"/>
          <w:color w:val="auto"/>
        </w:rPr>
      </w:pPr>
      <w:r>
        <w:rPr>
          <w:rFonts w:ascii="Arial" w:cs="Arial" w:eastAsia="Arial" w:hAnsi="Arial"/>
          <w:sz w:val="13"/>
          <w:szCs w:val="13"/>
          <w:color w:val="auto"/>
        </w:rPr>
        <w:t>We are permitted, under specified conditions, to issue multiple classes of indebtedness and one class of stock senior to our common stock if our asset coverage ratio or test, which is, as defined in the 1940 Act, as the ratio of total assets (loss total liabilities other than indebtedness) to total indebtedness must equal 200% or more after each such issuance. 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 of the value of our total assets for temporary or emergency purposes without regard to our asset coverage test or ratio. For a discussion of the risks associated with leverage, see “Risk Factors—Risks Relating to our Business and Structure—Regulations governing our operation as a BDC will affect our ability to, and the way in which we, raise additional capital” for more information.</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Joint Code of Ethics and Code of Conduct</w:t>
      </w:r>
    </w:p>
    <w:p>
      <w:pPr>
        <w:spacing w:after="0" w:line="80" w:lineRule="exact"/>
        <w:rPr>
          <w:sz w:val="20"/>
          <w:szCs w:val="20"/>
          <w:color w:val="auto"/>
        </w:rPr>
      </w:pPr>
    </w:p>
    <w:p>
      <w:pPr>
        <w:ind w:right="40" w:firstLine="562"/>
        <w:spacing w:after="0" w:line="273" w:lineRule="auto"/>
        <w:rPr>
          <w:sz w:val="20"/>
          <w:szCs w:val="20"/>
          <w:color w:val="auto"/>
        </w:rPr>
      </w:pPr>
      <w:r>
        <w:rPr>
          <w:rFonts w:ascii="Arial" w:cs="Arial" w:eastAsia="Arial" w:hAnsi="Arial"/>
          <w:sz w:val="12"/>
          <w:szCs w:val="12"/>
          <w:color w:val="auto"/>
        </w:rPr>
        <w:t xml:space="preserve">We and PennantPark Investment Advisers have adopted a joint code of ethics pursuant to Rule 17j-1 under the 1940 Act that establish procedures for personal investments and restricts certain personal securities transactions. Our joint code of ethics and code of conduct are available, free of charge, on our website at </w:t>
      </w:r>
      <w:r>
        <w:rPr>
          <w:rFonts w:ascii="Arial" w:cs="Arial" w:eastAsia="Arial" w:hAnsi="Arial"/>
          <w:sz w:val="12"/>
          <w:szCs w:val="12"/>
          <w:i w:val="1"/>
          <w:iCs w:val="1"/>
          <w:u w:val="single" w:color="auto"/>
          <w:color w:val="auto"/>
        </w:rPr>
        <w:t>www.pennantpark.com</w:t>
      </w:r>
      <w:r>
        <w:rPr>
          <w:rFonts w:ascii="Arial" w:cs="Arial" w:eastAsia="Arial" w:hAnsi="Arial"/>
          <w:sz w:val="12"/>
          <w:szCs w:val="12"/>
          <w:color w:val="auto"/>
        </w:rPr>
        <w:t xml:space="preserve">. You may read and copy the code of ethics at the SEC’s Public Reference Room in Washington, D.C. You may obtain information on the operation of the Public Reference Room by calling the SEC at (202) 551-8090. In addition, the joint code of ethics is attached as an exhibit to our annual report on Form 10-K and is available on the EDGAR Database on the SEC’s Internet site at </w:t>
      </w:r>
      <w:r>
        <w:rPr>
          <w:rFonts w:ascii="Arial" w:cs="Arial" w:eastAsia="Arial" w:hAnsi="Arial"/>
          <w:sz w:val="12"/>
          <w:szCs w:val="12"/>
          <w:i w:val="1"/>
          <w:iCs w:val="1"/>
          <w:u w:val="single" w:color="auto"/>
          <w:color w:val="auto"/>
        </w:rPr>
        <w:t>www.sec.gov</w:t>
      </w:r>
      <w:r>
        <w:rPr>
          <w:rFonts w:ascii="Arial" w:cs="Arial" w:eastAsia="Arial" w:hAnsi="Arial"/>
          <w:sz w:val="12"/>
          <w:szCs w:val="12"/>
          <w:color w:val="auto"/>
        </w:rPr>
        <w:t xml:space="preserve"> . You may also obtain a copy of our joint code of ethics, after paying a duplicating fee, by electronic request at the following email address: </w:t>
      </w:r>
      <w:r>
        <w:rPr>
          <w:rFonts w:ascii="Arial" w:cs="Arial" w:eastAsia="Arial" w:hAnsi="Arial"/>
          <w:sz w:val="12"/>
          <w:szCs w:val="12"/>
          <w:i w:val="1"/>
          <w:iCs w:val="1"/>
          <w:u w:val="single" w:color="auto"/>
          <w:color w:val="auto"/>
        </w:rPr>
        <w:t>publicinfo@sec.gov</w:t>
      </w:r>
      <w:r>
        <w:rPr>
          <w:rFonts w:ascii="Arial" w:cs="Arial" w:eastAsia="Arial" w:hAnsi="Arial"/>
          <w:sz w:val="12"/>
          <w:szCs w:val="12"/>
          <w:color w:val="auto"/>
        </w:rPr>
        <w:t>, or by writing the SEC’s Public Reference Section, 100 F Street, N.E., Washington, D.C. 20549.</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Proxy Voting Policies and Procedures</w:t>
      </w:r>
    </w:p>
    <w:p>
      <w:pPr>
        <w:spacing w:after="0" w:line="80" w:lineRule="exact"/>
        <w:rPr>
          <w:sz w:val="20"/>
          <w:szCs w:val="20"/>
          <w:color w:val="auto"/>
        </w:rPr>
      </w:pPr>
    </w:p>
    <w:p>
      <w:pPr>
        <w:jc w:val="both"/>
        <w:ind w:right="60" w:firstLine="562"/>
        <w:spacing w:after="0" w:line="256" w:lineRule="auto"/>
        <w:rPr>
          <w:sz w:val="20"/>
          <w:szCs w:val="20"/>
          <w:color w:val="auto"/>
        </w:rPr>
      </w:pPr>
      <w:r>
        <w:rPr>
          <w:rFonts w:ascii="Arial" w:cs="Arial" w:eastAsia="Arial" w:hAnsi="Arial"/>
          <w:sz w:val="13"/>
          <w:szCs w:val="13"/>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refers to our Investment Adviser.</w:t>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Introduction</w:t>
      </w:r>
    </w:p>
    <w:p>
      <w:pPr>
        <w:spacing w:after="0" w:line="11" w:lineRule="exact"/>
        <w:rPr>
          <w:sz w:val="20"/>
          <w:szCs w:val="20"/>
          <w:color w:val="auto"/>
        </w:rPr>
      </w:pPr>
    </w:p>
    <w:p>
      <w:pPr>
        <w:ind w:right="300" w:firstLine="562"/>
        <w:spacing w:after="0" w:line="255" w:lineRule="auto"/>
        <w:rPr>
          <w:sz w:val="20"/>
          <w:szCs w:val="20"/>
          <w:color w:val="auto"/>
        </w:rPr>
      </w:pPr>
      <w:r>
        <w:rPr>
          <w:rFonts w:ascii="Arial" w:cs="Arial" w:eastAsia="Arial" w:hAnsi="Arial"/>
          <w:sz w:val="13"/>
          <w:szCs w:val="13"/>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102" w:lineRule="exact"/>
        <w:rPr>
          <w:sz w:val="20"/>
          <w:szCs w:val="20"/>
          <w:color w:val="auto"/>
        </w:rPr>
      </w:pPr>
    </w:p>
    <w:p>
      <w:pPr>
        <w:ind w:left="120" w:right="1360" w:firstLine="449"/>
        <w:spacing w:after="0" w:line="356" w:lineRule="auto"/>
        <w:rPr>
          <w:sz w:val="20"/>
          <w:szCs w:val="20"/>
          <w:color w:val="auto"/>
        </w:rPr>
      </w:pPr>
      <w:r>
        <w:rPr>
          <w:rFonts w:ascii="Arial" w:cs="Arial" w:eastAsia="Arial" w:hAnsi="Arial"/>
          <w:sz w:val="13"/>
          <w:szCs w:val="13"/>
          <w:color w:val="auto"/>
        </w:rPr>
        <w:t xml:space="preserve">These policies and procedures for voting proxies for our investment advisory clients are intended to comply with Section 206 of, and Rule 206(4)-6 under, the Advisers Act. </w:t>
      </w:r>
      <w:r>
        <w:rPr>
          <w:rFonts w:ascii="Arial" w:cs="Arial" w:eastAsia="Arial" w:hAnsi="Arial"/>
          <w:sz w:val="13"/>
          <w:szCs w:val="13"/>
          <w:i w:val="1"/>
          <w:iCs w:val="1"/>
          <w:color w:val="auto"/>
        </w:rPr>
        <w:t>Proxy Policies</w:t>
      </w:r>
    </w:p>
    <w:p>
      <w:pPr>
        <w:spacing w:after="0" w:line="1" w:lineRule="exact"/>
        <w:rPr>
          <w:sz w:val="20"/>
          <w:szCs w:val="20"/>
          <w:color w:val="auto"/>
        </w:rPr>
      </w:pPr>
    </w:p>
    <w:p>
      <w:pPr>
        <w:ind w:right="160" w:firstLine="562"/>
        <w:spacing w:after="0" w:line="247" w:lineRule="auto"/>
        <w:rPr>
          <w:sz w:val="20"/>
          <w:szCs w:val="20"/>
          <w:color w:val="auto"/>
        </w:rPr>
      </w:pPr>
      <w:r>
        <w:rPr>
          <w:rFonts w:ascii="Arial" w:cs="Arial" w:eastAsia="Arial" w:hAnsi="Arial"/>
          <w:sz w:val="13"/>
          <w:szCs w:val="13"/>
          <w:color w:val="auto"/>
        </w:rPr>
        <w:t>We vote proxies relating to our portfolio securities in what we perceive to be the best interest of our clients’ stockholders. We review on a case-by-case basis each proposal submitted to a shareholder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07" w:lineRule="exact"/>
        <w:rPr>
          <w:sz w:val="20"/>
          <w:szCs w:val="20"/>
          <w:color w:val="auto"/>
        </w:rPr>
      </w:pPr>
    </w:p>
    <w:p>
      <w:pPr>
        <w:ind w:right="40" w:firstLine="562"/>
        <w:spacing w:after="0" w:line="250" w:lineRule="auto"/>
        <w:rPr>
          <w:sz w:val="20"/>
          <w:szCs w:val="20"/>
          <w:color w:val="auto"/>
        </w:rPr>
      </w:pPr>
      <w:r>
        <w:rPr>
          <w:rFonts w:ascii="Arial" w:cs="Arial" w:eastAsia="Arial" w:hAnsi="Arial"/>
          <w:sz w:val="13"/>
          <w:szCs w:val="13"/>
          <w:color w:val="auto"/>
        </w:rPr>
        <w:t>Our proxy voting decisions are made by the senior officers who are responsible for monitoring each of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16</w:t>
      </w:r>
    </w:p>
    <w:p>
      <w:pPr>
        <w:sectPr>
          <w:pgSz w:w="11900" w:h="16838" w:orient="portrait"/>
          <w:cols w:equalWidth="0" w:num="1">
            <w:col w:w="11240"/>
          </w:cols>
          <w:pgMar w:left="320" w:top="459"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Proxy Voting Records</w:t>
      </w:r>
    </w:p>
    <w:p>
      <w:pPr>
        <w:spacing w:after="0" w:line="11" w:lineRule="exact"/>
        <w:rPr>
          <w:sz w:val="20"/>
          <w:szCs w:val="20"/>
          <w:color w:val="auto"/>
        </w:rPr>
      </w:pPr>
    </w:p>
    <w:p>
      <w:pPr>
        <w:ind w:left="120" w:right="60" w:firstLine="222"/>
        <w:spacing w:after="0" w:line="247" w:lineRule="auto"/>
        <w:rPr>
          <w:sz w:val="20"/>
          <w:szCs w:val="20"/>
          <w:color w:val="auto"/>
        </w:rPr>
      </w:pPr>
      <w:r>
        <w:rPr>
          <w:rFonts w:ascii="Arial" w:cs="Arial" w:eastAsia="Arial" w:hAnsi="Arial"/>
          <w:sz w:val="13"/>
          <w:szCs w:val="13"/>
          <w:color w:val="auto"/>
        </w:rPr>
        <w:t>You may obtain information about how we voted proxies by calling us collect at (212) 905-1000 or by making a written request for proxy voting information to: Aviv Efrat, Chief Financial Officer and Treasurer, 590 Madison Avenue, 15</w:t>
      </w:r>
      <w:r>
        <w:rPr>
          <w:rFonts w:ascii="Arial" w:cs="Arial" w:eastAsia="Arial" w:hAnsi="Arial"/>
          <w:sz w:val="22"/>
          <w:szCs w:val="22"/>
          <w:color w:val="auto"/>
          <w:vertAlign w:val="superscript"/>
        </w:rPr>
        <w:t>th</w:t>
      </w:r>
      <w:r>
        <w:rPr>
          <w:rFonts w:ascii="Arial" w:cs="Arial" w:eastAsia="Arial" w:hAnsi="Arial"/>
          <w:sz w:val="13"/>
          <w:szCs w:val="13"/>
          <w:color w:val="auto"/>
        </w:rPr>
        <w:t xml:space="preserve"> Floor, New York, New York 10022.</w:t>
      </w:r>
    </w:p>
    <w:p>
      <w:pPr>
        <w:spacing w:after="0" w:line="60" w:lineRule="exact"/>
        <w:rPr>
          <w:sz w:val="20"/>
          <w:szCs w:val="20"/>
          <w:color w:val="auto"/>
        </w:rPr>
      </w:pPr>
    </w:p>
    <w:p>
      <w:pPr>
        <w:ind w:left="120"/>
        <w:spacing w:after="0"/>
        <w:rPr>
          <w:sz w:val="20"/>
          <w:szCs w:val="20"/>
          <w:color w:val="auto"/>
        </w:rPr>
      </w:pPr>
      <w:r>
        <w:rPr>
          <w:rFonts w:ascii="Arial" w:cs="Arial" w:eastAsia="Arial" w:hAnsi="Arial"/>
          <w:sz w:val="13"/>
          <w:szCs w:val="13"/>
          <w:b w:val="1"/>
          <w:bCs w:val="1"/>
          <w:i w:val="1"/>
          <w:iCs w:val="1"/>
          <w:color w:val="auto"/>
        </w:rPr>
        <w:t>Privacy Protection Principles</w:t>
      </w:r>
    </w:p>
    <w:p>
      <w:pPr>
        <w:spacing w:after="0" w:line="80" w:lineRule="exact"/>
        <w:rPr>
          <w:sz w:val="20"/>
          <w:szCs w:val="20"/>
          <w:color w:val="auto"/>
        </w:rPr>
      </w:pPr>
    </w:p>
    <w:p>
      <w:pPr>
        <w:ind w:left="120" w:firstLine="222"/>
        <w:spacing w:after="0" w:line="274" w:lineRule="auto"/>
        <w:rPr>
          <w:sz w:val="20"/>
          <w:szCs w:val="20"/>
          <w:color w:val="auto"/>
        </w:rPr>
      </w:pPr>
      <w:r>
        <w:rPr>
          <w:rFonts w:ascii="Arial" w:cs="Arial" w:eastAsia="Arial" w:hAnsi="Arial"/>
          <w:sz w:val="13"/>
          <w:szCs w:val="13"/>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91" w:lineRule="exact"/>
        <w:rPr>
          <w:sz w:val="20"/>
          <w:szCs w:val="20"/>
          <w:color w:val="auto"/>
        </w:rPr>
      </w:pPr>
    </w:p>
    <w:p>
      <w:pPr>
        <w:ind w:left="120" w:right="60" w:firstLine="222"/>
        <w:spacing w:after="0" w:line="256" w:lineRule="auto"/>
        <w:rPr>
          <w:sz w:val="20"/>
          <w:szCs w:val="20"/>
          <w:color w:val="auto"/>
        </w:rPr>
      </w:pPr>
      <w:r>
        <w:rPr>
          <w:rFonts w:ascii="Arial" w:cs="Arial" w:eastAsia="Arial" w:hAnsi="Arial"/>
          <w:sz w:val="13"/>
          <w:szCs w:val="13"/>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02" w:lineRule="exact"/>
        <w:rPr>
          <w:sz w:val="20"/>
          <w:szCs w:val="20"/>
          <w:color w:val="auto"/>
        </w:rPr>
      </w:pPr>
    </w:p>
    <w:p>
      <w:pPr>
        <w:jc w:val="both"/>
        <w:ind w:left="120" w:right="100" w:firstLine="222"/>
        <w:spacing w:after="0" w:line="274" w:lineRule="auto"/>
        <w:rPr>
          <w:sz w:val="20"/>
          <w:szCs w:val="20"/>
          <w:color w:val="auto"/>
        </w:rPr>
      </w:pPr>
      <w:r>
        <w:rPr>
          <w:rFonts w:ascii="Arial" w:cs="Arial" w:eastAsia="Arial" w:hAnsi="Arial"/>
          <w:sz w:val="13"/>
          <w:szCs w:val="13"/>
          <w:color w:val="auto"/>
        </w:rPr>
        <w:t>We restrict access to non-public personal information about our stockholders to employees of our Investment Adviser and its affiliates with a legitimate business need for the information. We maintain physical, electronic and procedural safeguards designed to protect the non-public personal information of our stockholders.</w:t>
      </w:r>
    </w:p>
    <w:p>
      <w:pPr>
        <w:spacing w:after="0" w:line="91" w:lineRule="exact"/>
        <w:rPr>
          <w:sz w:val="20"/>
          <w:szCs w:val="20"/>
          <w:color w:val="auto"/>
        </w:rPr>
      </w:pPr>
    </w:p>
    <w:p>
      <w:pPr>
        <w:jc w:val="both"/>
        <w:ind w:left="120" w:right="120" w:firstLine="222"/>
        <w:spacing w:after="0" w:line="288" w:lineRule="auto"/>
        <w:rPr>
          <w:sz w:val="20"/>
          <w:szCs w:val="20"/>
          <w:color w:val="auto"/>
        </w:rPr>
      </w:pPr>
      <w:r>
        <w:rPr>
          <w:rFonts w:ascii="Arial" w:cs="Arial" w:eastAsia="Arial" w:hAnsi="Arial"/>
          <w:sz w:val="12"/>
          <w:szCs w:val="12"/>
          <w:color w:val="auto"/>
        </w:rPr>
        <w:t xml:space="preserve">Our privacy protection policies are available, free of charge, on our website at </w:t>
      </w:r>
      <w:r>
        <w:rPr>
          <w:rFonts w:ascii="Arial" w:cs="Arial" w:eastAsia="Arial" w:hAnsi="Arial"/>
          <w:sz w:val="12"/>
          <w:szCs w:val="12"/>
          <w:i w:val="1"/>
          <w:iCs w:val="1"/>
          <w:u w:val="single" w:color="auto"/>
          <w:color w:val="auto"/>
        </w:rPr>
        <w:t>www.pennantpark.com</w:t>
      </w:r>
      <w:r>
        <w:rPr>
          <w:rFonts w:ascii="Arial" w:cs="Arial" w:eastAsia="Arial" w:hAnsi="Arial"/>
          <w:sz w:val="12"/>
          <w:szCs w:val="12"/>
          <w:color w:val="auto"/>
        </w:rPr>
        <w:t xml:space="preserve">. In addition, the privacy policy is available on the EDGAR Database on the SEC’s Internet site at </w:t>
      </w:r>
      <w:r>
        <w:rPr>
          <w:rFonts w:ascii="Arial" w:cs="Arial" w:eastAsia="Arial" w:hAnsi="Arial"/>
          <w:sz w:val="12"/>
          <w:szCs w:val="12"/>
          <w:i w:val="1"/>
          <w:iCs w:val="1"/>
          <w:u w:val="single" w:color="auto"/>
          <w:color w:val="auto"/>
        </w:rPr>
        <w:t>www.sec.gov</w:t>
      </w:r>
      <w:r>
        <w:rPr>
          <w:rFonts w:ascii="Arial" w:cs="Arial" w:eastAsia="Arial" w:hAnsi="Arial"/>
          <w:sz w:val="12"/>
          <w:szCs w:val="12"/>
          <w:color w:val="auto"/>
        </w:rPr>
        <w:t>, filed as an exhibit to our annual report on Form 10-K (File No. 814-00891 filed on November 17, 2011). You may also obtain copies of our privacy policy, after paying a duplicating fee, by</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electronic request at the following email address: </w:t>
      </w:r>
      <w:r>
        <w:rPr>
          <w:rFonts w:ascii="Arial" w:cs="Arial" w:eastAsia="Arial" w:hAnsi="Arial"/>
          <w:sz w:val="12"/>
          <w:szCs w:val="12"/>
          <w:i w:val="1"/>
          <w:iCs w:val="1"/>
          <w:u w:val="single" w:color="auto"/>
          <w:color w:val="auto"/>
        </w:rPr>
        <w:t>publicinfo@sec.gov</w:t>
      </w:r>
      <w:r>
        <w:rPr>
          <w:rFonts w:ascii="Arial" w:cs="Arial" w:eastAsia="Arial" w:hAnsi="Arial"/>
          <w:sz w:val="12"/>
          <w:szCs w:val="12"/>
          <w:color w:val="auto"/>
        </w:rPr>
        <w:t>, or by writing the SEC’s Public Reference Section, 100 F Street, N.E., Washington, D.C. 20549.</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Other</w:t>
      </w:r>
    </w:p>
    <w:p>
      <w:pPr>
        <w:spacing w:after="0" w:line="80" w:lineRule="exact"/>
        <w:rPr>
          <w:sz w:val="20"/>
          <w:szCs w:val="20"/>
          <w:color w:val="auto"/>
        </w:rPr>
      </w:pPr>
    </w:p>
    <w:p>
      <w:pPr>
        <w:ind w:left="120" w:right="140" w:firstLine="445"/>
        <w:spacing w:after="0" w:line="274" w:lineRule="auto"/>
        <w:rPr>
          <w:sz w:val="20"/>
          <w:szCs w:val="20"/>
          <w:color w:val="auto"/>
        </w:rPr>
      </w:pPr>
      <w:r>
        <w:rPr>
          <w:rFonts w:ascii="Arial" w:cs="Arial" w:eastAsia="Arial" w:hAnsi="Arial"/>
          <w:sz w:val="13"/>
          <w:szCs w:val="13"/>
          <w:color w:val="auto"/>
        </w:rPr>
        <w:t>We may also be prohibited under the 1940 Act from knowingly participating in certain transactions with our affiliates without the prior approval of our board of directors and, in some cases, prior approval by the SEC.</w:t>
      </w:r>
    </w:p>
    <w:p>
      <w:pPr>
        <w:spacing w:after="0" w:line="9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We will be periodically examined by the SEC for compliance with the 1940 Act.</w:t>
      </w:r>
    </w:p>
    <w:p>
      <w:pPr>
        <w:spacing w:after="0" w:line="134" w:lineRule="exact"/>
        <w:rPr>
          <w:sz w:val="20"/>
          <w:szCs w:val="20"/>
          <w:color w:val="auto"/>
        </w:rPr>
      </w:pPr>
    </w:p>
    <w:p>
      <w:pPr>
        <w:jc w:val="both"/>
        <w:ind w:left="120" w:right="80" w:firstLine="445"/>
        <w:spacing w:after="0" w:line="256" w:lineRule="auto"/>
        <w:rPr>
          <w:sz w:val="20"/>
          <w:szCs w:val="20"/>
          <w:color w:val="auto"/>
        </w:rPr>
      </w:pPr>
      <w:r>
        <w:rPr>
          <w:rFonts w:ascii="Arial" w:cs="Arial" w:eastAsia="Arial" w:hAnsi="Arial"/>
          <w:sz w:val="13"/>
          <w:szCs w:val="13"/>
          <w:color w:val="auto"/>
        </w:rPr>
        <w:t>We are required by law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02" w:lineRule="exact"/>
        <w:rPr>
          <w:sz w:val="20"/>
          <w:szCs w:val="20"/>
          <w:color w:val="auto"/>
        </w:rPr>
      </w:pPr>
    </w:p>
    <w:p>
      <w:pPr>
        <w:jc w:val="both"/>
        <w:ind w:left="120" w:right="220" w:firstLine="445"/>
        <w:spacing w:after="0" w:line="256" w:lineRule="auto"/>
        <w:rPr>
          <w:sz w:val="20"/>
          <w:szCs w:val="20"/>
          <w:color w:val="auto"/>
        </w:rPr>
      </w:pPr>
      <w:r>
        <w:rPr>
          <w:rFonts w:ascii="Arial" w:cs="Arial" w:eastAsia="Arial" w:hAnsi="Arial"/>
          <w:sz w:val="13"/>
          <w:szCs w:val="13"/>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designate a Chief Compliance Officer to be responsible for administering the policies and procedures.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Sarbanes-Oxley Act of 2002</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2"/>
          <w:szCs w:val="12"/>
          <w:color w:val="auto"/>
        </w:rPr>
        <w:t>The Sarbanes-Oxley Act of 2002, or the Sarbanes-Oxley Act, imposes several regulatory requirements on publicly held companies and their insiders. Many of these requirements affect us. For</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example:</w:t>
      </w:r>
    </w:p>
    <w:p>
      <w:pPr>
        <w:spacing w:after="0" w:line="136" w:lineRule="exact"/>
        <w:rPr>
          <w:sz w:val="20"/>
          <w:szCs w:val="20"/>
          <w:color w:val="auto"/>
        </w:rPr>
      </w:pPr>
    </w:p>
    <w:p>
      <w:pPr>
        <w:ind w:left="880" w:right="160" w:hanging="319"/>
        <w:spacing w:after="0" w:line="274" w:lineRule="auto"/>
        <w:tabs>
          <w:tab w:leader="none" w:pos="8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pursuant to Rule 13a-14 of the Securities Exchange Act of 1934, as amended, or the Exchange Act, our Chief Executive Officer and Chief Financial Officer must certify the accuracy of the consolidated financial statements contained in our periodic reports;</w:t>
      </w:r>
    </w:p>
    <w:p>
      <w:pPr>
        <w:spacing w:after="0" w:line="104" w:lineRule="exact"/>
        <w:rPr>
          <w:rFonts w:ascii="Arial" w:cs="Arial" w:eastAsia="Arial" w:hAnsi="Arial"/>
          <w:sz w:val="13"/>
          <w:szCs w:val="13"/>
          <w:color w:val="auto"/>
        </w:rPr>
      </w:pPr>
    </w:p>
    <w:p>
      <w:pPr>
        <w:ind w:left="880" w:hanging="319"/>
        <w:spacing w:after="0"/>
        <w:tabs>
          <w:tab w:leader="none" w:pos="8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pursuant to Item 307 of Regulation S-K, our periodic reports must disclose our conclusions about the effectiveness of our disclosure controls and procedures;</w:t>
      </w:r>
    </w:p>
    <w:p>
      <w:pPr>
        <w:spacing w:after="0" w:line="147" w:lineRule="exact"/>
        <w:rPr>
          <w:rFonts w:ascii="Arial" w:cs="Arial" w:eastAsia="Arial" w:hAnsi="Arial"/>
          <w:sz w:val="13"/>
          <w:szCs w:val="13"/>
          <w:color w:val="auto"/>
        </w:rPr>
      </w:pPr>
    </w:p>
    <w:p>
      <w:pPr>
        <w:ind w:left="880" w:hanging="319"/>
        <w:spacing w:after="0"/>
        <w:tabs>
          <w:tab w:leader="none" w:pos="8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pursuant to Rule 13a-15 of the Exchange Act, our management must prepare an annual report regarding its assessment of our internal controls over financial reporting; and</w:t>
      </w:r>
    </w:p>
    <w:p>
      <w:pPr>
        <w:spacing w:after="0" w:line="147" w:lineRule="exact"/>
        <w:rPr>
          <w:rFonts w:ascii="Arial" w:cs="Arial" w:eastAsia="Arial" w:hAnsi="Arial"/>
          <w:sz w:val="13"/>
          <w:szCs w:val="13"/>
          <w:color w:val="auto"/>
        </w:rPr>
      </w:pPr>
    </w:p>
    <w:p>
      <w:pPr>
        <w:ind w:left="880" w:right="40" w:hanging="319"/>
        <w:spacing w:after="0" w:line="256" w:lineRule="auto"/>
        <w:tabs>
          <w:tab w:leader="none" w:pos="8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pursuant to Item 308 of Regulation S-K and Rule 13a-15 of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02" w:lineRule="exact"/>
        <w:rPr>
          <w:sz w:val="20"/>
          <w:szCs w:val="20"/>
          <w:color w:val="auto"/>
        </w:rPr>
      </w:pPr>
    </w:p>
    <w:p>
      <w:pPr>
        <w:ind w:right="140" w:firstLine="562"/>
        <w:spacing w:after="0" w:line="317" w:lineRule="auto"/>
        <w:rPr>
          <w:sz w:val="20"/>
          <w:szCs w:val="20"/>
          <w:color w:val="auto"/>
        </w:rPr>
      </w:pPr>
      <w:r>
        <w:rPr>
          <w:rFonts w:ascii="Arial" w:cs="Arial" w:eastAsia="Arial" w:hAnsi="Arial"/>
          <w:sz w:val="12"/>
          <w:szCs w:val="12"/>
          <w:color w:val="auto"/>
        </w:rPr>
        <w:t>The Sarbanes-Oxley Act requires us to review our current policies and procedures to determine whether we comply with the Sarbanes-Oxley Act and the regulations promulgated there-under. We continue to monitor our compliance with all regulations that are adopted under the Sarbanes-Oxley Act and continue to take actions necessary to ensure that we are in compliance with that act.</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17</w:t>
      </w:r>
    </w:p>
    <w:p>
      <w:pPr>
        <w:sectPr>
          <w:pgSz w:w="11900" w:h="16838" w:orient="portrait"/>
          <w:cols w:equalWidth="0" w:num="1">
            <w:col w:w="11220"/>
          </w:cols>
          <w:pgMar w:left="320" w:top="459" w:right="3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Election to be Taxed as a RIC</w:t>
      </w:r>
    </w:p>
    <w:p>
      <w:pPr>
        <w:spacing w:after="0" w:line="80" w:lineRule="exact"/>
        <w:rPr>
          <w:sz w:val="20"/>
          <w:szCs w:val="20"/>
          <w:color w:val="auto"/>
        </w:rPr>
      </w:pPr>
    </w:p>
    <w:p>
      <w:pPr>
        <w:ind w:right="80" w:firstLine="562"/>
        <w:spacing w:after="0" w:line="266" w:lineRule="auto"/>
        <w:rPr>
          <w:sz w:val="20"/>
          <w:szCs w:val="20"/>
          <w:color w:val="auto"/>
        </w:rPr>
      </w:pPr>
      <w:r>
        <w:rPr>
          <w:rFonts w:ascii="Arial" w:cs="Arial" w:eastAsia="Arial" w:hAnsi="Arial"/>
          <w:sz w:val="12"/>
          <w:szCs w:val="12"/>
          <w:color w:val="auto"/>
        </w:rPr>
        <w:t>We have elected to be taxed, and intend to qualify annually to maintain our election to be taxed, as a RIC under Subchapter M of the Code. To maintain our RIC tax election, we must, among other requirements, meet certain source-of-income and quarterly asset diversification requirements (as described below). We also must annually distribute dividends of at least 90% of the sum of our net ordinary income and realized net short-term capital gains in excess of net realized net long-term capital losses, if any, out of the assets legally available for distribution, or the Annual Distribution Requirement. Although not required for us to maintain our RIC tax status, in order to preclude the imposition of a 4% nondeductible federal excise tax imposed on RICs, we must distribute during each calendar year an amount at least equal to the sum of (1) 98% of our net ordinary income for the calendar year, (2) 98.2% of the sum of our realized net capital gains for the one-year period ending on October 31 of the calendar year and (3) the sum of any net ordinary income plus net capital gains and net ordinary gains for preceding years that were not distributed during such years, or the Excise Tax Avoidance Requirement.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ordinary income to provide us with additional liquidity.</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3"/>
          <w:szCs w:val="13"/>
          <w:color w:val="auto"/>
        </w:rPr>
        <w:t>In order to qualify as a RIC for federal income tax purposes, we must:</w:t>
      </w:r>
    </w:p>
    <w:p>
      <w:pPr>
        <w:spacing w:after="0" w:line="148" w:lineRule="exact"/>
        <w:rPr>
          <w:sz w:val="20"/>
          <w:szCs w:val="20"/>
          <w:color w:val="auto"/>
        </w:rPr>
      </w:pPr>
    </w:p>
    <w:p>
      <w:pPr>
        <w:ind w:left="760" w:hanging="428"/>
        <w:spacing w:after="0"/>
        <w:tabs>
          <w:tab w:leader="none" w:pos="760" w:val="left"/>
        </w:tabs>
        <w:numPr>
          <w:ilvl w:val="0"/>
          <w:numId w:val="21"/>
        </w:numPr>
        <w:rPr>
          <w:rFonts w:ascii="Arial" w:cs="Arial" w:eastAsia="Arial" w:hAnsi="Arial"/>
          <w:sz w:val="13"/>
          <w:szCs w:val="13"/>
          <w:color w:val="auto"/>
        </w:rPr>
      </w:pPr>
      <w:r>
        <w:rPr>
          <w:rFonts w:ascii="Arial" w:cs="Arial" w:eastAsia="Arial" w:hAnsi="Arial"/>
          <w:sz w:val="13"/>
          <w:szCs w:val="13"/>
          <w:color w:val="auto"/>
        </w:rPr>
        <w:t>maintain an election to be treated as a BDC under the 1940 Act at all times during each taxable year;</w:t>
      </w:r>
    </w:p>
    <w:p>
      <w:pPr>
        <w:spacing w:after="0" w:line="147" w:lineRule="exact"/>
        <w:rPr>
          <w:rFonts w:ascii="Arial" w:cs="Arial" w:eastAsia="Arial" w:hAnsi="Arial"/>
          <w:sz w:val="13"/>
          <w:szCs w:val="13"/>
          <w:color w:val="auto"/>
        </w:rPr>
      </w:pPr>
    </w:p>
    <w:p>
      <w:pPr>
        <w:ind w:left="760" w:hanging="428"/>
        <w:spacing w:after="0" w:line="317" w:lineRule="auto"/>
        <w:tabs>
          <w:tab w:leader="none" w:pos="760" w:val="left"/>
        </w:tabs>
        <w:numPr>
          <w:ilvl w:val="0"/>
          <w:numId w:val="21"/>
        </w:numPr>
        <w:rPr>
          <w:rFonts w:ascii="Arial" w:cs="Arial" w:eastAsia="Arial" w:hAnsi="Arial"/>
          <w:sz w:val="12"/>
          <w:szCs w:val="12"/>
          <w:color w:val="auto"/>
        </w:rPr>
      </w:pPr>
      <w:r>
        <w:rPr>
          <w:rFonts w:ascii="Arial" w:cs="Arial" w:eastAsia="Arial" w:hAnsi="Arial"/>
          <w:sz w:val="12"/>
          <w:szCs w:val="12"/>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80" w:lineRule="exact"/>
        <w:rPr>
          <w:rFonts w:ascii="Arial" w:cs="Arial" w:eastAsia="Arial" w:hAnsi="Arial"/>
          <w:sz w:val="12"/>
          <w:szCs w:val="12"/>
          <w:color w:val="auto"/>
        </w:rPr>
      </w:pPr>
    </w:p>
    <w:p>
      <w:pPr>
        <w:ind w:left="760" w:hanging="428"/>
        <w:spacing w:after="0"/>
        <w:tabs>
          <w:tab w:leader="none" w:pos="760" w:val="left"/>
        </w:tabs>
        <w:numPr>
          <w:ilvl w:val="0"/>
          <w:numId w:val="21"/>
        </w:numPr>
        <w:rPr>
          <w:rFonts w:ascii="Arial" w:cs="Arial" w:eastAsia="Arial" w:hAnsi="Arial"/>
          <w:sz w:val="13"/>
          <w:szCs w:val="13"/>
          <w:color w:val="auto"/>
        </w:rPr>
      </w:pPr>
      <w:r>
        <w:rPr>
          <w:rFonts w:ascii="Arial" w:cs="Arial" w:eastAsia="Arial" w:hAnsi="Arial"/>
          <w:sz w:val="13"/>
          <w:szCs w:val="13"/>
          <w:color w:val="auto"/>
        </w:rPr>
        <w:t>diversify our holdings, or the Diversification Tests, so that at the end of each quarter of the taxable year:</w:t>
      </w:r>
    </w:p>
    <w:p>
      <w:pPr>
        <w:spacing w:after="0" w:line="147" w:lineRule="exact"/>
        <w:rPr>
          <w:rFonts w:ascii="Arial" w:cs="Arial" w:eastAsia="Arial" w:hAnsi="Arial"/>
          <w:sz w:val="13"/>
          <w:szCs w:val="13"/>
          <w:color w:val="auto"/>
        </w:rPr>
      </w:pPr>
    </w:p>
    <w:p>
      <w:pPr>
        <w:ind w:left="1000" w:right="120" w:hanging="439"/>
        <w:spacing w:after="0" w:line="274" w:lineRule="auto"/>
        <w:tabs>
          <w:tab w:leader="none" w:pos="1000" w:val="left"/>
        </w:tabs>
        <w:numPr>
          <w:ilvl w:val="1"/>
          <w:numId w:val="21"/>
        </w:numPr>
        <w:rPr>
          <w:rFonts w:ascii="Arial" w:cs="Arial" w:eastAsia="Arial" w:hAnsi="Arial"/>
          <w:sz w:val="13"/>
          <w:szCs w:val="13"/>
          <w:color w:val="auto"/>
        </w:rPr>
      </w:pPr>
      <w:r>
        <w:rPr>
          <w:rFonts w:ascii="Arial" w:cs="Arial" w:eastAsia="Arial" w:hAnsi="Arial"/>
          <w:sz w:val="13"/>
          <w:szCs w:val="13"/>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104" w:lineRule="exact"/>
        <w:rPr>
          <w:rFonts w:ascii="Arial" w:cs="Arial" w:eastAsia="Arial" w:hAnsi="Arial"/>
          <w:sz w:val="13"/>
          <w:szCs w:val="13"/>
          <w:color w:val="auto"/>
        </w:rPr>
      </w:pPr>
    </w:p>
    <w:p>
      <w:pPr>
        <w:ind w:left="1000" w:right="200" w:hanging="439"/>
        <w:spacing w:after="0" w:line="317" w:lineRule="auto"/>
        <w:tabs>
          <w:tab w:leader="none" w:pos="1000" w:val="left"/>
        </w:tabs>
        <w:numPr>
          <w:ilvl w:val="1"/>
          <w:numId w:val="21"/>
        </w:numPr>
        <w:rPr>
          <w:rFonts w:ascii="Arial" w:cs="Arial" w:eastAsia="Arial" w:hAnsi="Arial"/>
          <w:sz w:val="12"/>
          <w:szCs w:val="12"/>
          <w:color w:val="auto"/>
        </w:rPr>
      </w:pPr>
      <w:r>
        <w:rPr>
          <w:rFonts w:ascii="Arial" w:cs="Arial" w:eastAsia="Arial" w:hAnsi="Arial"/>
          <w:sz w:val="12"/>
          <w:szCs w:val="12"/>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Taxation as a RIC</w:t>
      </w:r>
    </w:p>
    <w:p>
      <w:pPr>
        <w:spacing w:after="0" w:line="80" w:lineRule="exact"/>
        <w:rPr>
          <w:sz w:val="20"/>
          <w:szCs w:val="20"/>
          <w:color w:val="auto"/>
        </w:rPr>
      </w:pPr>
    </w:p>
    <w:p>
      <w:pPr>
        <w:ind w:right="100" w:firstLine="562"/>
        <w:spacing w:after="0" w:line="256" w:lineRule="auto"/>
        <w:rPr>
          <w:sz w:val="20"/>
          <w:szCs w:val="20"/>
          <w:color w:val="auto"/>
        </w:rPr>
      </w:pPr>
      <w:r>
        <w:rPr>
          <w:rFonts w:ascii="Arial" w:cs="Arial" w:eastAsia="Arial" w:hAnsi="Arial"/>
          <w:sz w:val="13"/>
          <w:szCs w:val="13"/>
          <w:color w:val="auto"/>
        </w:rPr>
        <w:t>If we qualify as a RIC, and satisfy the Annual Distribution Requirement, then we will not be subject to federal income tax on the portion of our investment company taxable income and net capital gain (i.e., realized net long-term capital gains in excess of realized net short-term capital losses) we distribute to stockholders. We will be subject to U.S. federal income tax at the regular corporate rates on any income or capital gain not distributed (or deemed distributed) to our stockholders.</w:t>
      </w:r>
    </w:p>
    <w:p>
      <w:pPr>
        <w:spacing w:after="0" w:line="102" w:lineRule="exact"/>
        <w:rPr>
          <w:sz w:val="20"/>
          <w:szCs w:val="20"/>
          <w:color w:val="auto"/>
        </w:rPr>
      </w:pPr>
    </w:p>
    <w:p>
      <w:pPr>
        <w:ind w:right="100" w:firstLine="562"/>
        <w:spacing w:after="0" w:line="278" w:lineRule="auto"/>
        <w:rPr>
          <w:sz w:val="20"/>
          <w:szCs w:val="20"/>
          <w:color w:val="auto"/>
        </w:rPr>
      </w:pPr>
      <w:r>
        <w:rPr>
          <w:rFonts w:ascii="Arial" w:cs="Arial" w:eastAsia="Arial" w:hAnsi="Arial"/>
          <w:sz w:val="12"/>
          <w:szCs w:val="12"/>
          <w:color w:val="auto"/>
        </w:rPr>
        <w:t>We may be required to recognize taxable income in circumstances in which we do not receive cash. For example, if we hold debt obligations that are treated under applicable tax rules as having OID (such as debt instruments with PIK or, in certain cases, increasing interest rates or issued with warrants), we must include in income each year a portion of the OID that accrues over the life of the obligation, regardless of whether cash representing such income is received by us in the same taxable year. Because any OID accrued will be included in our investment company taxable income for the year of accrual, we may be required to make a distribution to our stockholders in order to satisfy the Annual Distribution Requirement, even though we will not have received any corresponding cash amount.</w:t>
      </w:r>
    </w:p>
    <w:p>
      <w:pPr>
        <w:spacing w:after="0" w:line="90" w:lineRule="exact"/>
        <w:rPr>
          <w:sz w:val="20"/>
          <w:szCs w:val="20"/>
          <w:color w:val="auto"/>
        </w:rPr>
      </w:pPr>
    </w:p>
    <w:p>
      <w:pPr>
        <w:ind w:right="60" w:firstLine="562"/>
        <w:spacing w:after="0" w:line="274" w:lineRule="auto"/>
        <w:rPr>
          <w:sz w:val="20"/>
          <w:szCs w:val="20"/>
          <w:color w:val="auto"/>
        </w:rPr>
      </w:pPr>
      <w:r>
        <w:rPr>
          <w:rFonts w:ascii="Arial" w:cs="Arial" w:eastAsia="Arial" w:hAnsi="Arial"/>
          <w:sz w:val="13"/>
          <w:szCs w:val="13"/>
          <w:color w:val="auto"/>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91" w:lineRule="exact"/>
        <w:rPr>
          <w:sz w:val="20"/>
          <w:szCs w:val="20"/>
          <w:color w:val="auto"/>
        </w:rPr>
      </w:pPr>
    </w:p>
    <w:p>
      <w:pPr>
        <w:ind w:right="20" w:firstLine="562"/>
        <w:spacing w:after="0" w:line="278" w:lineRule="auto"/>
        <w:rPr>
          <w:sz w:val="20"/>
          <w:szCs w:val="20"/>
          <w:color w:val="auto"/>
        </w:rPr>
      </w:pPr>
      <w:r>
        <w:rPr>
          <w:rFonts w:ascii="Arial" w:cs="Arial" w:eastAsia="Arial" w:hAnsi="Arial"/>
          <w:sz w:val="12"/>
          <w:szCs w:val="12"/>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tests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90" w:lineRule="exact"/>
        <w:rPr>
          <w:sz w:val="20"/>
          <w:szCs w:val="20"/>
          <w:color w:val="auto"/>
        </w:rPr>
      </w:pPr>
    </w:p>
    <w:p>
      <w:pPr>
        <w:ind w:right="180" w:firstLine="562"/>
        <w:spacing w:after="0" w:line="256" w:lineRule="auto"/>
        <w:rPr>
          <w:sz w:val="20"/>
          <w:szCs w:val="20"/>
          <w:color w:val="auto"/>
        </w:rPr>
      </w:pPr>
      <w:r>
        <w:rPr>
          <w:rFonts w:ascii="Arial" w:cs="Arial" w:eastAsia="Arial" w:hAnsi="Arial"/>
          <w:sz w:val="13"/>
          <w:szCs w:val="13"/>
          <w:color w:val="auto"/>
        </w:rPr>
        <w:t>We may distribute our common stock as a dividend of our taxable income and a shareholder could receive a portion of the dividends declared and distributed by us in shares of our common stock with the remaining amount in cash. A shareholder will be considered to have recognized dividend income equal to the fair market value of the stock paid by us plus cash received with respect to such dividend. We have not elected to distribute stock as a dividend but reserve the right to do so.</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18</w:t>
      </w:r>
    </w:p>
    <w:p>
      <w:pPr>
        <w:sectPr>
          <w:pgSz w:w="11900" w:h="16838" w:orient="portrait"/>
          <w:cols w:equalWidth="0" w:num="1">
            <w:col w:w="11240"/>
          </w:cols>
          <w:pgMar w:left="320" w:top="459"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Failure to Qualify as a RIC</w:t>
      </w:r>
    </w:p>
    <w:p>
      <w:pPr>
        <w:spacing w:after="0" w:line="80" w:lineRule="exact"/>
        <w:rPr>
          <w:sz w:val="20"/>
          <w:szCs w:val="20"/>
          <w:color w:val="auto"/>
        </w:rPr>
      </w:pPr>
    </w:p>
    <w:p>
      <w:pPr>
        <w:ind w:firstLine="562"/>
        <w:spacing w:after="0" w:line="250" w:lineRule="auto"/>
        <w:rPr>
          <w:sz w:val="20"/>
          <w:szCs w:val="20"/>
          <w:color w:val="auto"/>
        </w:rPr>
      </w:pPr>
      <w:r>
        <w:rPr>
          <w:rFonts w:ascii="Arial" w:cs="Arial" w:eastAsia="Arial" w:hAnsi="Arial"/>
          <w:sz w:val="13"/>
          <w:szCs w:val="13"/>
          <w:color w:val="auto"/>
        </w:rPr>
        <w:t>If we fail to satisfy the Annual Distribution Requirement or fail to qualify as a RIC in any taxable year, unless certain cure provisions apply, we will be subject to tax in that year on all of our taxable income, regardless of whether we make any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 for more information.</w:t>
      </w:r>
    </w:p>
    <w:p>
      <w:pPr>
        <w:spacing w:after="0" w:line="106" w:lineRule="exact"/>
        <w:rPr>
          <w:sz w:val="20"/>
          <w:szCs w:val="20"/>
          <w:color w:val="auto"/>
        </w:rPr>
      </w:pPr>
    </w:p>
    <w:p>
      <w:pPr>
        <w:ind w:right="80" w:firstLine="562"/>
        <w:spacing w:after="0" w:line="247" w:lineRule="auto"/>
        <w:rPr>
          <w:sz w:val="20"/>
          <w:szCs w:val="20"/>
          <w:color w:val="auto"/>
        </w:rPr>
      </w:pPr>
      <w:r>
        <w:rPr>
          <w:rFonts w:ascii="Arial" w:cs="Arial" w:eastAsia="Arial" w:hAnsi="Arial"/>
          <w:sz w:val="13"/>
          <w:szCs w:val="13"/>
          <w:color w:val="auto"/>
        </w:rPr>
        <w:t>If we are unable to maintain our status as a RIC, we would be subject to tax on all of our taxable income at regular corporate rates. We would not be able to deduct distributions to stockholders, nor would distributions be required to be made. Distributions would generally be taxable to our stockholders as ordinary distribution income eligible for the 15% maximum rate to the extent of our current and accumulated earnings and profits through tax years ending 2012, unless extended by the U.S. Congress. Subject to certain limitations under the Code, dividends paid by us to corporate distributees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Recent Tax Developments</w:t>
      </w:r>
    </w:p>
    <w:p>
      <w:pPr>
        <w:spacing w:after="0" w:line="80" w:lineRule="exact"/>
        <w:rPr>
          <w:sz w:val="20"/>
          <w:szCs w:val="20"/>
          <w:color w:val="auto"/>
        </w:rPr>
      </w:pPr>
    </w:p>
    <w:p>
      <w:pPr>
        <w:ind w:right="60" w:firstLine="562"/>
        <w:spacing w:after="0" w:line="256" w:lineRule="auto"/>
        <w:rPr>
          <w:sz w:val="20"/>
          <w:szCs w:val="20"/>
          <w:color w:val="auto"/>
        </w:rPr>
      </w:pPr>
      <w:r>
        <w:rPr>
          <w:rFonts w:ascii="Arial" w:cs="Arial" w:eastAsia="Arial" w:hAnsi="Arial"/>
          <w:sz w:val="13"/>
          <w:szCs w:val="13"/>
          <w:color w:val="auto"/>
        </w:rPr>
        <w:t>Recently enacted legislation may require certain non-corporate U.S. holders to pay a 3.8% Medicare tax on, among other things, interest on and capital gains from the sale, exchange, redemption or retirement of our common stock. This legislation would apply for taxable years beginning after December 31, 2012. U.S. holders should consult their own tax advisors regarding the effect, if any, of this legislation.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ectPr>
          <w:pgSz w:w="11900" w:h="16838" w:orient="portrait"/>
          <w:cols w:equalWidth="0" w:num="1">
            <w:col w:w="11240"/>
          </w:cols>
          <w:pgMar w:left="320" w:top="45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22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1"/>
          <w:szCs w:val="11"/>
          <w:b w:val="1"/>
          <w:bCs w:val="1"/>
          <w:color w:val="auto"/>
        </w:rPr>
        <w:t>Risk Factors</w:t>
      </w:r>
    </w:p>
    <w:p>
      <w:pPr>
        <w:spacing w:after="0" w:line="136" w:lineRule="exact"/>
        <w:rPr>
          <w:sz w:val="20"/>
          <w:szCs w:val="20"/>
          <w:color w:val="auto"/>
        </w:rPr>
      </w:pPr>
    </w:p>
    <w:p>
      <w:pPr>
        <w:ind w:right="60" w:firstLine="562"/>
        <w:spacing w:after="0" w:line="247" w:lineRule="auto"/>
        <w:rPr>
          <w:sz w:val="20"/>
          <w:szCs w:val="20"/>
          <w:color w:val="auto"/>
        </w:rPr>
      </w:pPr>
      <w:r>
        <w:rPr>
          <w:rFonts w:ascii="Arial" w:cs="Arial" w:eastAsia="Arial" w:hAnsi="Arial"/>
          <w:sz w:val="13"/>
          <w:szCs w:val="13"/>
          <w:i w:val="1"/>
          <w:iCs w:val="1"/>
          <w:color w:val="auto"/>
        </w:rPr>
        <w:t>Before you invest in our securities, you should be aware of various risks, including those described below. You should carefully consider these risk factors, together with all of the other information included in this Report, before you decide whether to make an investment in our securities. The risks set out below are not the only risks we face. Additional risks and uncertainties not currently known to us or that we currently deem to be immaterial also may have a material adverse effect our business, financial condition and/or operating results. If any of the following events occur, our business, financial condition and results of operations could be materially adversely affected. In such case, our net asset value and the trading price of our common stock could decline, and you may lose all or part of your investment.</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RELATING TO OUR BUSINESS AND STRUCTURE</w:t>
      </w:r>
    </w:p>
    <w:p>
      <w:pPr>
        <w:spacing w:after="0" w:line="8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We are a new company with a limited operating history.</w:t>
      </w:r>
    </w:p>
    <w:p>
      <w:pPr>
        <w:spacing w:after="0" w:line="80" w:lineRule="exact"/>
        <w:rPr>
          <w:sz w:val="20"/>
          <w:szCs w:val="20"/>
          <w:color w:val="auto"/>
        </w:rPr>
      </w:pPr>
    </w:p>
    <w:p>
      <w:pPr>
        <w:ind w:right="140" w:firstLine="562"/>
        <w:spacing w:after="0" w:line="274" w:lineRule="auto"/>
        <w:rPr>
          <w:sz w:val="20"/>
          <w:szCs w:val="20"/>
          <w:color w:val="auto"/>
        </w:rPr>
      </w:pPr>
      <w:r>
        <w:rPr>
          <w:rFonts w:ascii="Arial" w:cs="Arial" w:eastAsia="Arial" w:hAnsi="Arial"/>
          <w:sz w:val="13"/>
          <w:szCs w:val="13"/>
          <w:color w:val="auto"/>
        </w:rPr>
        <w:t>We were incorporated in October 2010 and commenced operations in March 2011. We are subject to all of the business risks and uncertainties associated with any new business, including the risk that we will not achieve our investment objective and that the value of your investment could decline substantially.</w:t>
      </w:r>
    </w:p>
    <w:p>
      <w:pPr>
        <w:spacing w:after="0" w:line="145" w:lineRule="exact"/>
        <w:rPr>
          <w:sz w:val="20"/>
          <w:szCs w:val="20"/>
          <w:color w:val="auto"/>
        </w:rPr>
      </w:pPr>
    </w:p>
    <w:p>
      <w:pPr>
        <w:ind w:right="140" w:firstLine="224"/>
        <w:spacing w:after="0" w:line="274" w:lineRule="auto"/>
        <w:rPr>
          <w:sz w:val="20"/>
          <w:szCs w:val="20"/>
          <w:color w:val="auto"/>
        </w:rPr>
      </w:pPr>
      <w:r>
        <w:rPr>
          <w:rFonts w:ascii="Arial" w:cs="Arial" w:eastAsia="Arial" w:hAnsi="Arial"/>
          <w:sz w:val="13"/>
          <w:szCs w:val="13"/>
          <w:b w:val="1"/>
          <w:bCs w:val="1"/>
          <w:i w:val="1"/>
          <w:iCs w:val="1"/>
          <w:color w:val="auto"/>
        </w:rPr>
        <w:t>Global capital markets could enter a period of severe disruption and instability. These market conditions have historically and could again have a materially and adversely affect on debt and equity capital markets in the United States, which could have a materially negative impact on our business, financial condition and results of operations.</w:t>
      </w:r>
    </w:p>
    <w:p>
      <w:pPr>
        <w:spacing w:after="0" w:line="37" w:lineRule="exact"/>
        <w:rPr>
          <w:sz w:val="20"/>
          <w:szCs w:val="20"/>
          <w:color w:val="auto"/>
        </w:rPr>
      </w:pPr>
    </w:p>
    <w:p>
      <w:pPr>
        <w:ind w:right="80" w:firstLine="562"/>
        <w:spacing w:after="0" w:line="273" w:lineRule="auto"/>
        <w:rPr>
          <w:sz w:val="20"/>
          <w:szCs w:val="20"/>
          <w:color w:val="auto"/>
        </w:rPr>
      </w:pPr>
      <w:r>
        <w:rPr>
          <w:rFonts w:ascii="Arial" w:cs="Arial" w:eastAsia="Arial" w:hAnsi="Arial"/>
          <w:sz w:val="12"/>
          <w:szCs w:val="12"/>
          <w:color w:val="auto"/>
        </w:rPr>
        <w:t>The U.S. capital markets have experienced a period of disruption characterized by the freezing of credit, a lack of liquidity in the debt capital markets, significant losses in the principal value of investments, the re-pricing of credit risk in the broadly syndicated credit market and the failure of major financial institutions. During this period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again or materially worsen in the future. We may in the future have difficulty accessing debt and equity capital, and a severe disruption and instability in the global financial markets or deterioration in credit and financing conditions could have a material adverse effect on our business, financial condition and results of operations.</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Volatility or a prolonged disruption in the credit markets could materially damage our business.</w:t>
      </w:r>
    </w:p>
    <w:p>
      <w:pPr>
        <w:spacing w:after="0" w:line="80" w:lineRule="exact"/>
        <w:rPr>
          <w:sz w:val="20"/>
          <w:szCs w:val="20"/>
          <w:color w:val="auto"/>
        </w:rPr>
      </w:pPr>
    </w:p>
    <w:p>
      <w:pPr>
        <w:ind w:firstLine="562"/>
        <w:spacing w:after="0" w:line="243" w:lineRule="auto"/>
        <w:rPr>
          <w:sz w:val="20"/>
          <w:szCs w:val="20"/>
          <w:color w:val="auto"/>
        </w:rPr>
      </w:pPr>
      <w:r>
        <w:rPr>
          <w:rFonts w:ascii="Arial" w:cs="Arial" w:eastAsia="Arial" w:hAnsi="Arial"/>
          <w:sz w:val="13"/>
          <w:szCs w:val="13"/>
          <w:color w:val="auto"/>
        </w:rPr>
        <w:t>We are required to record our assets at fair value, as determined in good faith by our board of directors in accordance with our valuation policy. As a result, volatility in the capital markets may have a material adverse effect on our valuations and our net asset value, even if we hold investments to maturity. Volatility or dislocation in the capital markets may depress our stock price below our net asset value per share and create a challenging environment in which to raise debt and equity capital. As a BDC, we are generally not able to issue additional shares of our common stock at a price less than our net asset value without first obtaining approval for such issuance from our stockholders and our board of directors including a majority of our independent directors. Additionally, our ability to incur indebtedness is limited by our asset coverage ratio or the asset coverage ratio, as defined under the 1940 Act. Declining portfolio values could negatively impact our ability to borrow additional funds under the Credit Facility because our net asset value is reduced for purposes of the asset coverage ratio. If the fair value of our assets declines substantially, we may fail to maintain the asset coverage ratios stipulated by the 1940 Act, which could, in turn, cause us to lose our status as a BDC and materially impair our business operations. A protracted disruption in the credit markets could also materially decrease demand for our investments.</w:t>
      </w:r>
    </w:p>
    <w:p>
      <w:pPr>
        <w:spacing w:after="0" w:line="112" w:lineRule="exact"/>
        <w:rPr>
          <w:sz w:val="20"/>
          <w:szCs w:val="20"/>
          <w:color w:val="auto"/>
        </w:rPr>
      </w:pPr>
    </w:p>
    <w:p>
      <w:pPr>
        <w:ind w:right="20" w:firstLine="562"/>
        <w:spacing w:after="0" w:line="245" w:lineRule="auto"/>
        <w:rPr>
          <w:sz w:val="20"/>
          <w:szCs w:val="20"/>
          <w:color w:val="auto"/>
        </w:rPr>
      </w:pPr>
      <w:r>
        <w:rPr>
          <w:rFonts w:ascii="Arial" w:cs="Arial" w:eastAsia="Arial" w:hAnsi="Arial"/>
          <w:sz w:val="13"/>
          <w:szCs w:val="13"/>
          <w:color w:val="auto"/>
        </w:rPr>
        <w:t>The significant disruption in the capital markets experienced in the past may in the future have a negative effect on the valuations of our investments and on the potential for liquidity events involving our investments. The debt capital that may be available to us in the future may be at a higher cost and/or on less favorable terms and conditions than those currently in effect. If our financing costs increase and we have no increase in interest income then our net income will decrease. A prolonged inability to raise capital may require us to reduce the volume of investments we originate and could have a material adverse impact on our business, financial condition or results of operations. This may also increase the probability that other structural risks negatively impact us. These situations may arise due to circumstances that we may be unable to control, such as a protracted disruption in the credit markets, a severe decline in the value of the U.S. dollar, a sharp economic downturn or an operational problem that affects third parties or us, and could materially damage our business, financial condition or results of operations.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Any unrealized losses we experience on our investment portfolio may be an indication of future realized losses, which could reduce our income available for distribution.</w:t>
      </w:r>
    </w:p>
    <w:p>
      <w:pPr>
        <w:spacing w:after="0" w:line="80" w:lineRule="exact"/>
        <w:rPr>
          <w:sz w:val="20"/>
          <w:szCs w:val="20"/>
          <w:color w:val="auto"/>
        </w:rPr>
      </w:pPr>
    </w:p>
    <w:p>
      <w:pPr>
        <w:ind w:firstLine="562"/>
        <w:spacing w:after="0" w:line="273" w:lineRule="auto"/>
        <w:rPr>
          <w:sz w:val="20"/>
          <w:szCs w:val="20"/>
          <w:color w:val="auto"/>
        </w:rPr>
      </w:pPr>
      <w:r>
        <w:rPr>
          <w:rFonts w:ascii="Arial" w:cs="Arial" w:eastAsia="Arial" w:hAnsi="Arial"/>
          <w:sz w:val="12"/>
          <w:szCs w:val="12"/>
          <w:color w:val="auto"/>
        </w:rPr>
        <w:t>As a BDC, we are required to carry our investments at fair value, which is derived from a market value or, if no market value is ascertainable or if market value does not reflect the fair value of such investment in the bona fide determination of our board of directors, then we would carry our investments, at fair value as determined in good faith by or under the direction of our board of directors. Decreases in the market values or fair values of our investments will be recorded as unrealized depreciation. Unrealized losses of any given portfolio company could be an indication of such company’s inability in the future to meet its repayment obligations to us. If the fair value of our portfolio companies reflects future realized losses, this would ultimately result in reductions of our income available for distribution in future periods and could materially harm our results of operations and cause a material decline in the value of our securities and the value of our publicly traded common stock.</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ectPr>
          <w:pgSz w:w="11900" w:h="16838" w:orient="portrait"/>
          <w:cols w:equalWidth="0" w:num="1">
            <w:col w:w="11240"/>
          </w:cols>
          <w:pgMar w:left="320" w:top="459"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Following periods of volatility in the market price of a company’s securities, securities class action litigation has often been brought against that company.</w:t>
      </w:r>
    </w:p>
    <w:p>
      <w:pPr>
        <w:spacing w:after="0" w:line="80" w:lineRule="exact"/>
        <w:rPr>
          <w:sz w:val="20"/>
          <w:szCs w:val="20"/>
          <w:color w:val="auto"/>
        </w:rPr>
      </w:pPr>
    </w:p>
    <w:p>
      <w:pPr>
        <w:ind w:right="400" w:firstLine="562"/>
        <w:spacing w:after="0" w:line="274" w:lineRule="auto"/>
        <w:rPr>
          <w:sz w:val="20"/>
          <w:szCs w:val="20"/>
          <w:color w:val="auto"/>
        </w:rPr>
      </w:pPr>
      <w:r>
        <w:rPr>
          <w:rFonts w:ascii="Arial" w:cs="Arial" w:eastAsia="Arial" w:hAnsi="Arial"/>
          <w:sz w:val="13"/>
          <w:szCs w:val="13"/>
          <w:color w:val="auto"/>
        </w:rPr>
        <w:t>If our stock price fluctuates significantly, we may be the target of securities litigation in the future. Securities litigation could result in substantial costs and divert management’s attention and resources from our business and cause a material adverse effect on our business, financial condition or results of operations.</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Our borrowers may default on their payments, which may have a materially negative effect on our financial performance.</w:t>
      </w:r>
    </w:p>
    <w:p>
      <w:pPr>
        <w:spacing w:after="0" w:line="80" w:lineRule="exact"/>
        <w:rPr>
          <w:sz w:val="20"/>
          <w:szCs w:val="20"/>
          <w:color w:val="auto"/>
        </w:rPr>
      </w:pPr>
    </w:p>
    <w:p>
      <w:pPr>
        <w:ind w:right="260" w:firstLine="562"/>
        <w:spacing w:after="0" w:line="274" w:lineRule="auto"/>
        <w:rPr>
          <w:sz w:val="20"/>
          <w:szCs w:val="20"/>
          <w:color w:val="auto"/>
        </w:rPr>
      </w:pPr>
      <w:r>
        <w:rPr>
          <w:rFonts w:ascii="Arial" w:cs="Arial" w:eastAsia="Arial" w:hAnsi="Arial"/>
          <w:sz w:val="13"/>
          <w:szCs w:val="13"/>
          <w:color w:val="auto"/>
        </w:rPr>
        <w:t>Our primary business exposes us to credit risk, and the quality of our portfolio has a significant impact on our earnings. Credit risk is a component part of our fair valuation of our Floating Rate Loans and other investments we may purchase. Negative credit events will lead to a decrease in the fair value of our Floating Rate Loans and other investments.</w:t>
      </w:r>
    </w:p>
    <w:p>
      <w:pPr>
        <w:spacing w:after="0" w:line="91" w:lineRule="exact"/>
        <w:rPr>
          <w:sz w:val="20"/>
          <w:szCs w:val="20"/>
          <w:color w:val="auto"/>
        </w:rPr>
      </w:pPr>
    </w:p>
    <w:p>
      <w:pPr>
        <w:ind w:right="520" w:firstLine="562"/>
        <w:spacing w:after="0" w:line="317" w:lineRule="auto"/>
        <w:rPr>
          <w:sz w:val="20"/>
          <w:szCs w:val="20"/>
          <w:color w:val="auto"/>
        </w:rPr>
      </w:pPr>
      <w:r>
        <w:rPr>
          <w:rFonts w:ascii="Arial" w:cs="Arial" w:eastAsia="Arial" w:hAnsi="Arial"/>
          <w:sz w:val="12"/>
          <w:szCs w:val="12"/>
          <w:color w:val="auto"/>
        </w:rPr>
        <w:t>In addition, current market conditions have affected consumer confidence levels, which may result in adverse changes in payment patterns. Increased delinquencies and default rates would negatively impact our results of operations. Deterioration in the credit quality of our portfolio could have a material adverse effect on our capital, financial condition and results of operations.</w:t>
      </w:r>
    </w:p>
    <w:p>
      <w:pPr>
        <w:spacing w:after="0" w:line="67" w:lineRule="exact"/>
        <w:rPr>
          <w:sz w:val="20"/>
          <w:szCs w:val="20"/>
          <w:color w:val="auto"/>
        </w:rPr>
      </w:pPr>
    </w:p>
    <w:p>
      <w:pPr>
        <w:ind w:right="40" w:firstLine="562"/>
        <w:spacing w:after="0" w:line="243" w:lineRule="auto"/>
        <w:rPr>
          <w:sz w:val="20"/>
          <w:szCs w:val="20"/>
          <w:color w:val="auto"/>
        </w:rPr>
      </w:pPr>
      <w:r>
        <w:rPr>
          <w:rFonts w:ascii="Arial" w:cs="Arial" w:eastAsia="Arial" w:hAnsi="Arial"/>
          <w:sz w:val="13"/>
          <w:szCs w:val="13"/>
          <w:color w:val="auto"/>
        </w:rPr>
        <w:t>We invest in Floating Rate Loans, which may involve a high degree of repayment risk. We invest in companies that may have limited financial resources, may be highly leveraged and may be unable to obtain financing from traditional sources. Accordingly, a general economic downturn or severe tightening in the credit markets could materially negatively impact the ability of our borrowers to repay their loans, which could materially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the secured assets. This could trigger cross-defaults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 adverse effect on our financial condition and results of operations.</w:t>
      </w:r>
    </w:p>
    <w:p>
      <w:pPr>
        <w:spacing w:after="0" w:line="166" w:lineRule="exact"/>
        <w:rPr>
          <w:sz w:val="20"/>
          <w:szCs w:val="20"/>
          <w:color w:val="auto"/>
        </w:rPr>
      </w:pPr>
    </w:p>
    <w:p>
      <w:pPr>
        <w:ind w:right="320" w:firstLine="224"/>
        <w:spacing w:after="0" w:line="274" w:lineRule="auto"/>
        <w:rPr>
          <w:sz w:val="20"/>
          <w:szCs w:val="20"/>
          <w:color w:val="auto"/>
        </w:rPr>
      </w:pPr>
      <w:r>
        <w:rPr>
          <w:rFonts w:ascii="Arial" w:cs="Arial" w:eastAsia="Arial" w:hAnsi="Arial"/>
          <w:sz w:val="13"/>
          <w:szCs w:val="13"/>
          <w:b w:val="1"/>
          <w:bCs w:val="1"/>
          <w:i w:val="1"/>
          <w:iCs w:val="1"/>
          <w:color w:val="auto"/>
        </w:rPr>
        <w:t>We are dependent upon our Investment Adviser’s key personnel for our future success, and if we are or our Investment Adviser is unable to hire and retain qualified personnel or if we lose any member of our management team, our ability to achieve our investment objectives could be significantly harmed.</w:t>
      </w:r>
    </w:p>
    <w:p>
      <w:pPr>
        <w:spacing w:after="0" w:line="37" w:lineRule="exact"/>
        <w:rPr>
          <w:sz w:val="20"/>
          <w:szCs w:val="20"/>
          <w:color w:val="auto"/>
        </w:rPr>
      </w:pPr>
    </w:p>
    <w:p>
      <w:pPr>
        <w:ind w:firstLine="562"/>
        <w:spacing w:after="0" w:line="273" w:lineRule="auto"/>
        <w:rPr>
          <w:sz w:val="20"/>
          <w:szCs w:val="20"/>
          <w:color w:val="auto"/>
        </w:rPr>
      </w:pPr>
      <w:r>
        <w:rPr>
          <w:rFonts w:ascii="Arial" w:cs="Arial" w:eastAsia="Arial" w:hAnsi="Arial"/>
          <w:sz w:val="12"/>
          <w:szCs w:val="12"/>
          <w:color w:val="auto"/>
        </w:rPr>
        <w:t>We depend on the diligence, skill and network of business contacts of the senior investment professionals of the Investment Adviser. We also depend, to a significant extent, on PennantPark Investment Advisers’ access to the investment information and deal flow generated by these investment professionals and any others that may be hired by the Investment Adviser. Managers of the Investment Adviser evaluate, negotiate, structure, close and monitor our investments. Our future success depends on the continued service of management personnel of the Investment Adviser. The departure of managers of the Investment Adviser could have a material adverse effect on our ability to achieve our investment objectives. In addition, we can offer no assurance that PennantPark Investment Advisers will remain our Investment Adviser. The Investment Adviser has the right, under the Investment Management Agreement, to resign at any time upon 60 days’ written notice, whether we have found a replacement or not.</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Our future financial condition and future results of operation depends on our ability to manage future growth effectively.</w:t>
      </w:r>
    </w:p>
    <w:p>
      <w:pPr>
        <w:spacing w:after="0" w:line="80" w:lineRule="exact"/>
        <w:rPr>
          <w:sz w:val="20"/>
          <w:szCs w:val="20"/>
          <w:color w:val="auto"/>
        </w:rPr>
      </w:pPr>
    </w:p>
    <w:p>
      <w:pPr>
        <w:ind w:right="20" w:firstLine="562"/>
        <w:spacing w:after="0" w:line="268" w:lineRule="auto"/>
        <w:rPr>
          <w:sz w:val="20"/>
          <w:szCs w:val="20"/>
          <w:color w:val="auto"/>
        </w:rPr>
      </w:pPr>
      <w:r>
        <w:rPr>
          <w:rFonts w:ascii="Arial" w:cs="Arial" w:eastAsia="Arial" w:hAnsi="Arial"/>
          <w:sz w:val="12"/>
          <w:szCs w:val="12"/>
          <w:color w:val="auto"/>
        </w:rPr>
        <w:t>Our ability to achieve our investment objectives depends on our ability to grow, which depends, in turn, on the Investment Adviser’s ability to identify, invest in and monitor companies that meet our investment criteria. Accomplishing this result on a cost-effective basis is largely a function of the Investment Adviser’s structuring of the investment process, its ability to provide competent, attentive and efficient services to us and our access to financing on acceptable terms. The management team of PennantPark Investment Advisers has substantial responsibilities under the Investment Management Agreement. In order to grow, the Investment Adviser will need to hire, train, supervise and manage new employees. However, we can offer no assurance that any such employees will contribute effectively to the work of the Investment Adviser. We caution you that the principals of the Investment Adviser or Administrator may also be called upon to provide and currently do provide managerial assistance to portfolio companies and other investment vehicles, including other BDCs, which are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21</w:t>
      </w:r>
    </w:p>
    <w:p>
      <w:pPr>
        <w:sectPr>
          <w:pgSz w:w="11900" w:h="16838" w:orient="portrait"/>
          <w:cols w:equalWidth="0" w:num="1">
            <w:col w:w="11220"/>
          </w:cols>
          <w:pgMar w:left="320" w:top="459" w:right="3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We operate in a highly competitive market for investment opportunities.</w:t>
      </w:r>
    </w:p>
    <w:p>
      <w:pPr>
        <w:spacing w:after="0" w:line="80" w:lineRule="exact"/>
        <w:rPr>
          <w:sz w:val="20"/>
          <w:szCs w:val="20"/>
          <w:color w:val="auto"/>
        </w:rPr>
      </w:pPr>
    </w:p>
    <w:p>
      <w:pPr>
        <w:ind w:right="20" w:firstLine="562"/>
        <w:spacing w:after="0" w:line="266" w:lineRule="auto"/>
        <w:rPr>
          <w:sz w:val="20"/>
          <w:szCs w:val="20"/>
          <w:color w:val="auto"/>
        </w:rPr>
      </w:pPr>
      <w:r>
        <w:rPr>
          <w:rFonts w:ascii="Arial" w:cs="Arial" w:eastAsia="Arial" w:hAnsi="Arial"/>
          <w:sz w:val="12"/>
          <w:szCs w:val="12"/>
          <w:color w:val="auto"/>
        </w:rPr>
        <w:t>A number of entities compete with us to make the types of investments that we make in middle-market companies. We compete with public and private funds, including other BDCs and closed-end funds, commercial and 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Many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will impose on us as a BDC. We cannot offer any assurances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99" w:lineRule="exact"/>
        <w:rPr>
          <w:sz w:val="20"/>
          <w:szCs w:val="20"/>
          <w:color w:val="auto"/>
        </w:rPr>
      </w:pPr>
    </w:p>
    <w:p>
      <w:pPr>
        <w:ind w:right="60" w:firstLine="562"/>
        <w:spacing w:after="0" w:line="250" w:lineRule="auto"/>
        <w:rPr>
          <w:sz w:val="20"/>
          <w:szCs w:val="20"/>
          <w:color w:val="auto"/>
        </w:rPr>
      </w:pPr>
      <w:r>
        <w:rPr>
          <w:rFonts w:ascii="Arial" w:cs="Arial" w:eastAsia="Arial" w:hAnsi="Arial"/>
          <w:sz w:val="13"/>
          <w:szCs w:val="13"/>
          <w:color w:val="auto"/>
        </w:rPr>
        <w:t>Participants in our industry compete on several factors, including price, flexibility in transaction structuring, customer service, reputation, market knowledge and speed in decision-making. We will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106" w:lineRule="exact"/>
        <w:rPr>
          <w:sz w:val="20"/>
          <w:szCs w:val="20"/>
          <w:color w:val="auto"/>
        </w:rPr>
      </w:pPr>
    </w:p>
    <w:p>
      <w:pPr>
        <w:ind w:right="200" w:firstLine="562"/>
        <w:spacing w:after="0" w:line="256" w:lineRule="auto"/>
        <w:rPr>
          <w:sz w:val="20"/>
          <w:szCs w:val="20"/>
          <w:color w:val="auto"/>
        </w:rPr>
      </w:pPr>
      <w:r>
        <w:rPr>
          <w:rFonts w:ascii="Arial" w:cs="Arial" w:eastAsia="Arial" w:hAnsi="Arial"/>
          <w:sz w:val="13"/>
          <w:szCs w:val="13"/>
          <w:color w:val="auto"/>
        </w:rPr>
        <w:t>Also, the Investment Adviser evaluates investments consistent with its selection process. As a result, we will invest our funds in temporary investments such as cash, cash equivalents, U.S. government securities and other high-quality investment grade securities that mature in one year or less from the date of investment pending such selection. The income earned on such investments will be significantly less than what we would earn on investments in Floating Rate Loans and other investments.</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Any failure on our part to maintain our status as a business development company would reduce our operating flexibility.</w:t>
      </w:r>
    </w:p>
    <w:p>
      <w:pPr>
        <w:spacing w:after="0" w:line="80" w:lineRule="exact"/>
        <w:rPr>
          <w:sz w:val="20"/>
          <w:szCs w:val="20"/>
          <w:color w:val="auto"/>
        </w:rPr>
      </w:pPr>
    </w:p>
    <w:p>
      <w:pPr>
        <w:ind w:right="120" w:firstLine="562"/>
        <w:spacing w:after="0" w:line="317" w:lineRule="auto"/>
        <w:rPr>
          <w:sz w:val="20"/>
          <w:szCs w:val="20"/>
          <w:color w:val="auto"/>
        </w:rPr>
      </w:pPr>
      <w:r>
        <w:rPr>
          <w:rFonts w:ascii="Arial" w:cs="Arial" w:eastAsia="Arial" w:hAnsi="Arial"/>
          <w:sz w:val="12"/>
          <w:szCs w:val="12"/>
          <w:color w:val="auto"/>
        </w:rPr>
        <w:t>We have elected to be treated as a BDC. If we do not remain a BDC, we might be regulated as a closed-end investment company under the 1940 Act, which would subject us to substantially more regulatory restrictions under the 1940 Act and correspondingly decrease our operating flexibility, which could have a material adverse effect on our business, financial condition and results of operations.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We may not replicate the historical performance of other investment companies with which our investment professionals have been affiliated.</w:t>
      </w:r>
    </w:p>
    <w:p>
      <w:pPr>
        <w:spacing w:after="0" w:line="80" w:lineRule="exact"/>
        <w:rPr>
          <w:sz w:val="20"/>
          <w:szCs w:val="20"/>
          <w:color w:val="auto"/>
        </w:rPr>
      </w:pPr>
    </w:p>
    <w:p>
      <w:pPr>
        <w:ind w:firstLine="562"/>
        <w:spacing w:after="0" w:line="270" w:lineRule="auto"/>
        <w:rPr>
          <w:sz w:val="20"/>
          <w:szCs w:val="20"/>
          <w:color w:val="auto"/>
        </w:rPr>
      </w:pPr>
      <w:r>
        <w:rPr>
          <w:rFonts w:ascii="Arial" w:cs="Arial" w:eastAsia="Arial" w:hAnsi="Arial"/>
          <w:sz w:val="12"/>
          <w:szCs w:val="12"/>
          <w:color w:val="auto"/>
        </w:rPr>
        <w:t>The 1940 Act imposes numerous constraints on the investment activities of BDCs. For example, BDCs are required to invest at least 70% of their total assets primarily in securities of U.S. private companies or thinly traded public companies with a market capitalization of less than $250 million, cash, cash equivalents, U.S. government securities and high-quality debt investments that mature in one year or less. These constraints may hinder the Investment Adviser’s ability to take advantage of attractive investment opportunities and to achieve our investment objectives. Current market conditions and the depressed economic cycle present significant challenges to us that have not been present in recent years, if ever. In addition, the investment philosophy and techniques used by the Investment Adviser may differ from those used by other investment companies advised by the Investment Adviser. Accordingly, we can offer no assurance that we will replicate the historical performance of other investment companies with which our investment professionals have been affiliated, and we caution that our investment returns could be substantially lower than the returns achieved by such other companies.</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We may have difficulty paying our required distributions if we recognize income before or without receiving cash representing such income.</w:t>
      </w:r>
    </w:p>
    <w:p>
      <w:pPr>
        <w:spacing w:after="0" w:line="80" w:lineRule="exact"/>
        <w:rPr>
          <w:sz w:val="20"/>
          <w:szCs w:val="20"/>
          <w:color w:val="auto"/>
        </w:rPr>
      </w:pPr>
    </w:p>
    <w:p>
      <w:pPr>
        <w:ind w:right="160" w:firstLine="562"/>
        <w:spacing w:after="0" w:line="256" w:lineRule="auto"/>
        <w:rPr>
          <w:sz w:val="20"/>
          <w:szCs w:val="20"/>
          <w:color w:val="auto"/>
        </w:rPr>
      </w:pPr>
      <w:r>
        <w:rPr>
          <w:rFonts w:ascii="Arial" w:cs="Arial" w:eastAsia="Arial" w:hAnsi="Arial"/>
          <w:sz w:val="13"/>
          <w:szCs w:val="13"/>
          <w:color w:val="auto"/>
        </w:rPr>
        <w:t>For federal income tax purposes, we include in income certain amounts that we have not yet received in cash, such as OID, or PIK interest, which represents contractual interest added to the loan balance and due at the end of the loan term. OID, which could be significant relative to our overall investment assets, and increases in loan balances as a result of PIK interest will be included in income before we receive any corresponding cash payments. We also may be required to include in income certain other amounts that we will not receive in cash.</w:t>
      </w:r>
    </w:p>
    <w:p>
      <w:pPr>
        <w:spacing w:after="0" w:line="102" w:lineRule="exact"/>
        <w:rPr>
          <w:sz w:val="20"/>
          <w:szCs w:val="20"/>
          <w:color w:val="auto"/>
        </w:rPr>
      </w:pPr>
    </w:p>
    <w:p>
      <w:pPr>
        <w:ind w:firstLine="562"/>
        <w:spacing w:after="0" w:line="317" w:lineRule="auto"/>
        <w:rPr>
          <w:sz w:val="20"/>
          <w:szCs w:val="20"/>
          <w:color w:val="auto"/>
        </w:rPr>
      </w:pPr>
      <w:r>
        <w:rPr>
          <w:rFonts w:ascii="Arial" w:cs="Arial" w:eastAsia="Arial" w:hAnsi="Arial"/>
          <w:sz w:val="12"/>
          <w:szCs w:val="12"/>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accrued interest, it is possible that accrued interest previously used in the calculation of the incentive fee will become uncollectible.</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22</w:t>
      </w:r>
    </w:p>
    <w:p>
      <w:pPr>
        <w:sectPr>
          <w:pgSz w:w="11900" w:h="16838" w:orient="portrait"/>
          <w:cols w:equalWidth="0" w:num="1">
            <w:col w:w="11220"/>
          </w:cols>
          <w:pgMar w:left="320" w:top="459" w:right="3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40" w:firstLine="562"/>
        <w:spacing w:after="0" w:line="278" w:lineRule="auto"/>
        <w:rPr>
          <w:sz w:val="20"/>
          <w:szCs w:val="20"/>
          <w:color w:val="auto"/>
        </w:rPr>
      </w:pPr>
      <w:r>
        <w:rPr>
          <w:rFonts w:ascii="Arial" w:cs="Arial" w:eastAsia="Arial" w:hAnsi="Arial"/>
          <w:sz w:val="12"/>
          <w:szCs w:val="12"/>
          <w:color w:val="auto"/>
        </w:rPr>
        <w:t>In some cases we may recognize income before or without receiving cash representing such income. As a result, we may have difficulty meeting the tax requirement to distribute at least 90% of the sum of our ordinary income and realized net short-term capital gains, if any, to obtain RIC tax benefits. Accordingly, we may have to sell some of our investments at times we would not consider advantageous, raise additional debt or equity capital or reduce new investment originations to meet these distribution requirements which could have a material adverse effect on our business, financial condition and results of operations. If we are not able to obtain cash from other sources, we may fail to qualify for RIC tax benefits and thus be subject to corporate level income tax.</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Loss of RIC tax status would substantially reduce net assets and income available for debt service and dividends.</w:t>
      </w:r>
    </w:p>
    <w:p>
      <w:pPr>
        <w:spacing w:after="0" w:line="80" w:lineRule="exact"/>
        <w:rPr>
          <w:sz w:val="20"/>
          <w:szCs w:val="20"/>
          <w:color w:val="auto"/>
        </w:rPr>
      </w:pPr>
    </w:p>
    <w:p>
      <w:pPr>
        <w:ind w:firstLine="562"/>
        <w:spacing w:after="0" w:line="263" w:lineRule="auto"/>
        <w:rPr>
          <w:sz w:val="20"/>
          <w:szCs w:val="20"/>
          <w:color w:val="auto"/>
        </w:rPr>
      </w:pPr>
      <w:r>
        <w:rPr>
          <w:rFonts w:ascii="Arial" w:cs="Arial" w:eastAsia="Arial" w:hAnsi="Arial"/>
          <w:sz w:val="12"/>
          <w:szCs w:val="12"/>
          <w:color w:val="auto"/>
        </w:rPr>
        <w:t>We have elected to be taxed, and intend to qualify annually to maintain our election to be taxed, as a RIC under Subchapter M of the Code. To maintain our RIC tax election, we must, among other requirements, meet certain source-of-income and quarterly asset diversification requirements. We also must annually distribute dividends of at least 90% of the sum of our net ordinary income and realized net short-term capital gains in excess of net realized net long-term capital losses, if any, out of the assets legally available for distribution, or the Annual Distribution Requirement. Although not required for us to maintain our RIC tax status, in order to preclude the imposition of a 4% nondeductible federal excise tax imposed on RICs, we may distribute during each calendar year an amount at least equal to the sum of</w:t>
      </w:r>
    </w:p>
    <w:p>
      <w:pPr>
        <w:spacing w:after="0" w:line="1" w:lineRule="exact"/>
        <w:rPr>
          <w:sz w:val="20"/>
          <w:szCs w:val="20"/>
          <w:color w:val="auto"/>
        </w:rPr>
      </w:pPr>
    </w:p>
    <w:p>
      <w:pPr>
        <w:ind w:right="200" w:firstLine="8"/>
        <w:spacing w:after="0" w:line="244" w:lineRule="auto"/>
        <w:tabs>
          <w:tab w:leader="none" w:pos="191" w:val="left"/>
        </w:tabs>
        <w:numPr>
          <w:ilvl w:val="0"/>
          <w:numId w:val="22"/>
        </w:numPr>
        <w:rPr>
          <w:rFonts w:ascii="Arial" w:cs="Arial" w:eastAsia="Arial" w:hAnsi="Arial"/>
          <w:sz w:val="13"/>
          <w:szCs w:val="13"/>
          <w:color w:val="auto"/>
        </w:rPr>
      </w:pPr>
      <w:r>
        <w:rPr>
          <w:rFonts w:ascii="Arial" w:cs="Arial" w:eastAsia="Arial" w:hAnsi="Arial"/>
          <w:sz w:val="13"/>
          <w:szCs w:val="13"/>
          <w:color w:val="auto"/>
        </w:rPr>
        <w:t>98% of our net ordinary income for the calendar year, (2) 98.2% of the sum of our realized net capital gains for the one-year period ending on October 31 of the calendar year and (3) the sum of any net ordinary income plus net capital gains and net ordinary gains for preceding years that were not distributed during such years, or the Excise Tax Avoidance Requirement.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ordinary income to provide us with additional liquidity.</w:t>
      </w:r>
    </w:p>
    <w:p>
      <w:pPr>
        <w:spacing w:after="0" w:line="163" w:lineRule="exact"/>
        <w:rPr>
          <w:sz w:val="20"/>
          <w:szCs w:val="20"/>
          <w:color w:val="auto"/>
        </w:rPr>
      </w:pPr>
    </w:p>
    <w:p>
      <w:pPr>
        <w:ind w:right="280" w:firstLine="224"/>
        <w:spacing w:after="0" w:line="274" w:lineRule="auto"/>
        <w:rPr>
          <w:sz w:val="20"/>
          <w:szCs w:val="20"/>
          <w:color w:val="auto"/>
        </w:rPr>
      </w:pPr>
      <w:r>
        <w:rPr>
          <w:rFonts w:ascii="Arial" w:cs="Arial" w:eastAsia="Arial" w:hAnsi="Arial"/>
          <w:sz w:val="13"/>
          <w:szCs w:val="13"/>
          <w:b w:val="1"/>
          <w:bCs w:val="1"/>
          <w:i w:val="1"/>
          <w:iCs w:val="1"/>
          <w:color w:val="auto"/>
        </w:rPr>
        <w:t>Because we intend to distribute substantially all of our income to our stockholders to maintain our status as a RIC, we will need to raise additional capital to finance our growth. If funds are not available to us, we may need to curtail new investments, and our common stock value could decline.</w:t>
      </w:r>
    </w:p>
    <w:p>
      <w:pPr>
        <w:spacing w:after="0" w:line="37" w:lineRule="exact"/>
        <w:rPr>
          <w:sz w:val="20"/>
          <w:szCs w:val="20"/>
          <w:color w:val="auto"/>
        </w:rPr>
      </w:pPr>
    </w:p>
    <w:p>
      <w:pPr>
        <w:ind w:right="80" w:firstLine="562"/>
        <w:spacing w:after="0" w:line="245" w:lineRule="auto"/>
        <w:rPr>
          <w:sz w:val="20"/>
          <w:szCs w:val="20"/>
          <w:color w:val="auto"/>
        </w:rPr>
      </w:pPr>
      <w:r>
        <w:rPr>
          <w:rFonts w:ascii="Arial" w:cs="Arial" w:eastAsia="Arial" w:hAnsi="Arial"/>
          <w:sz w:val="13"/>
          <w:szCs w:val="13"/>
          <w:color w:val="auto"/>
        </w:rPr>
        <w:t>In order to satisfy the requirements applicable to a RIC, we intend to distribute to our stockholders substantially all of our net ordinary income and net capital gain income except for certain net long-term capital gains, some or all of which we may retain, pay applicable income taxes with respect thereto and elect to treat as deemed distributions to our stockholders. As a BDC, we generally are required to meet the asset coverage ratio of total assets to total senior securities, which includes all of our borrowings, of at least 200% of indebtedness. This requirement limits the amount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10" w:lineRule="exact"/>
        <w:rPr>
          <w:sz w:val="20"/>
          <w:szCs w:val="20"/>
          <w:color w:val="auto"/>
        </w:rPr>
      </w:pPr>
    </w:p>
    <w:p>
      <w:pPr>
        <w:ind w:right="340" w:firstLine="562"/>
        <w:spacing w:after="0" w:line="288" w:lineRule="auto"/>
        <w:rPr>
          <w:sz w:val="20"/>
          <w:szCs w:val="20"/>
          <w:color w:val="auto"/>
        </w:rPr>
      </w:pPr>
      <w:r>
        <w:rPr>
          <w:rFonts w:ascii="Arial" w:cs="Arial" w:eastAsia="Arial" w:hAnsi="Arial"/>
          <w:sz w:val="12"/>
          <w:szCs w:val="12"/>
          <w:color w:val="auto"/>
        </w:rPr>
        <w:t>We are dependent on our subsidiary Funding I for cash distributions to enable us to meet the RIC distribution requirements. Funding I may be limited by its covenants from making certain distributions to us that may be necessary to maintain our status as a RIC. We may have to request a waiver of these covenant’s restrictions for Funding I to make certain distributions to maintain our RIC status. We cannot assure you that Funding I will be granted such a waiver and if Funding I is unable to obtain a waiver, compliance with the covenants may result in an entity-level tax on us.</w:t>
      </w:r>
    </w:p>
    <w:p>
      <w:pPr>
        <w:spacing w:after="0" w:line="138" w:lineRule="exact"/>
        <w:rPr>
          <w:sz w:val="20"/>
          <w:szCs w:val="20"/>
          <w:color w:val="auto"/>
        </w:rPr>
      </w:pPr>
    </w:p>
    <w:p>
      <w:pPr>
        <w:ind w:right="180" w:firstLine="224"/>
        <w:spacing w:after="0" w:line="274" w:lineRule="auto"/>
        <w:rPr>
          <w:sz w:val="20"/>
          <w:szCs w:val="20"/>
          <w:color w:val="auto"/>
        </w:rPr>
      </w:pPr>
      <w:r>
        <w:rPr>
          <w:rFonts w:ascii="Arial" w:cs="Arial" w:eastAsia="Arial" w:hAnsi="Arial"/>
          <w:sz w:val="13"/>
          <w:szCs w:val="13"/>
          <w:b w:val="1"/>
          <w:bCs w:val="1"/>
          <w:i w:val="1"/>
          <w:iCs w:val="1"/>
          <w:color w:val="auto"/>
        </w:rPr>
        <w:t>If we are required to repay in cash the amount paid to the underwriters of our initial public offering by the Investment Adviser, and we expect this to occur, we may have to sell assets at a loss, and the amount that we have available for investment may be reduced, in order to pay the amount due and this has reduced our net asset value.</w:t>
      </w:r>
    </w:p>
    <w:p>
      <w:pPr>
        <w:spacing w:after="0" w:line="37" w:lineRule="exact"/>
        <w:rPr>
          <w:sz w:val="20"/>
          <w:szCs w:val="20"/>
          <w:color w:val="auto"/>
        </w:rPr>
      </w:pPr>
    </w:p>
    <w:p>
      <w:pPr>
        <w:ind w:right="60" w:firstLine="562"/>
        <w:spacing w:after="0" w:line="244" w:lineRule="auto"/>
        <w:rPr>
          <w:sz w:val="20"/>
          <w:szCs w:val="20"/>
          <w:color w:val="auto"/>
        </w:rPr>
      </w:pPr>
      <w:r>
        <w:rPr>
          <w:rFonts w:ascii="Arial" w:cs="Arial" w:eastAsia="Arial" w:hAnsi="Arial"/>
          <w:sz w:val="13"/>
          <w:szCs w:val="13"/>
          <w:color w:val="auto"/>
        </w:rPr>
        <w:t>In connection with our initial public offering, the Investment Adviser paid to the underwriters 2% of the sales load, or $2.1 million in the aggregate, with respect to the offering of shares of our common stock. We (and indirectly our stockholders) will be obligated to repay this amount (a) if during any four consecutive calendar quarter-periods ending on or after April 13, 2012, our Pre-Incentive Fee Net Investment Income equals or exceeds 1.75% (7.0% annualized) of our net assets at the beginning of such period (as adjusted for any issuances or repurchases of shares of our common stock) or (b) upon our liquidation. If one or more of these events does not occur on or before April 7, 2014, we will not be obligated to repay this amount. We will repay such amount to the Investment Adviser in cash, and the Investment Adviser has agreed to use such payment to purchase shares of our common stock in the secondary market. Accordingly, for the fiscal year ended September 30, 2012, we have accrued such sales load as we expect that we will meet the 1.75% Pre-Incentive Fee Net Investment Income for the fourth calendar quarter, ending on December 31, 2012. Furthermore, this accrual and expected payment of the sales load has reduced our net asset value and will affect our asset coverage test.</w:t>
      </w:r>
    </w:p>
    <w:p>
      <w:pPr>
        <w:spacing w:after="0" w:line="111" w:lineRule="exact"/>
        <w:rPr>
          <w:sz w:val="20"/>
          <w:szCs w:val="20"/>
          <w:color w:val="auto"/>
        </w:rPr>
      </w:pPr>
    </w:p>
    <w:p>
      <w:pPr>
        <w:ind w:right="180" w:firstLine="562"/>
        <w:spacing w:after="0" w:line="256" w:lineRule="auto"/>
        <w:rPr>
          <w:sz w:val="20"/>
          <w:szCs w:val="20"/>
          <w:color w:val="auto"/>
        </w:rPr>
      </w:pPr>
      <w:r>
        <w:rPr>
          <w:rFonts w:ascii="Arial" w:cs="Arial" w:eastAsia="Arial" w:hAnsi="Arial"/>
          <w:sz w:val="13"/>
          <w:szCs w:val="13"/>
          <w:color w:val="auto"/>
        </w:rPr>
        <w:t>In order to repay this amount to the Investment Adviser in cash while making distributions to our stockholders necessary to maintain our RIC status and/or avoid the imposition of federal income and excise taxes, we may have to dispose of a portion of our investments. Any such disposition could result in realized losses and reduce the amount of capital that we have available for investment. Furthermore, to ensure repayment, there is a risk the Investment Adviser will make more speculative investments.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23</w:t>
      </w:r>
    </w:p>
    <w:p>
      <w:pPr>
        <w:sectPr>
          <w:pgSz w:w="11900" w:h="16838" w:orient="portrait"/>
          <w:cols w:equalWidth="0" w:num="1">
            <w:col w:w="11240"/>
          </w:cols>
          <w:pgMar w:left="320" w:top="459"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Regulations governing our operation as a BDC will affect our ability to, and the way in which we, raise additional capital.</w:t>
      </w:r>
    </w:p>
    <w:p>
      <w:pPr>
        <w:spacing w:after="0" w:line="80" w:lineRule="exact"/>
        <w:rPr>
          <w:sz w:val="20"/>
          <w:szCs w:val="20"/>
          <w:color w:val="auto"/>
        </w:rPr>
      </w:pPr>
    </w:p>
    <w:p>
      <w:pPr>
        <w:ind w:firstLine="562"/>
        <w:spacing w:after="0" w:line="268" w:lineRule="auto"/>
        <w:rPr>
          <w:sz w:val="20"/>
          <w:szCs w:val="20"/>
          <w:color w:val="auto"/>
        </w:rPr>
      </w:pPr>
      <w:r>
        <w:rPr>
          <w:rFonts w:ascii="Arial" w:cs="Arial" w:eastAsia="Arial" w:hAnsi="Arial"/>
          <w:sz w:val="12"/>
          <w:szCs w:val="12"/>
          <w:color w:val="auto"/>
        </w:rPr>
        <w:t>Our business requires a substantial amount of capital. We may acquire additional capital from the issuance of senior securities or other indebtedness, the issuance of additional shares of our common stock, the issuance of warrants or subscription rights to purchase certain of our securities, or from securitization transactions. However, we may not be able to raise additional capital in the future on favorable terms or at all. We may issue debt securities or preferred securities, which we refer to collectively as “senior securities,” and we may borrow money from banks, or other financial institutions, up to the maximum amount permitted by the 1940 Act. The 1940 Act permits us to issue senior securities or incur indebtedness only in amounts such that our asset coverage, as defined in the 1940 Act, equals at least 200% after such issuance or incurrence. Our ability to pay dividends, incur additional indebtedness or issue additional senior securities would be restricted if our asset coverage ratio were not met. If the value of our assets declines, we may be unable to satisfy this test. If that happens, we may be required to liquidate a portion of our investments and repay a portion of our indebtedness or redeem a portion of our senior securities, as applicable, at a time when such sales may be disadvantageous, which could materially damage our business.</w:t>
      </w:r>
    </w:p>
    <w:p>
      <w:pPr>
        <w:spacing w:after="0" w:line="109" w:lineRule="exact"/>
        <w:rPr>
          <w:sz w:val="20"/>
          <w:szCs w:val="20"/>
          <w:color w:val="auto"/>
        </w:rPr>
      </w:pPr>
    </w:p>
    <w:p>
      <w:pPr>
        <w:ind w:left="880" w:right="240" w:hanging="764"/>
        <w:spacing w:after="0" w:line="247" w:lineRule="auto"/>
        <w:tabs>
          <w:tab w:leader="none" w:pos="880" w:val="left"/>
        </w:tabs>
        <w:numPr>
          <w:ilvl w:val="0"/>
          <w:numId w:val="23"/>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Senior Securities. </w:t>
      </w:r>
      <w:r>
        <w:rPr>
          <w:rFonts w:ascii="Arial" w:cs="Arial" w:eastAsia="Arial" w:hAnsi="Arial"/>
          <w:sz w:val="13"/>
          <w:szCs w:val="13"/>
          <w:color w:val="auto"/>
        </w:rPr>
        <w:t>As a result of issuing senior securities, we are exposed to typical risks associated with leverage, including an increased risk of loss. If we issue preferred securities, they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effect of delaying, deferring or preventing a transaction or a change of control that might involve a premium price for our common stockholders or otherwise be in your best interest. Our senior securities may include conversion features that cause them to bear risks more closely associated with an investment in our common stock.</w:t>
      </w:r>
    </w:p>
    <w:p>
      <w:pPr>
        <w:spacing w:after="0" w:line="121" w:lineRule="exact"/>
        <w:rPr>
          <w:rFonts w:ascii="Arial" w:cs="Arial" w:eastAsia="Arial" w:hAnsi="Arial"/>
          <w:sz w:val="13"/>
          <w:szCs w:val="13"/>
          <w:color w:val="auto"/>
        </w:rPr>
      </w:pPr>
    </w:p>
    <w:p>
      <w:pPr>
        <w:ind w:left="880" w:right="60" w:hanging="764"/>
        <w:spacing w:after="0" w:line="264" w:lineRule="auto"/>
        <w:tabs>
          <w:tab w:leader="none" w:pos="880" w:val="left"/>
        </w:tabs>
        <w:numPr>
          <w:ilvl w:val="0"/>
          <w:numId w:val="23"/>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Additional Common Stock. </w:t>
      </w:r>
      <w:r>
        <w:rPr>
          <w:rFonts w:ascii="Arial" w:cs="Arial" w:eastAsia="Arial" w:hAnsi="Arial"/>
          <w:sz w:val="12"/>
          <w:szCs w:val="12"/>
          <w:color w:val="auto"/>
        </w:rPr>
        <w:t>Our board of directors may decide to issue common stock to finance our operations rather than issuing debt or other senior securities. As a BDC, we are generally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not able to issue our common stock at a price below net asset value without first obtaining required approvals from our stockholders and our board of directors. Also, subject to the requirements of the 1940 Act, we may issue rights to acquire our common stock at a price below the current net asset value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net asset value per share of common stock, excluding underwriters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a registration statement on Form N-2, we must then be qualified to register our securities under the requirements of Form S-3. We may actually issue shares above or below NAV.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15" w:lineRule="exact"/>
        <w:rPr>
          <w:rFonts w:ascii="Arial" w:cs="Arial" w:eastAsia="Arial" w:hAnsi="Arial"/>
          <w:sz w:val="12"/>
          <w:szCs w:val="12"/>
          <w:color w:val="auto"/>
        </w:rPr>
      </w:pPr>
    </w:p>
    <w:p>
      <w:pPr>
        <w:ind w:left="880" w:hanging="764"/>
        <w:spacing w:after="0" w:line="263" w:lineRule="auto"/>
        <w:tabs>
          <w:tab w:leader="none" w:pos="880" w:val="left"/>
        </w:tabs>
        <w:numPr>
          <w:ilvl w:val="0"/>
          <w:numId w:val="23"/>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Securitization. </w:t>
      </w:r>
      <w:r>
        <w:rPr>
          <w:rFonts w:ascii="Arial" w:cs="Arial" w:eastAsia="Arial" w:hAnsi="Arial"/>
          <w:sz w:val="12"/>
          <w:szCs w:val="12"/>
          <w:color w:val="auto"/>
        </w:rPr>
        <w:t>In addition to issuing securities to raise capital as described above, we anticipate that in the future, as market conditions permit, we may securitize our loans to generate cash for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funding new investments. To securitize loans, we may create a wholly-owned subsidiary, contribute a pool of loans to the subsidiary and have the subsidiary issue primarily investment grade debt securities to purchasers who we would expect to be willing to accept a substantially lower interest rate than the loans earn. Even though we expect the pool of loans that we contribute to any such securitization vehicle to be rated below investment grade, because the securitization vehicle’s portfolio of loans would secure all of the debt issued by such vehicle, a portion of such debt may be rated investment grade, subject in each case to market conditions that may require such portion of the debt to be over collateralized and various other restrictions. If applicable accounting pronouncements or SEC staff guidance requires us to consolidate the securitization vehicle’s financial statements with our financial statements any debt issued by it would be generally treated as if it were issued by us for purposes of the asset coverage test applicable to us. In such case, we would expect to retain all or a portion of the equity and/or subordinated notes in the securitization vehicle.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may hold subordinated debentures in any such securitization vehicle and, if so, we would not consider such securities to be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less liquid.</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We currently use borrowed funds to make investments and are exposed to the typical risks associated with leverage.</w:t>
      </w:r>
    </w:p>
    <w:p>
      <w:pPr>
        <w:spacing w:after="0" w:line="80" w:lineRule="exact"/>
        <w:rPr>
          <w:sz w:val="20"/>
          <w:szCs w:val="20"/>
          <w:color w:val="auto"/>
        </w:rPr>
      </w:pPr>
    </w:p>
    <w:p>
      <w:pPr>
        <w:jc w:val="both"/>
        <w:ind w:right="120" w:firstLine="562"/>
        <w:spacing w:after="0" w:line="256" w:lineRule="auto"/>
        <w:rPr>
          <w:sz w:val="20"/>
          <w:szCs w:val="20"/>
          <w:color w:val="auto"/>
        </w:rPr>
      </w:pPr>
      <w:r>
        <w:rPr>
          <w:rFonts w:ascii="Arial" w:cs="Arial" w:eastAsia="Arial" w:hAnsi="Arial"/>
          <w:sz w:val="13"/>
          <w:szCs w:val="13"/>
          <w:color w:val="auto"/>
        </w:rPr>
        <w:t>Because we borrow funds, through Funding I, to make investments we are exposed to increased risk of loss due to our use of debt to make investments. A decrease in the value of our investments will have a greater negative impact on the net asset value attributable to our common stock than it would if we did not use debt. Our ability to pay distributions is restricted due when our asset coverage ratio is not met, and any amounts that we use to service our indebtedness are not available for distribution to our common stockholders.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ectPr>
          <w:pgSz w:w="11900" w:h="16838" w:orient="portrait"/>
          <w:cols w:equalWidth="0" w:num="1">
            <w:col w:w="11240"/>
          </w:cols>
          <w:pgMar w:left="320" w:top="459"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80" w:firstLine="562"/>
        <w:spacing w:after="0" w:line="256" w:lineRule="auto"/>
        <w:rPr>
          <w:sz w:val="20"/>
          <w:szCs w:val="20"/>
          <w:color w:val="auto"/>
        </w:rPr>
      </w:pPr>
      <w:r>
        <w:rPr>
          <w:rFonts w:ascii="Arial" w:cs="Arial" w:eastAsia="Arial" w:hAnsi="Arial"/>
          <w:sz w:val="13"/>
          <w:szCs w:val="13"/>
          <w:color w:val="auto"/>
        </w:rPr>
        <w:t>Our current debt is governed by the terms of the Credit Facility and may in the future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If we incur additional debt, it could increase the risk of investing in our shares.</w:t>
      </w:r>
    </w:p>
    <w:p>
      <w:pPr>
        <w:spacing w:after="0" w:line="80" w:lineRule="exact"/>
        <w:rPr>
          <w:sz w:val="20"/>
          <w:szCs w:val="20"/>
          <w:color w:val="auto"/>
        </w:rPr>
      </w:pPr>
    </w:p>
    <w:p>
      <w:pPr>
        <w:ind w:right="60" w:firstLine="562"/>
        <w:spacing w:after="0" w:line="243" w:lineRule="auto"/>
        <w:rPr>
          <w:sz w:val="20"/>
          <w:szCs w:val="20"/>
          <w:color w:val="auto"/>
        </w:rPr>
      </w:pPr>
      <w:r>
        <w:rPr>
          <w:rFonts w:ascii="Arial" w:cs="Arial" w:eastAsia="Arial" w:hAnsi="Arial"/>
          <w:sz w:val="13"/>
          <w:szCs w:val="13"/>
          <w:color w:val="auto"/>
        </w:rPr>
        <w:t>We have indebtedness outstanding pursuant to our Credit Facility and expect in the future to borrow additional amounts under our Credit Facility and, subject to market availability and satisfaction of certain conditions, to increase the size of our Credit Facility. Lenders have fixed dollar claims on our assets that are superior to the claims of our common stockholders or preferred stockholders, if any, and we have granted a security interest in Funding I’s assets in connection with our Credit Facility borrowings. In the case of a liquidation event, those lenders would receive proceeds before our stockholders. In addition, borrowings, also known as leverage, magnify the potential for gain or loss on amounts invested and, therefore, increase the risks associated with investing in our securities. Leverage is generally considered a speculative investment technique. If the value of our assets decreases, then leveraging would cause the net asset value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12" w:lineRule="exact"/>
        <w:rPr>
          <w:sz w:val="20"/>
          <w:szCs w:val="20"/>
          <w:color w:val="auto"/>
        </w:rPr>
      </w:pPr>
    </w:p>
    <w:p>
      <w:pPr>
        <w:ind w:right="80" w:firstLine="562"/>
        <w:spacing w:after="0" w:line="250" w:lineRule="auto"/>
        <w:rPr>
          <w:sz w:val="20"/>
          <w:szCs w:val="20"/>
          <w:color w:val="auto"/>
        </w:rPr>
      </w:pPr>
      <w:r>
        <w:rPr>
          <w:rFonts w:ascii="Arial" w:cs="Arial" w:eastAsia="Arial" w:hAnsi="Arial"/>
          <w:sz w:val="13"/>
          <w:szCs w:val="13"/>
          <w:color w:val="auto"/>
        </w:rPr>
        <w:t>As of September 30, 2012, we had outstanding borrowings of $75.5 million under our Credit Facility with a weighted average annual interest rate on of 2.47% exclusive of the fees on the undrawn commitment of 0.375%. Accordingly, to cover the annual interest on our borrowings outstanding at September 30, 2012, at the then current rate, we would have to receive an annual yield of at least 1.09%. This example is for illustrative purposes only, and actual interest rates on our Credit Facility borrowings are likely to fluctuate. The costs associated with our borrowings, including any increase in the management fee payable to our Investment Adviser, will be borne by our common stockholders.</w:t>
      </w:r>
    </w:p>
    <w:p>
      <w:pPr>
        <w:spacing w:after="0" w:line="106" w:lineRule="exact"/>
        <w:rPr>
          <w:sz w:val="20"/>
          <w:szCs w:val="20"/>
          <w:color w:val="auto"/>
        </w:rPr>
      </w:pPr>
    </w:p>
    <w:p>
      <w:pPr>
        <w:ind w:right="100" w:firstLine="562"/>
        <w:spacing w:after="0" w:line="278" w:lineRule="auto"/>
        <w:rPr>
          <w:sz w:val="20"/>
          <w:szCs w:val="20"/>
          <w:color w:val="auto"/>
        </w:rPr>
      </w:pPr>
      <w:r>
        <w:rPr>
          <w:rFonts w:ascii="Arial" w:cs="Arial" w:eastAsia="Arial" w:hAnsi="Arial"/>
          <w:sz w:val="12"/>
          <w:szCs w:val="12"/>
          <w:color w:val="auto"/>
        </w:rPr>
        <w:t>The following table is designed to illustrate the effect on return to a holder of our common stock of the leverage created by our use of borrowing at September 30, 2012 of 42% of total assets (including such borrowed funds), at a weighted average rate at the time of 2.47% and assumes hypothetical annual returns on our portfolio of minus 10 to plus 10 percent. The table also assumes that we will maintain a constant level and weighted average rate of leverage. The amount of leverage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Assumed return on portfolio (net of expenses)</w:t>
            </w:r>
            <w:r>
              <w:rPr>
                <w:rFonts w:ascii="Arial" w:cs="Arial" w:eastAsia="Arial" w:hAnsi="Arial"/>
                <w:sz w:val="22"/>
                <w:szCs w:val="22"/>
                <w:color w:val="auto"/>
                <w:vertAlign w:val="superscript"/>
              </w:rPr>
              <w:t>(1)</w:t>
            </w:r>
          </w:p>
        </w:tc>
        <w:tc>
          <w:tcPr>
            <w:tcW w:w="312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(10.0)%</w:t>
            </w:r>
          </w:p>
        </w:tc>
        <w:tc>
          <w:tcPr>
            <w:tcW w:w="88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(5.0)%</w:t>
            </w:r>
          </w:p>
        </w:tc>
        <w:tc>
          <w:tcPr>
            <w:tcW w:w="820" w:type="dxa"/>
            <w:vAlign w:val="bottom"/>
            <w:shd w:val="clear" w:color="auto" w:fill="CCEEFF"/>
          </w:tcPr>
          <w:p>
            <w:pPr>
              <w:jc w:val="right"/>
              <w:ind w:right="313"/>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5.0%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r>
      <w:tr>
        <w:trPr>
          <w:trHeight w:val="371"/>
        </w:trPr>
        <w:tc>
          <w:tcPr>
            <w:tcW w:w="5100" w:type="dxa"/>
            <w:vAlign w:val="bottom"/>
          </w:tcPr>
          <w:p>
            <w:pPr>
              <w:spacing w:after="0"/>
              <w:rPr>
                <w:sz w:val="20"/>
                <w:szCs w:val="20"/>
                <w:color w:val="auto"/>
              </w:rPr>
            </w:pPr>
            <w:r>
              <w:rPr>
                <w:rFonts w:ascii="Arial" w:cs="Arial" w:eastAsia="Arial" w:hAnsi="Arial"/>
                <w:sz w:val="13"/>
                <w:szCs w:val="13"/>
                <w:color w:val="auto"/>
              </w:rPr>
              <w:t>Corresponding return to common stockholders</w:t>
            </w:r>
            <w:r>
              <w:rPr>
                <w:rFonts w:ascii="Arial" w:cs="Arial" w:eastAsia="Arial" w:hAnsi="Arial"/>
                <w:sz w:val="22"/>
                <w:szCs w:val="22"/>
                <w:color w:val="auto"/>
                <w:vertAlign w:val="superscript"/>
              </w:rPr>
              <w:t>(2)</w:t>
            </w:r>
          </w:p>
        </w:tc>
        <w:tc>
          <w:tcPr>
            <w:tcW w:w="3120" w:type="dxa"/>
            <w:vAlign w:val="bottom"/>
          </w:tcPr>
          <w:p>
            <w:pPr>
              <w:jc w:val="right"/>
              <w:ind w:right="193"/>
              <w:spacing w:after="0"/>
              <w:rPr>
                <w:sz w:val="20"/>
                <w:szCs w:val="20"/>
                <w:color w:val="auto"/>
              </w:rPr>
            </w:pPr>
            <w:r>
              <w:rPr>
                <w:rFonts w:ascii="Arial" w:cs="Arial" w:eastAsia="Arial" w:hAnsi="Arial"/>
                <w:sz w:val="13"/>
                <w:szCs w:val="13"/>
                <w:color w:val="auto"/>
              </w:rPr>
              <w:t>(20.6)%</w:t>
            </w:r>
          </w:p>
        </w:tc>
        <w:tc>
          <w:tcPr>
            <w:tcW w:w="880" w:type="dxa"/>
            <w:vAlign w:val="bottom"/>
          </w:tcPr>
          <w:p>
            <w:pPr>
              <w:jc w:val="right"/>
              <w:ind w:right="153"/>
              <w:spacing w:after="0"/>
              <w:rPr>
                <w:sz w:val="20"/>
                <w:szCs w:val="20"/>
                <w:color w:val="auto"/>
              </w:rPr>
            </w:pPr>
            <w:r>
              <w:rPr>
                <w:rFonts w:ascii="Arial" w:cs="Arial" w:eastAsia="Arial" w:hAnsi="Arial"/>
                <w:sz w:val="13"/>
                <w:szCs w:val="13"/>
                <w:color w:val="auto"/>
              </w:rPr>
              <w:t>(11.3)%</w:t>
            </w:r>
          </w:p>
        </w:tc>
        <w:tc>
          <w:tcPr>
            <w:tcW w:w="820" w:type="dxa"/>
            <w:vAlign w:val="bottom"/>
          </w:tcPr>
          <w:p>
            <w:pPr>
              <w:jc w:val="right"/>
              <w:ind w:right="153"/>
              <w:spacing w:after="0"/>
              <w:rPr>
                <w:sz w:val="20"/>
                <w:szCs w:val="20"/>
                <w:color w:val="auto"/>
              </w:rPr>
            </w:pPr>
            <w:r>
              <w:rPr>
                <w:rFonts w:ascii="Arial" w:cs="Arial" w:eastAsia="Arial" w:hAnsi="Arial"/>
                <w:sz w:val="13"/>
                <w:szCs w:val="13"/>
                <w:color w:val="auto"/>
              </w:rPr>
              <w:t>(1.9)%</w:t>
            </w:r>
          </w:p>
        </w:tc>
        <w:tc>
          <w:tcPr>
            <w:tcW w:w="740" w:type="dxa"/>
            <w:vAlign w:val="bottom"/>
          </w:tcPr>
          <w:p>
            <w:pPr>
              <w:jc w:val="right"/>
              <w:ind w:right="173"/>
              <w:spacing w:after="0"/>
              <w:rPr>
                <w:sz w:val="20"/>
                <w:szCs w:val="20"/>
                <w:color w:val="auto"/>
              </w:rPr>
            </w:pPr>
            <w:r>
              <w:rPr>
                <w:rFonts w:ascii="Arial" w:cs="Arial" w:eastAsia="Arial" w:hAnsi="Arial"/>
                <w:sz w:val="13"/>
                <w:szCs w:val="13"/>
                <w:color w:val="auto"/>
              </w:rPr>
              <w:t>7.4%</w:t>
            </w:r>
          </w:p>
        </w:tc>
        <w:tc>
          <w:tcPr>
            <w:tcW w:w="580" w:type="dxa"/>
            <w:vAlign w:val="bottom"/>
          </w:tcPr>
          <w:p>
            <w:pPr>
              <w:jc w:val="right"/>
              <w:spacing w:after="0"/>
              <w:rPr>
                <w:sz w:val="20"/>
                <w:szCs w:val="20"/>
                <w:color w:val="auto"/>
              </w:rPr>
            </w:pPr>
            <w:r>
              <w:rPr>
                <w:rFonts w:ascii="Arial" w:cs="Arial" w:eastAsia="Arial" w:hAnsi="Arial"/>
                <w:sz w:val="13"/>
                <w:szCs w:val="13"/>
                <w:color w:val="auto"/>
              </w:rPr>
              <w:t>16.7%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17830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assumed portfolio return is required by regulation of the SEC and is not a prediction of, and does not represent, our projected or actual performance.</w:t>
      </w:r>
    </w:p>
    <w:p>
      <w:pPr>
        <w:spacing w:after="0" w:line="147" w:lineRule="exact"/>
        <w:rPr>
          <w:rFonts w:ascii="Arial" w:cs="Arial" w:eastAsia="Arial" w:hAnsi="Arial"/>
          <w:sz w:val="13"/>
          <w:szCs w:val="13"/>
          <w:color w:val="auto"/>
        </w:rPr>
      </w:pPr>
    </w:p>
    <w:p>
      <w:pPr>
        <w:ind w:left="460" w:right="300" w:hanging="452"/>
        <w:spacing w:after="0" w:line="256" w:lineRule="auto"/>
        <w:tabs>
          <w:tab w:leader="none" w:pos="46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We are exposed to risks associated with changes in interest rates that may affect our cost of capital and net investment income.</w:t>
      </w:r>
    </w:p>
    <w:p>
      <w:pPr>
        <w:spacing w:after="0" w:line="80" w:lineRule="exact"/>
        <w:rPr>
          <w:sz w:val="20"/>
          <w:szCs w:val="20"/>
          <w:color w:val="auto"/>
        </w:rPr>
      </w:pPr>
    </w:p>
    <w:p>
      <w:pPr>
        <w:ind w:firstLine="562"/>
        <w:spacing w:after="0" w:line="268" w:lineRule="auto"/>
        <w:rPr>
          <w:sz w:val="20"/>
          <w:szCs w:val="20"/>
          <w:color w:val="auto"/>
        </w:rPr>
      </w:pPr>
      <w:r>
        <w:rPr>
          <w:rFonts w:ascii="Arial" w:cs="Arial" w:eastAsia="Arial" w:hAnsi="Arial"/>
          <w:sz w:val="12"/>
          <w:szCs w:val="12"/>
          <w:color w:val="auto"/>
        </w:rPr>
        <w:t>Since we borrow money to make Floating Rate Loans,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periods of rising interest rates, our cost of funds will increase, which could reduce our net investment income assuming no corresponding increase in interest income. We may use interest rate risk management techniques, such as total return swaps and interest rate swaps, in an effort to limit our exposure to interest rate fluctuations. These techniques may include various interest rate hedging activities to the extent permitted by the 1940 Act.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See “Management Discussion and Analysis of Financial Condition and Results of Operations—Quantitative and Qualitative Disclosures about Market Risk” for more information.</w:t>
      </w:r>
    </w:p>
    <w:p>
      <w:pPr>
        <w:spacing w:after="0" w:line="96" w:lineRule="exact"/>
        <w:rPr>
          <w:sz w:val="20"/>
          <w:szCs w:val="20"/>
          <w:color w:val="auto"/>
        </w:rPr>
      </w:pPr>
    </w:p>
    <w:p>
      <w:pPr>
        <w:ind w:right="100" w:firstLine="562"/>
        <w:spacing w:after="0" w:line="317" w:lineRule="auto"/>
        <w:rPr>
          <w:sz w:val="20"/>
          <w:szCs w:val="20"/>
          <w:color w:val="auto"/>
        </w:rPr>
      </w:pPr>
      <w:r>
        <w:rPr>
          <w:rFonts w:ascii="Arial" w:cs="Arial" w:eastAsia="Arial" w:hAnsi="Arial"/>
          <w:sz w:val="12"/>
          <w:szCs w:val="12"/>
          <w:color w:val="auto"/>
        </w:rPr>
        <w:t>A rise in the general level of interest rates can be expected to lead to higher interest rates applicable to our debt investments. Accordingly, an increase in interest rates would make it easier for us to meet or exceed the incentive fee hurdle and may result in a substantial increase of the amount of incentive fees payable to our Investment Adviser with respect to Pre-Incentive Fee Net Investment Income.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ectPr>
          <w:pgSz w:w="11900" w:h="16838" w:orient="portrait"/>
          <w:cols w:equalWidth="0" w:num="1">
            <w:col w:w="11240"/>
          </w:cols>
          <w:pgMar w:left="320" w:top="459"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240" w:firstLine="562"/>
        <w:spacing w:after="0" w:line="247" w:lineRule="auto"/>
        <w:rPr>
          <w:sz w:val="20"/>
          <w:szCs w:val="20"/>
          <w:color w:val="auto"/>
        </w:rPr>
      </w:pPr>
      <w:r>
        <w:rPr>
          <w:rFonts w:ascii="Arial" w:cs="Arial" w:eastAsia="Arial" w:hAnsi="Arial"/>
          <w:sz w:val="13"/>
          <w:szCs w:val="13"/>
          <w:color w:val="auto"/>
        </w:rPr>
        <w:t>General interest rate fluctuations may have a substantial negative impact on our investments, the value of our common stock and our rate of return on invested capital. A reduction in the interest rates on new investments relative to interest rates on current investments could also have an adverse impact on our net interest income. An increase in interest rates, could decrease the value of any investments we hold which earn fixed interest rates and also, absent a risk, management technique could increase our interest expense on any variable-rate borrowings, thereby decreasing our net income. Also, an increase in interest rates available to investors could make investment in our common stock less attractive if we are not able to increase our dividend rate, which could reduce the value of our common stock.</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Our interests in Funding I are subordinated.</w:t>
      </w:r>
    </w:p>
    <w:p>
      <w:pPr>
        <w:spacing w:after="0" w:line="80"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We own 100% of the equity interests in Funding I. We consolidate Funding I in our consolidated financial statements and treat the indebtedness of Funding I as our leverage. Our interests in Funding I (other than the management fees that the Investment Adviser has irrevocably directed to be paid to us) are subordinate in priority of payment to every other obligation of Funding I and are subject to certain payment restrictions set forth in the Credit Facility documents. We may receive cash distributions on our equity interests in Funding I only after it has made all (1) required cash interest and, if applicable, principal payments to the Lender, (2) required administrative expenses and (3) claims of other unsecured creditors of Funding I. We cannot assure you that there will be sufficient funds available to make any distributions to us or that such distributions will meet our expectations.</w:t>
      </w:r>
    </w:p>
    <w:p>
      <w:pPr>
        <w:spacing w:after="0" w:line="108" w:lineRule="exact"/>
        <w:rPr>
          <w:sz w:val="20"/>
          <w:szCs w:val="20"/>
          <w:color w:val="auto"/>
        </w:rPr>
      </w:pPr>
    </w:p>
    <w:p>
      <w:pPr>
        <w:ind w:right="140" w:firstLine="562"/>
        <w:spacing w:after="0" w:line="256" w:lineRule="auto"/>
        <w:rPr>
          <w:sz w:val="20"/>
          <w:szCs w:val="20"/>
          <w:color w:val="auto"/>
        </w:rPr>
      </w:pPr>
      <w:r>
        <w:rPr>
          <w:rFonts w:ascii="Arial" w:cs="Arial" w:eastAsia="Arial" w:hAnsi="Arial"/>
          <w:sz w:val="13"/>
          <w:szCs w:val="13"/>
          <w:color w:val="auto"/>
        </w:rPr>
        <w:t>Our equity interests in Funding I are subordinate to all of the secured and unsecured creditors, known or unknown, of Funding I, including the Lender. Consequently, to the extent that the value of Funding I’s portfolio of loan investments has been reduced as a result of conditions in the credit markets, defaulted loans, capital losses exceed gains on the underlying assets, prepayments or changes in interest rates, the return on our investment in Funding I could be reduced. Accordingly, our investment in Funding I is subject to loss of principal.</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Funding I may fail to meet certain asset coverage tests, which would have an adverse effect on the timing of payments to us, or otherwise fail to satisfy various covenants.</w:t>
      </w:r>
    </w:p>
    <w:p>
      <w:pPr>
        <w:spacing w:after="0" w:line="80" w:lineRule="exact"/>
        <w:rPr>
          <w:sz w:val="20"/>
          <w:szCs w:val="20"/>
          <w:color w:val="auto"/>
        </w:rPr>
      </w:pPr>
    </w:p>
    <w:p>
      <w:pPr>
        <w:ind w:right="220" w:firstLine="562"/>
        <w:spacing w:after="0" w:line="250" w:lineRule="auto"/>
        <w:rPr>
          <w:sz w:val="20"/>
          <w:szCs w:val="20"/>
          <w:color w:val="auto"/>
        </w:rPr>
      </w:pPr>
      <w:r>
        <w:rPr>
          <w:rFonts w:ascii="Arial" w:cs="Arial" w:eastAsia="Arial" w:hAnsi="Arial"/>
          <w:sz w:val="13"/>
          <w:szCs w:val="13"/>
          <w:color w:val="auto"/>
        </w:rPr>
        <w:t>Under the documents governing the Credit Facility, there are two coverage tests applicable to Funding I. For example, the income coverage test compares the amount of interest received on the portfolio loans held by Funding I to the amount of interest payable to the Lender and certain other expenses. To meet this test, the aggregate amount of interest received on the portfolio loans must equal at least 125% of the interest payable in respect to the Lender and other parties. If these coverage tests are not satisfied on any date on which compliance is measured, Funding I will be required to apply any available funds to the repayment of principal under the Credit Facility to the extent necessary to satisfy the applicable coverage tests.</w:t>
      </w:r>
    </w:p>
    <w:p>
      <w:pPr>
        <w:spacing w:after="0" w:line="106" w:lineRule="exact"/>
        <w:rPr>
          <w:sz w:val="20"/>
          <w:szCs w:val="20"/>
          <w:color w:val="auto"/>
        </w:rPr>
      </w:pPr>
    </w:p>
    <w:p>
      <w:pPr>
        <w:ind w:right="140" w:firstLine="224"/>
        <w:spacing w:after="0" w:line="288" w:lineRule="auto"/>
        <w:rPr>
          <w:sz w:val="20"/>
          <w:szCs w:val="20"/>
          <w:color w:val="auto"/>
        </w:rPr>
      </w:pPr>
      <w:r>
        <w:rPr>
          <w:rFonts w:ascii="Arial" w:cs="Arial" w:eastAsia="Arial" w:hAnsi="Arial"/>
          <w:sz w:val="12"/>
          <w:szCs w:val="12"/>
          <w:color w:val="auto"/>
        </w:rPr>
        <w:t>In addition to the applicable asset coverage test that restricts our ability to borrow under Funding I’s Credit Facility, the various covenants which, if not complied with, could accelerate repayment under the Credit Facility, thereby having a material adverse effect on our liquidity, financial condition and results of operations. Funding I’s borrowings under the Credit Facility are collateralized by the assets in Funding I’s investment portfolio. The agreements governing the Credit Facility require Funding I to comply with certain financial and operational covenants. These covenants include:</w:t>
      </w:r>
    </w:p>
    <w:p>
      <w:pPr>
        <w:spacing w:after="0" w:line="97" w:lineRule="exact"/>
        <w:rPr>
          <w:sz w:val="20"/>
          <w:szCs w:val="20"/>
          <w:color w:val="auto"/>
        </w:rPr>
      </w:pPr>
    </w:p>
    <w:p>
      <w:pPr>
        <w:ind w:left="660" w:hanging="436"/>
        <w:spacing w:after="0"/>
        <w:tabs>
          <w:tab w:leader="none" w:pos="66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 requirement to retain our status as a BDC;</w:t>
      </w:r>
    </w:p>
    <w:p>
      <w:pPr>
        <w:spacing w:after="0" w:line="147" w:lineRule="exact"/>
        <w:rPr>
          <w:rFonts w:ascii="Arial" w:cs="Arial" w:eastAsia="Arial" w:hAnsi="Arial"/>
          <w:sz w:val="13"/>
          <w:szCs w:val="13"/>
          <w:color w:val="auto"/>
        </w:rPr>
      </w:pPr>
    </w:p>
    <w:p>
      <w:pPr>
        <w:ind w:left="660" w:hanging="436"/>
        <w:spacing w:after="0"/>
        <w:tabs>
          <w:tab w:leader="none" w:pos="66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 requirement to maintain a minimum amount of shareholder’s equity; and</w:t>
      </w:r>
    </w:p>
    <w:p>
      <w:pPr>
        <w:spacing w:after="0" w:line="147" w:lineRule="exact"/>
        <w:rPr>
          <w:rFonts w:ascii="Arial" w:cs="Arial" w:eastAsia="Arial" w:hAnsi="Arial"/>
          <w:sz w:val="13"/>
          <w:szCs w:val="13"/>
          <w:color w:val="auto"/>
        </w:rPr>
      </w:pPr>
    </w:p>
    <w:p>
      <w:pPr>
        <w:ind w:left="660" w:hanging="436"/>
        <w:spacing w:after="0"/>
        <w:tabs>
          <w:tab w:leader="none" w:pos="66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 requirement that our outstanding borrowings under the Credit Facility not exceed a certain percentage of the value of our total portfolio.</w:t>
      </w:r>
    </w:p>
    <w:p>
      <w:pPr>
        <w:spacing w:after="0" w:line="134" w:lineRule="exact"/>
        <w:rPr>
          <w:sz w:val="20"/>
          <w:szCs w:val="20"/>
          <w:color w:val="auto"/>
        </w:rPr>
      </w:pPr>
    </w:p>
    <w:p>
      <w:pPr>
        <w:jc w:val="both"/>
        <w:ind w:firstLine="224"/>
        <w:spacing w:after="0" w:line="288" w:lineRule="auto"/>
        <w:rPr>
          <w:sz w:val="20"/>
          <w:szCs w:val="20"/>
          <w:color w:val="auto"/>
        </w:rPr>
      </w:pPr>
      <w:r>
        <w:rPr>
          <w:rFonts w:ascii="Arial" w:cs="Arial" w:eastAsia="Arial" w:hAnsi="Arial"/>
          <w:sz w:val="12"/>
          <w:szCs w:val="12"/>
          <w:color w:val="auto"/>
        </w:rPr>
        <w:t>Our continued compliance with these covenants depends on many factors, some of which are beyond our control. Material net asset devaluation resulting from under performance or defaults in connection with additional borrowings could result in an inability to comply with our obligation to restrict the level of indebtedness that we are able to incur in relation to the value of our assets or to maintain a minimum level of shareholders’ equity. This could have a material adverse effect on our operations, as it would trigger mandatory pre-payment obligations under the terms of the Credit Facility.</w:t>
      </w:r>
    </w:p>
    <w:p>
      <w:pPr>
        <w:spacing w:after="0" w:line="138"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We may not receive cash on our equity interests from Funding I.</w:t>
      </w:r>
    </w:p>
    <w:p>
      <w:pPr>
        <w:spacing w:after="0" w:line="80" w:lineRule="exact"/>
        <w:rPr>
          <w:sz w:val="20"/>
          <w:szCs w:val="20"/>
          <w:color w:val="auto"/>
        </w:rPr>
      </w:pPr>
    </w:p>
    <w:p>
      <w:pPr>
        <w:ind w:right="100" w:firstLine="562"/>
        <w:spacing w:after="0" w:line="247" w:lineRule="auto"/>
        <w:rPr>
          <w:sz w:val="20"/>
          <w:szCs w:val="20"/>
          <w:color w:val="auto"/>
        </w:rPr>
      </w:pPr>
      <w:r>
        <w:rPr>
          <w:rFonts w:ascii="Arial" w:cs="Arial" w:eastAsia="Arial" w:hAnsi="Arial"/>
          <w:sz w:val="13"/>
          <w:szCs w:val="13"/>
          <w:color w:val="auto"/>
        </w:rPr>
        <w:t>Except for management fees that PennantPark Investment Advisers has irrevocably directed to be paid to us, we receive cash from Funding I only to the extent that we receive distributions on our equity interests in Funding I. Funding I may make equity distributions on such interests only to the extent permitted by the payment priority provisions of the Credit Facility. The Credit Facility generally provides that payments on such interests may not be made on any payment date unless all amounts owing to the Lender and other secured parties are paid in full. In the event that we fail to receive cash from Funding I, we could be unable to make distributions to our stockholders in amounts sufficient to qualify as a RIC. We also could be forced to sell investments in portfolio companies at less than their fair value in order to continue making such distributions.</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The ability to sell investments held by Funding I is limited.</w:t>
      </w:r>
    </w:p>
    <w:p>
      <w:pPr>
        <w:spacing w:after="0" w:line="80" w:lineRule="exact"/>
        <w:rPr>
          <w:sz w:val="20"/>
          <w:szCs w:val="20"/>
          <w:color w:val="auto"/>
        </w:rPr>
      </w:pPr>
    </w:p>
    <w:p>
      <w:pPr>
        <w:ind w:right="380" w:firstLine="562"/>
        <w:spacing w:after="0" w:line="274" w:lineRule="auto"/>
        <w:rPr>
          <w:sz w:val="20"/>
          <w:szCs w:val="20"/>
          <w:color w:val="auto"/>
        </w:rPr>
      </w:pPr>
      <w:r>
        <w:rPr>
          <w:rFonts w:ascii="Arial" w:cs="Arial" w:eastAsia="Arial" w:hAnsi="Arial"/>
          <w:sz w:val="13"/>
          <w:szCs w:val="13"/>
          <w:color w:val="auto"/>
        </w:rPr>
        <w:t>The Credit Facility documents place restrictions on the collateral manager’s ability to sell investments. As a result, there may be times or circumstances during which the collateral manager is unable to sell investments or take other actions that might be in our best interests.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ectPr>
          <w:pgSz w:w="11900" w:h="16838" w:orient="portrait"/>
          <w:cols w:equalWidth="0" w:num="1">
            <w:col w:w="11240"/>
          </w:cols>
          <w:pgMar w:left="320" w:top="459"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There are significant potential conflicts of interest which could impact our investment returns.</w:t>
      </w:r>
    </w:p>
    <w:p>
      <w:pPr>
        <w:spacing w:after="0" w:line="80" w:lineRule="exact"/>
        <w:rPr>
          <w:sz w:val="20"/>
          <w:szCs w:val="20"/>
          <w:color w:val="auto"/>
        </w:rPr>
      </w:pPr>
    </w:p>
    <w:p>
      <w:pPr>
        <w:ind w:right="20" w:firstLine="562"/>
        <w:spacing w:after="0" w:line="264" w:lineRule="auto"/>
        <w:rPr>
          <w:sz w:val="20"/>
          <w:szCs w:val="20"/>
          <w:color w:val="auto"/>
        </w:rPr>
      </w:pPr>
      <w:r>
        <w:rPr>
          <w:rFonts w:ascii="Arial" w:cs="Arial" w:eastAsia="Arial" w:hAnsi="Arial"/>
          <w:sz w:val="12"/>
          <w:szCs w:val="12"/>
          <w:color w:val="auto"/>
        </w:rPr>
        <w:t>The professionals of the Investment Adviser and Administrator serve as officers, directors or principals of entities that operate in the same or a related line of business as we do or of investment funds managed by affiliates of the Investment Adviser that may be formed in the future. The Investment Adviser and Administrator may be engaged by such funds at any time and without the prior approval of our stockholders or our board of directors. Our board of directors monitors any potential conflict that may arise both currently and in the future. Accordingly, if new affiliated funds are formed, our board of directors, adviser and administrator may have obligations to investors in those entities, the fulfillment of which might not be in the best interests of us or our stockholders. Currently, the executive officers and directors, as well as the current senior investment professionals of the Investment Adviser and Administrator, serve as officers and directors of PennantPark Investment Corporation, a publicly-traded BDC and other managed funds, as applicable. Although the Investment Adviser endeavors to allocate investment opportunities in a fair and equitable manner, it is possible that, in the future, we may not be given the opportunity to participate in investments made by investment funds managed by the Investment Adviser or an investment manager affiliated with the Investment Adviser. In any such case, when the Investment Adviser identifies an investment, it is forced to choose which investment fund should make the investment. We may co-invest on a concurrent basis with PennantPark Investment Corporation, and any other affiliates that the Investment Adviser currently has or forms in the future, subject to compliance with applicable regulations and regulatory guidance and our allocation procedures. In certain circumstances, negotiated co-investments may be made only if we receive an order from the SEC permitting us to do so. There can be no assurance that any such order will be obtained.</w:t>
      </w:r>
    </w:p>
    <w:p>
      <w:pPr>
        <w:spacing w:after="0" w:line="129" w:lineRule="exact"/>
        <w:rPr>
          <w:sz w:val="20"/>
          <w:szCs w:val="20"/>
          <w:color w:val="auto"/>
        </w:rPr>
      </w:pPr>
    </w:p>
    <w:p>
      <w:pPr>
        <w:ind w:right="220" w:firstLine="562"/>
        <w:spacing w:after="0" w:line="288" w:lineRule="auto"/>
        <w:rPr>
          <w:sz w:val="20"/>
          <w:szCs w:val="20"/>
          <w:color w:val="auto"/>
        </w:rPr>
      </w:pPr>
      <w:r>
        <w:rPr>
          <w:rFonts w:ascii="Arial" w:cs="Arial" w:eastAsia="Arial" w:hAnsi="Arial"/>
          <w:sz w:val="12"/>
          <w:szCs w:val="12"/>
          <w:color w:val="auto"/>
        </w:rPr>
        <w:t>In the ordinary course of our investing activities, we will pay investment advisory and incentive fees to the Investment Adviser, and will reimburse the Investment Adviser for certain expenses it incurs. As a result, investors in our common stock will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w:t>
      </w:r>
    </w:p>
    <w:p>
      <w:pPr>
        <w:spacing w:after="0" w:line="84" w:lineRule="exact"/>
        <w:rPr>
          <w:sz w:val="20"/>
          <w:szCs w:val="20"/>
          <w:color w:val="auto"/>
        </w:rPr>
      </w:pPr>
    </w:p>
    <w:p>
      <w:pPr>
        <w:ind w:right="320" w:firstLine="562"/>
        <w:spacing w:after="0" w:line="250" w:lineRule="auto"/>
        <w:rPr>
          <w:sz w:val="20"/>
          <w:szCs w:val="20"/>
          <w:color w:val="auto"/>
        </w:rPr>
      </w:pPr>
      <w:r>
        <w:rPr>
          <w:rFonts w:ascii="Arial" w:cs="Arial" w:eastAsia="Arial" w:hAnsi="Arial"/>
          <w:sz w:val="13"/>
          <w:szCs w:val="13"/>
          <w:color w:val="auto"/>
        </w:rPr>
        <w:t>In connection with our initial public offering, the Investment Adviser paid to the underwriters 2% of the sales load, or $2.1 million in the aggregate, with respect to the offering of shares of our common stock. We (and indirectly our stockholders) must reimburse this amount under certain circumstances. As a result of these arrangements, there may be times when the management team of the Investment Adviser has interests that differ from those of our stockholders, giving rise to a conflict. Furthermore, to ensure repayment, there is a risk the Investment Adviser will make more speculative investments.</w:t>
      </w:r>
    </w:p>
    <w:p>
      <w:pPr>
        <w:spacing w:after="0" w:line="106" w:lineRule="exact"/>
        <w:rPr>
          <w:sz w:val="20"/>
          <w:szCs w:val="20"/>
          <w:color w:val="auto"/>
        </w:rPr>
      </w:pPr>
    </w:p>
    <w:p>
      <w:pPr>
        <w:ind w:right="160" w:firstLine="224"/>
        <w:spacing w:after="0" w:line="268" w:lineRule="auto"/>
        <w:rPr>
          <w:sz w:val="20"/>
          <w:szCs w:val="20"/>
          <w:color w:val="auto"/>
        </w:rPr>
      </w:pPr>
      <w:r>
        <w:rPr>
          <w:rFonts w:ascii="Arial" w:cs="Arial" w:eastAsia="Arial" w:hAnsi="Arial"/>
          <w:sz w:val="12"/>
          <w:szCs w:val="12"/>
          <w:color w:val="auto"/>
        </w:rPr>
        <w:t>We have entered into a License Agreement with PennantPark Investment Advisers, pursuant to which the Investment Adviser has agreed to grant us a royalty-free non-exclusive license to use the name “PennantPark.” The License Agreement will expire (i) upon expiration or termination of the Investment Management Agreement, (ii) if the Investment Adviser ceases to serve as our investment adviser,</w:t>
      </w:r>
    </w:p>
    <w:p>
      <w:pPr>
        <w:spacing w:after="0" w:line="1" w:lineRule="exact"/>
        <w:rPr>
          <w:sz w:val="20"/>
          <w:szCs w:val="20"/>
          <w:color w:val="auto"/>
        </w:rPr>
      </w:pPr>
    </w:p>
    <w:p>
      <w:pPr>
        <w:ind w:firstLine="8"/>
        <w:spacing w:after="0" w:line="242" w:lineRule="auto"/>
        <w:tabs>
          <w:tab w:leader="none" w:pos="236" w:val="left"/>
        </w:tabs>
        <w:numPr>
          <w:ilvl w:val="0"/>
          <w:numId w:val="26"/>
        </w:numPr>
        <w:rPr>
          <w:rFonts w:ascii="Arial" w:cs="Arial" w:eastAsia="Arial" w:hAnsi="Arial"/>
          <w:sz w:val="13"/>
          <w:szCs w:val="13"/>
          <w:color w:val="auto"/>
        </w:rPr>
      </w:pPr>
      <w:r>
        <w:rPr>
          <w:rFonts w:ascii="Arial" w:cs="Arial" w:eastAsia="Arial" w:hAnsi="Arial"/>
          <w:sz w:val="13"/>
          <w:szCs w:val="13"/>
          <w:color w:val="auto"/>
        </w:rPr>
        <w:t>by either party upon sixty days’ written notice or (iv) by the Investment Adviser at any time in the event we assign or attempt to assign or sublicense the License Agreement or any of our rights or duties thereunder without the prior written consent of the Investment Adviser. Other than with respect to this limited license, we have no legal right to the “PennantPark” name. In addition, we pay PennantPark Investment Administration, an affiliate of the Investment Adviser, our allocable portion of overhead and other expenses incurred by PennantPark Investment Administration in performing its obligations under the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166" w:lineRule="exact"/>
        <w:rPr>
          <w:sz w:val="20"/>
          <w:szCs w:val="20"/>
          <w:color w:val="auto"/>
        </w:rPr>
      </w:pPr>
    </w:p>
    <w:p>
      <w:pPr>
        <w:ind w:right="640" w:firstLine="224"/>
        <w:spacing w:after="0" w:line="274" w:lineRule="auto"/>
        <w:rPr>
          <w:sz w:val="20"/>
          <w:szCs w:val="20"/>
          <w:color w:val="auto"/>
        </w:rPr>
      </w:pPr>
      <w:r>
        <w:rPr>
          <w:rFonts w:ascii="Arial" w:cs="Arial" w:eastAsia="Arial" w:hAnsi="Arial"/>
          <w:sz w:val="13"/>
          <w:szCs w:val="13"/>
          <w:b w:val="1"/>
          <w:bCs w:val="1"/>
          <w:i w:val="1"/>
          <w:iCs w:val="1"/>
          <w:color w:val="auto"/>
        </w:rPr>
        <w:t>We may in the future determine to fund a portion of our investments with debt securities, which would magnify the potential for loss and the risks of investing in us in the same way as our borrowings.</w:t>
      </w:r>
    </w:p>
    <w:p>
      <w:pPr>
        <w:spacing w:after="0" w:line="37" w:lineRule="exact"/>
        <w:rPr>
          <w:sz w:val="20"/>
          <w:szCs w:val="20"/>
          <w:color w:val="auto"/>
        </w:rPr>
      </w:pPr>
    </w:p>
    <w:p>
      <w:pPr>
        <w:ind w:right="40" w:firstLine="224"/>
        <w:spacing w:after="0" w:line="247" w:lineRule="auto"/>
        <w:rPr>
          <w:sz w:val="20"/>
          <w:szCs w:val="20"/>
          <w:color w:val="auto"/>
        </w:rPr>
      </w:pPr>
      <w:r>
        <w:rPr>
          <w:rFonts w:ascii="Arial" w:cs="Arial" w:eastAsia="Arial" w:hAnsi="Arial"/>
          <w:sz w:val="13"/>
          <w:szCs w:val="13"/>
          <w:color w:val="auto"/>
        </w:rPr>
        <w:t>As a result of an issuance of debt securities, we would be exposed to typical risks associated with leverage, including an increased risk of loss and an increase in expenses, which are ultimately borne by our common stockholders. Payment of interest on such debt securities must take preference over any other dividends or other payments to our common stockholders. If we issue debt securities,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amounts that we use to service our indebtedness would not be available for distributions to our common stockholders.</w:t>
      </w:r>
    </w:p>
    <w:p>
      <w:pPr>
        <w:spacing w:after="0" w:line="162" w:lineRule="exact"/>
        <w:rPr>
          <w:sz w:val="20"/>
          <w:szCs w:val="20"/>
          <w:color w:val="auto"/>
        </w:rPr>
      </w:pPr>
    </w:p>
    <w:p>
      <w:pPr>
        <w:ind w:right="600" w:firstLine="224"/>
        <w:spacing w:after="0" w:line="274" w:lineRule="auto"/>
        <w:rPr>
          <w:sz w:val="20"/>
          <w:szCs w:val="20"/>
          <w:color w:val="auto"/>
        </w:rPr>
      </w:pPr>
      <w:r>
        <w:rPr>
          <w:rFonts w:ascii="Arial" w:cs="Arial" w:eastAsia="Arial" w:hAnsi="Arial"/>
          <w:sz w:val="13"/>
          <w:szCs w:val="13"/>
          <w:b w:val="1"/>
          <w:bCs w:val="1"/>
          <w:i w:val="1"/>
          <w:iCs w:val="1"/>
          <w:color w:val="auto"/>
        </w:rPr>
        <w:t>We may in the future determine to fund a portion of our investments with preferred stock, which would magnify the potential for loss and the risks of investing in us in the same way as our borrowings.</w:t>
      </w:r>
    </w:p>
    <w:p>
      <w:pPr>
        <w:spacing w:after="0" w:line="37" w:lineRule="exact"/>
        <w:rPr>
          <w:sz w:val="20"/>
          <w:szCs w:val="20"/>
          <w:color w:val="auto"/>
        </w:rPr>
      </w:pPr>
    </w:p>
    <w:p>
      <w:pPr>
        <w:ind w:right="40" w:firstLine="224"/>
        <w:spacing w:after="0" w:line="245" w:lineRule="auto"/>
        <w:rPr>
          <w:sz w:val="20"/>
          <w:szCs w:val="20"/>
          <w:color w:val="auto"/>
        </w:rPr>
      </w:pPr>
      <w:r>
        <w:rPr>
          <w:rFonts w:ascii="Arial" w:cs="Arial" w:eastAsia="Arial" w:hAnsi="Arial"/>
          <w:sz w:val="13"/>
          <w:szCs w:val="13"/>
          <w:color w:val="auto"/>
        </w:rPr>
        <w:t>Preferred stock, which is another form of leverage, has the same risks to our common stockholders as borrowings because the dividends on any preferred stock we issue must be cumulative. If we issue preferred securities they would rank “senior” to common stock in our capital structure. Payment of dividends on, and repayment of the liquidation preference of, such preferred stock would typically take preference over any dividends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 Also, the issuance of preferred securities could have the effect of delaying, deferring or preventing a transaction or a change of control that might involve a premium price for our common stockholders or otherwise be in your best interest.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27</w:t>
      </w:r>
    </w:p>
    <w:p>
      <w:pPr>
        <w:sectPr>
          <w:pgSz w:w="11900" w:h="16838" w:orient="portrait"/>
          <w:cols w:equalWidth="0" w:num="1">
            <w:col w:w="11240"/>
          </w:cols>
          <w:pgMar w:left="320" w:top="45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If we issue preferred stock, debt securities or convertible debt securities the net asset value and market value of our common stock may become more volatile.</w:t>
      </w:r>
    </w:p>
    <w:p>
      <w:pPr>
        <w:spacing w:after="0" w:line="80" w:lineRule="exact"/>
        <w:rPr>
          <w:sz w:val="20"/>
          <w:szCs w:val="20"/>
          <w:color w:val="auto"/>
        </w:rPr>
      </w:pPr>
    </w:p>
    <w:p>
      <w:pPr>
        <w:ind w:firstLine="562"/>
        <w:spacing w:after="0" w:line="244" w:lineRule="auto"/>
        <w:rPr>
          <w:sz w:val="20"/>
          <w:szCs w:val="20"/>
          <w:color w:val="auto"/>
        </w:rPr>
      </w:pPr>
      <w:r>
        <w:rPr>
          <w:rFonts w:ascii="Arial" w:cs="Arial" w:eastAsia="Arial" w:hAnsi="Arial"/>
          <w:sz w:val="13"/>
          <w:szCs w:val="13"/>
          <w:color w:val="auto"/>
        </w:rPr>
        <w:t>We cannot assure you that the issuance of preferred stock and/or debt securities would result in a higher yield or return to the holders of our common stock. The issuance of preferred stock and/or debt securities would likely cause the net asset value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net asset value of our investment would be borne entirely by the holders of our common stock. Therefore, if the market value of our portfolio were to decline, the leverage would result in a greater decrease in net asset value to the holders of our common stock than if we were not leveraged through the issuance of preferred stock. This decline in net asset value would also tend to cause a greater decline in the market price for our common stock.</w:t>
      </w:r>
    </w:p>
    <w:p>
      <w:pPr>
        <w:spacing w:after="0" w:line="111" w:lineRule="exact"/>
        <w:rPr>
          <w:sz w:val="20"/>
          <w:szCs w:val="20"/>
          <w:color w:val="auto"/>
        </w:rPr>
      </w:pPr>
    </w:p>
    <w:p>
      <w:pPr>
        <w:ind w:right="20" w:firstLine="562"/>
        <w:spacing w:after="0" w:line="245" w:lineRule="auto"/>
        <w:rPr>
          <w:sz w:val="20"/>
          <w:szCs w:val="20"/>
          <w:color w:val="auto"/>
        </w:rPr>
      </w:pPr>
      <w:r>
        <w:rPr>
          <w:rFonts w:ascii="Arial" w:cs="Arial" w:eastAsia="Arial" w:hAnsi="Arial"/>
          <w:sz w:val="13"/>
          <w:szCs w:val="13"/>
          <w:color w:val="auto"/>
        </w:rPr>
        <w:t>There is also a risk that, in the event of a sharp decline in the value of our net assets, we would be in danger of failing to maintain required asset coverage ratios which may be required by the 1940 Act and the terms of our preferred stock and/or debt securities or of a downgrade in the ratings of the preferred stock and/or debt securities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and/or debt securities. In addition, we would pay (and the holders of our common stock would bear) all costs and expenses relating to the issuance and ongoing maintenance of the preferred stock and/or debt securities. Holders of preferred stock and/or debt securities may have different interests than holders of common stock and may at times have disproportionate influence over our affairs.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Holders of any preferred stock that we may issue will have the right to elect members of the board of directors and have class voting rights on certain matters.</w:t>
      </w:r>
    </w:p>
    <w:p>
      <w:pPr>
        <w:spacing w:after="0" w:line="80" w:lineRule="exact"/>
        <w:rPr>
          <w:sz w:val="20"/>
          <w:szCs w:val="20"/>
          <w:color w:val="auto"/>
        </w:rPr>
      </w:pPr>
    </w:p>
    <w:p>
      <w:pPr>
        <w:ind w:right="120" w:firstLine="562"/>
        <w:spacing w:after="0" w:line="273" w:lineRule="auto"/>
        <w:rPr>
          <w:sz w:val="20"/>
          <w:szCs w:val="20"/>
          <w:color w:val="auto"/>
        </w:rPr>
      </w:pPr>
      <w:r>
        <w:rPr>
          <w:rFonts w:ascii="Arial" w:cs="Arial" w:eastAsia="Arial" w:hAnsi="Arial"/>
          <w:sz w:val="12"/>
          <w:szCs w:val="12"/>
          <w:color w:val="auto"/>
        </w:rPr>
        <w:t>The 1940 Act requires that holders of shares of preferred stock must be entitled as a class to elect two directors at all times and to elect a majority of the directors if dividends on such preferred stock are in arrears by two years or more, until such arrearage is eliminated. In addition, certain matters under the 1940 Act require the separate vote of the holders of any issued and outstanding preferred stock, including changes in fundamental investment restrictions and conversion to open-end status and, accordingly, preferred stockholders could veto any such changes. Restrictions imposed on the declarations and payment of dividends or other distributions to the holders of our common stock and preferred stock, both by the 1940 Act and by requirements imposed by rating agencies, might impair our ability to maintain our qualification as a RIC for U.S. federal income tax purposes, which could have a material adverse effect on our business, financial condition and results of operations.</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We may in the future issue securities for which there is no public market and for which we expect no public market to develop.</w:t>
      </w:r>
    </w:p>
    <w:p>
      <w:pPr>
        <w:spacing w:after="0" w:line="80"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In order to raise additional capital, we may issue debt or other securities for which no public market exists, and for which no public market is expected to develop. If we issue shares of our common stock as a component of a unit security, we would expect the common stock to separate from the other securities in such unit after a period of time or upon occurrence of an event and to trade publicly on the NASDAQ Global Select Market, which may cause volatility in our publicly traded common stock. To the extent we issue securities for which no public market exists and for which no public market develops, a purchaser of such securities may not be able to liquidate the investment without considerable delay, if at all. If a market should develop for our debt and other securities, the price may be highly volatile, and our debt and other securities may lose value.</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The trading market or market value of any publicly issued debt securities may be volatile.</w:t>
      </w:r>
    </w:p>
    <w:p>
      <w:pPr>
        <w:spacing w:after="0" w:line="80" w:lineRule="exact"/>
        <w:rPr>
          <w:sz w:val="20"/>
          <w:szCs w:val="20"/>
          <w:color w:val="auto"/>
        </w:rPr>
      </w:pPr>
    </w:p>
    <w:p>
      <w:pPr>
        <w:ind w:right="160" w:firstLine="224"/>
        <w:spacing w:after="0" w:line="317" w:lineRule="auto"/>
        <w:rPr>
          <w:sz w:val="20"/>
          <w:szCs w:val="20"/>
          <w:color w:val="auto"/>
        </w:rPr>
      </w:pPr>
      <w:r>
        <w:rPr>
          <w:rFonts w:ascii="Arial" w:cs="Arial" w:eastAsia="Arial" w:hAnsi="Arial"/>
          <w:sz w:val="12"/>
          <w:szCs w:val="12"/>
          <w:color w:val="auto"/>
        </w:rPr>
        <w:t>If we publicly issue debt securities, they may or may not have an established trading market. We cannot assure investors that a trading market for our publicly issued debt securities would develop or be maintained if developed. In addition to our creditworthiness, many factors may have a material adverse effect on the trading market for, and market value of, our publicly issued debt securities, including:</w:t>
      </w:r>
    </w:p>
    <w:p>
      <w:pPr>
        <w:spacing w:after="0" w:line="81" w:lineRule="exact"/>
        <w:rPr>
          <w:sz w:val="20"/>
          <w:szCs w:val="20"/>
          <w:color w:val="auto"/>
        </w:rPr>
      </w:pPr>
    </w:p>
    <w:p>
      <w:pPr>
        <w:ind w:left="880" w:hanging="764"/>
        <w:spacing w:after="0"/>
        <w:tabs>
          <w:tab w:leader="none" w:pos="8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time remaining to the maturity of these debt securities;</w:t>
      </w:r>
    </w:p>
    <w:p>
      <w:pPr>
        <w:spacing w:after="0" w:line="147" w:lineRule="exact"/>
        <w:rPr>
          <w:rFonts w:ascii="Arial" w:cs="Arial" w:eastAsia="Arial" w:hAnsi="Arial"/>
          <w:sz w:val="13"/>
          <w:szCs w:val="13"/>
          <w:color w:val="auto"/>
        </w:rPr>
      </w:pPr>
    </w:p>
    <w:p>
      <w:pPr>
        <w:ind w:left="880" w:hanging="764"/>
        <w:spacing w:after="0"/>
        <w:tabs>
          <w:tab w:leader="none" w:pos="8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outstanding principal amount of debt securities with terms identical to these debt securities;</w:t>
      </w:r>
    </w:p>
    <w:p>
      <w:pPr>
        <w:spacing w:after="0" w:line="147" w:lineRule="exact"/>
        <w:rPr>
          <w:rFonts w:ascii="Arial" w:cs="Arial" w:eastAsia="Arial" w:hAnsi="Arial"/>
          <w:sz w:val="13"/>
          <w:szCs w:val="13"/>
          <w:color w:val="auto"/>
        </w:rPr>
      </w:pPr>
    </w:p>
    <w:p>
      <w:pPr>
        <w:ind w:left="880" w:hanging="764"/>
        <w:spacing w:after="0"/>
        <w:tabs>
          <w:tab w:leader="none" w:pos="8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supply of debt securities trading in the secondary market, if any;</w:t>
      </w:r>
    </w:p>
    <w:p>
      <w:pPr>
        <w:spacing w:after="0" w:line="147" w:lineRule="exact"/>
        <w:rPr>
          <w:rFonts w:ascii="Arial" w:cs="Arial" w:eastAsia="Arial" w:hAnsi="Arial"/>
          <w:sz w:val="13"/>
          <w:szCs w:val="13"/>
          <w:color w:val="auto"/>
        </w:rPr>
      </w:pPr>
    </w:p>
    <w:p>
      <w:pPr>
        <w:ind w:left="880" w:hanging="764"/>
        <w:spacing w:after="0"/>
        <w:tabs>
          <w:tab w:leader="none" w:pos="8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redemption or repayment features, if any, of these debt securities;</w:t>
      </w:r>
    </w:p>
    <w:p>
      <w:pPr>
        <w:spacing w:after="0" w:line="147" w:lineRule="exact"/>
        <w:rPr>
          <w:rFonts w:ascii="Arial" w:cs="Arial" w:eastAsia="Arial" w:hAnsi="Arial"/>
          <w:sz w:val="13"/>
          <w:szCs w:val="13"/>
          <w:color w:val="auto"/>
        </w:rPr>
      </w:pPr>
    </w:p>
    <w:p>
      <w:pPr>
        <w:ind w:left="880" w:hanging="764"/>
        <w:spacing w:after="0"/>
        <w:tabs>
          <w:tab w:leader="none" w:pos="8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level, direction and volatility of market interest rates generally; and</w:t>
      </w:r>
    </w:p>
    <w:p>
      <w:pPr>
        <w:spacing w:after="0" w:line="147" w:lineRule="exact"/>
        <w:rPr>
          <w:rFonts w:ascii="Arial" w:cs="Arial" w:eastAsia="Arial" w:hAnsi="Arial"/>
          <w:sz w:val="13"/>
          <w:szCs w:val="13"/>
          <w:color w:val="auto"/>
        </w:rPr>
      </w:pPr>
    </w:p>
    <w:p>
      <w:pPr>
        <w:ind w:left="880" w:hanging="764"/>
        <w:spacing w:after="0"/>
        <w:tabs>
          <w:tab w:leader="none" w:pos="8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market rates of interest higher or lower than rates borne by the debt securities.</w:t>
      </w:r>
    </w:p>
    <w:p>
      <w:pPr>
        <w:spacing w:after="0" w:line="134" w:lineRule="exact"/>
        <w:rPr>
          <w:sz w:val="20"/>
          <w:szCs w:val="20"/>
          <w:color w:val="auto"/>
        </w:rPr>
      </w:pPr>
    </w:p>
    <w:p>
      <w:pPr>
        <w:ind w:left="560"/>
        <w:spacing w:after="0"/>
        <w:rPr>
          <w:sz w:val="20"/>
          <w:szCs w:val="20"/>
          <w:color w:val="auto"/>
        </w:rPr>
      </w:pPr>
      <w:r>
        <w:rPr>
          <w:rFonts w:ascii="Arial" w:cs="Arial" w:eastAsia="Arial" w:hAnsi="Arial"/>
          <w:sz w:val="12"/>
          <w:szCs w:val="12"/>
          <w:color w:val="auto"/>
        </w:rPr>
        <w:t>There also may be a limited number of buyers for our debt securities. This too may have a material adverse effect on the market value of the debt securities or the trading market for the debt</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securities.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28</w:t>
      </w:r>
    </w:p>
    <w:p>
      <w:pPr>
        <w:sectPr>
          <w:pgSz w:w="11900" w:h="16838" w:orient="portrait"/>
          <w:cols w:equalWidth="0" w:num="1">
            <w:col w:w="11240"/>
          </w:cols>
          <w:pgMar w:left="32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We may experience fluctuations in our quarterly results.</w:t>
      </w:r>
    </w:p>
    <w:p>
      <w:pPr>
        <w:spacing w:after="0" w:line="80" w:lineRule="exact"/>
        <w:rPr>
          <w:sz w:val="20"/>
          <w:szCs w:val="20"/>
          <w:color w:val="auto"/>
        </w:rPr>
      </w:pPr>
    </w:p>
    <w:p>
      <w:pPr>
        <w:ind w:right="20" w:firstLine="562"/>
        <w:spacing w:after="0" w:line="247" w:lineRule="auto"/>
        <w:rPr>
          <w:sz w:val="20"/>
          <w:szCs w:val="20"/>
          <w:color w:val="auto"/>
        </w:rPr>
      </w:pPr>
      <w:r>
        <w:rPr>
          <w:rFonts w:ascii="Arial" w:cs="Arial" w:eastAsia="Arial" w:hAnsi="Arial"/>
          <w:sz w:val="13"/>
          <w:szCs w:val="13"/>
          <w:color w:val="auto"/>
        </w:rPr>
        <w:t>We could experience fluctuations in our quarterly operating results due to a number of factors, including the interest rate payable on the Floating Rate Loans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Credit Facility future decreases of fair value of our debt will have a corresponding increase to our net asset value. Further increases of fair value of our debt will have the opposite effect. This will tend to mitigate volatility in our earnings and net asset value. As a result of these factors, results for any period should not be relied upon as being indicative of performance in future periods.</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Changes in laws or regulations governing our operations may adversely affect our business.</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2"/>
          <w:szCs w:val="12"/>
          <w:color w:val="auto"/>
        </w:rPr>
        <w:t>We and our portfolio companies are subject to regulation by laws at the local, state and federal levels. These laws and regulations, as well as their interpretation, may be changed from time to time.</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Accordingly, any change in these laws or regulations could have a material adverse effect on our business. See “Regulation” for more information.</w:t>
      </w:r>
    </w:p>
    <w:p>
      <w:pPr>
        <w:spacing w:after="0" w:line="17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Our credit ratings may not reflect all risks of an investment in debt securities.</w:t>
      </w:r>
    </w:p>
    <w:p>
      <w:pPr>
        <w:spacing w:after="0" w:line="80" w:lineRule="exact"/>
        <w:rPr>
          <w:sz w:val="20"/>
          <w:szCs w:val="20"/>
          <w:color w:val="auto"/>
        </w:rPr>
      </w:pPr>
    </w:p>
    <w:p>
      <w:pPr>
        <w:jc w:val="both"/>
        <w:ind w:firstLine="562"/>
        <w:spacing w:after="0" w:line="256" w:lineRule="auto"/>
        <w:rPr>
          <w:sz w:val="20"/>
          <w:szCs w:val="20"/>
          <w:color w:val="auto"/>
        </w:rPr>
      </w:pPr>
      <w:r>
        <w:rPr>
          <w:rFonts w:ascii="Arial" w:cs="Arial" w:eastAsia="Arial" w:hAnsi="Arial"/>
          <w:sz w:val="13"/>
          <w:szCs w:val="13"/>
          <w:color w:val="auto"/>
        </w:rPr>
        <w:t>Our credit ratings, if any, are an assessment of our ability to pay our obligations. Consequently, real or anticipated changes in our credit ratings will generally affect the market value of any publicly issued debt securities. Our credit ratings, however, may not reflect the potential impact of risks related to market conditions generally or other factors discussed above on the market value of, or trading market for, any publicly issued debt securities.</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Terms relating to redemption may have a material adverse effect on the return on any debt securities.</w:t>
      </w:r>
    </w:p>
    <w:p>
      <w:pPr>
        <w:spacing w:after="0" w:line="80" w:lineRule="exact"/>
        <w:rPr>
          <w:sz w:val="20"/>
          <w:szCs w:val="20"/>
          <w:color w:val="auto"/>
        </w:rPr>
      </w:pPr>
    </w:p>
    <w:p>
      <w:pPr>
        <w:ind w:firstLine="562"/>
        <w:spacing w:after="0" w:line="250" w:lineRule="auto"/>
        <w:rPr>
          <w:sz w:val="20"/>
          <w:szCs w:val="20"/>
          <w:color w:val="auto"/>
        </w:rPr>
      </w:pPr>
      <w:r>
        <w:rPr>
          <w:rFonts w:ascii="Arial" w:cs="Arial" w:eastAsia="Arial" w:hAnsi="Arial"/>
          <w:sz w:val="13"/>
          <w:szCs w:val="13"/>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160"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If we issue subscription rights or warrants for our common stock, your interest in us may be diluted as a result of such rights or warrants offering.</w:t>
      </w:r>
    </w:p>
    <w:p>
      <w:pPr>
        <w:spacing w:after="0" w:line="80" w:lineRule="exact"/>
        <w:rPr>
          <w:sz w:val="20"/>
          <w:szCs w:val="20"/>
          <w:color w:val="auto"/>
        </w:rPr>
      </w:pPr>
    </w:p>
    <w:p>
      <w:pPr>
        <w:ind w:right="100" w:firstLine="562"/>
        <w:spacing w:after="0" w:line="256" w:lineRule="auto"/>
        <w:rPr>
          <w:sz w:val="20"/>
          <w:szCs w:val="20"/>
          <w:color w:val="auto"/>
        </w:rPr>
      </w:pPr>
      <w:r>
        <w:rPr>
          <w:rFonts w:ascii="Arial" w:cs="Arial" w:eastAsia="Arial" w:hAnsi="Arial"/>
          <w:sz w:val="13"/>
          <w:szCs w:val="13"/>
          <w:color w:val="auto"/>
        </w:rPr>
        <w:t>Stockholders who do not fully exercise rights or warrants issued to them in an offering of subscription rights or warrants to purchase our common stock should expect that they will, at the completion of an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102" w:lineRule="exact"/>
        <w:rPr>
          <w:sz w:val="20"/>
          <w:szCs w:val="20"/>
          <w:color w:val="auto"/>
        </w:rPr>
      </w:pPr>
    </w:p>
    <w:p>
      <w:pPr>
        <w:ind w:right="60" w:firstLine="562"/>
        <w:spacing w:after="0" w:line="250" w:lineRule="auto"/>
        <w:rPr>
          <w:sz w:val="20"/>
          <w:szCs w:val="20"/>
          <w:color w:val="auto"/>
        </w:rPr>
      </w:pPr>
      <w:r>
        <w:rPr>
          <w:rFonts w:ascii="Arial" w:cs="Arial" w:eastAsia="Arial" w:hAnsi="Arial"/>
          <w:sz w:val="13"/>
          <w:szCs w:val="13"/>
          <w:color w:val="auto"/>
        </w:rPr>
        <w:t>In addition, if the subscription price or warrant exercise price is less than our net asset value per share of common stock at the time of an offering, then our stockholders would experience an immediate dilution of the aggregate net asset value of their shares as a result of the offering. The amount of any such decrease in net asset value is not predictable because it is not known at this time what the subscription price, warrant exercise price or net asset value per share will be on the expiration date of such rights offering or what proportion of our common stock will be purchased as a result of any such offering.</w:t>
      </w:r>
    </w:p>
    <w:p>
      <w:pPr>
        <w:spacing w:after="0" w:line="160"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Our board of directors may change our investment objectives, operating policies and strategies without prior notice or stockholder approval.</w:t>
      </w:r>
    </w:p>
    <w:p>
      <w:pPr>
        <w:spacing w:after="0" w:line="53" w:lineRule="exact"/>
        <w:rPr>
          <w:sz w:val="20"/>
          <w:szCs w:val="20"/>
          <w:color w:val="auto"/>
        </w:rPr>
      </w:pPr>
    </w:p>
    <w:p>
      <w:pPr>
        <w:ind w:right="60" w:firstLine="562"/>
        <w:spacing w:after="0" w:line="288" w:lineRule="auto"/>
        <w:rPr>
          <w:sz w:val="20"/>
          <w:szCs w:val="20"/>
          <w:color w:val="auto"/>
        </w:rPr>
      </w:pPr>
      <w:r>
        <w:rPr>
          <w:rFonts w:ascii="Arial" w:cs="Arial" w:eastAsia="Arial" w:hAnsi="Arial"/>
          <w:sz w:val="12"/>
          <w:szCs w:val="12"/>
          <w:color w:val="auto"/>
        </w:rPr>
        <w:t>Our board of directors have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36"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RISKS RELATING TO THE ILLIQUID NATURE OF OUR PORTFOLIO ASSETS</w:t>
      </w:r>
    </w:p>
    <w:p>
      <w:pPr>
        <w:spacing w:after="0" w:line="82" w:lineRule="exact"/>
        <w:rPr>
          <w:sz w:val="20"/>
          <w:szCs w:val="20"/>
          <w:color w:val="auto"/>
        </w:rPr>
      </w:pPr>
    </w:p>
    <w:p>
      <w:pPr>
        <w:ind w:firstLine="224"/>
        <w:spacing w:after="0" w:line="274" w:lineRule="auto"/>
        <w:rPr>
          <w:sz w:val="20"/>
          <w:szCs w:val="20"/>
          <w:color w:val="auto"/>
        </w:rPr>
      </w:pPr>
      <w:r>
        <w:rPr>
          <w:rFonts w:ascii="Arial" w:cs="Arial" w:eastAsia="Arial" w:hAnsi="Arial"/>
          <w:sz w:val="13"/>
          <w:szCs w:val="13"/>
          <w:b w:val="1"/>
          <w:bCs w:val="1"/>
          <w:i w:val="1"/>
          <w:iCs w:val="1"/>
          <w:color w:val="auto"/>
        </w:rPr>
        <w:t>We invest in illiquid assets, and our valuation procedures with respect to such assets may result in recording values that are materially different than the values we ultimately receive upon disposition of such assets.</w:t>
      </w:r>
    </w:p>
    <w:p>
      <w:pPr>
        <w:spacing w:after="0" w:line="37" w:lineRule="exact"/>
        <w:rPr>
          <w:sz w:val="20"/>
          <w:szCs w:val="20"/>
          <w:color w:val="auto"/>
        </w:rPr>
      </w:pPr>
    </w:p>
    <w:p>
      <w:pPr>
        <w:ind w:right="180" w:firstLine="562"/>
        <w:spacing w:after="0" w:line="270" w:lineRule="auto"/>
        <w:rPr>
          <w:sz w:val="20"/>
          <w:szCs w:val="20"/>
          <w:color w:val="auto"/>
        </w:rPr>
      </w:pPr>
      <w:r>
        <w:rPr>
          <w:rFonts w:ascii="Arial" w:cs="Arial" w:eastAsia="Arial" w:hAnsi="Arial"/>
          <w:sz w:val="12"/>
          <w:szCs w:val="12"/>
          <w:color w:val="auto"/>
        </w:rPr>
        <w:t>We expect most of our investments may be recorded using broker/dealers quotes or at fair value as determined in good faith by our board of directors. We expect that primarily most, if not all, of our investments (other than cash and cash equivalents) and the fair value of the Credit Facility will be classified as Level 3 under Financial Accounting Standards Board, or FASB, Accounting Standards Codification, or ASC, 820, Fair Value Measurement. This means that the portfolio valuations will be based on unobservable inputs and our own assumptions about how market participants would price the asset or liability. We expect that inputs into the determination of fair value of our portfolio investments and Credit Facility borrowings will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such a disclaimer materially reduces the reliability of such information.</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29</w:t>
      </w:r>
    </w:p>
    <w:p>
      <w:pPr>
        <w:sectPr>
          <w:pgSz w:w="11900" w:h="16838" w:orient="portrait"/>
          <w:cols w:equalWidth="0" w:num="1">
            <w:col w:w="11220"/>
          </w:cols>
          <w:pgMar w:left="320" w:top="459" w:right="3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100" w:firstLine="562"/>
        <w:spacing w:after="0" w:line="247" w:lineRule="auto"/>
        <w:rPr>
          <w:sz w:val="20"/>
          <w:szCs w:val="20"/>
          <w:color w:val="auto"/>
        </w:rPr>
      </w:pPr>
      <w:r>
        <w:rPr>
          <w:rFonts w:ascii="Arial" w:cs="Arial" w:eastAsia="Arial" w:hAnsi="Arial"/>
          <w:sz w:val="13"/>
          <w:szCs w:val="13"/>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the underlying portfolio company has appreciated in value. Likewise, we record unrealized depreciation if we believe that the underlying portfolio company has depreciated in value. As a result, there will be uncertainty as to the value of our portfolio investments.</w:t>
      </w:r>
    </w:p>
    <w:p>
      <w:pPr>
        <w:spacing w:after="0" w:line="108" w:lineRule="exact"/>
        <w:rPr>
          <w:sz w:val="20"/>
          <w:szCs w:val="20"/>
          <w:color w:val="auto"/>
        </w:rPr>
      </w:pPr>
    </w:p>
    <w:p>
      <w:pPr>
        <w:ind w:right="120" w:firstLine="562"/>
        <w:spacing w:after="0" w:line="274" w:lineRule="auto"/>
        <w:rPr>
          <w:sz w:val="20"/>
          <w:szCs w:val="20"/>
          <w:color w:val="auto"/>
        </w:rPr>
      </w:pPr>
      <w:r>
        <w:rPr>
          <w:rFonts w:ascii="Arial" w:cs="Arial" w:eastAsia="Arial" w:hAnsi="Arial"/>
          <w:sz w:val="13"/>
          <w:szCs w:val="13"/>
          <w:color w:val="auto"/>
        </w:rPr>
        <w:t>We adjust the valuation of our portfolio quarterly to reflect our board of directors’ determination of the fair value of each investment in our portfolio. Any changes in fair value are recorded on our Consolidated Statement of Operations as net change in unrealized appreciation or depreciation.</w:t>
      </w:r>
    </w:p>
    <w:p>
      <w:pPr>
        <w:spacing w:after="0" w:line="91" w:lineRule="exact"/>
        <w:rPr>
          <w:sz w:val="20"/>
          <w:szCs w:val="20"/>
          <w:color w:val="auto"/>
        </w:rPr>
      </w:pPr>
    </w:p>
    <w:p>
      <w:pPr>
        <w:jc w:val="both"/>
        <w:ind w:firstLine="562"/>
        <w:spacing w:after="0" w:line="270" w:lineRule="auto"/>
        <w:rPr>
          <w:sz w:val="20"/>
          <w:szCs w:val="20"/>
          <w:color w:val="auto"/>
        </w:rPr>
      </w:pPr>
      <w:r>
        <w:rPr>
          <w:rFonts w:ascii="Arial" w:cs="Arial" w:eastAsia="Arial" w:hAnsi="Arial"/>
          <w:sz w:val="12"/>
          <w:szCs w:val="12"/>
          <w:color w:val="auto"/>
        </w:rPr>
        <w:t>If we invest a greater percentage of our total assets in private investments, more of our portfolio assets will be recorded at fair value as determined in good faith by our board of directors. Our board of directors uses the services of one or more nationally recognized independent valuation firms to aid it in determining the fair value of these securities.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 received in an actual transaction. Additionally, valuations of private securities and private companies are inherently uncertain. Our net asset value could be adversely affected if our determinations regarding the fair value of our investments were materially higher than the values that we ultimately realize upon the disposal of such securities.</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The lack of liquidity in our investments may adversely affect our business.</w:t>
      </w:r>
    </w:p>
    <w:p>
      <w:pPr>
        <w:spacing w:after="0" w:line="80" w:lineRule="exact"/>
        <w:rPr>
          <w:sz w:val="20"/>
          <w:szCs w:val="20"/>
          <w:color w:val="auto"/>
        </w:rPr>
      </w:pPr>
    </w:p>
    <w:p>
      <w:pPr>
        <w:jc w:val="both"/>
        <w:ind w:right="100" w:firstLine="562"/>
        <w:spacing w:after="0" w:line="256" w:lineRule="auto"/>
        <w:rPr>
          <w:sz w:val="20"/>
          <w:szCs w:val="20"/>
          <w:color w:val="auto"/>
        </w:rPr>
      </w:pPr>
      <w:r>
        <w:rPr>
          <w:rFonts w:ascii="Arial" w:cs="Arial" w:eastAsia="Arial" w:hAnsi="Arial"/>
          <w:sz w:val="13"/>
          <w:szCs w:val="13"/>
          <w:color w:val="auto"/>
        </w:rPr>
        <w:t>We may acquire our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refinancing, or initial public offering of the company, but we are not required to do so.</w:t>
      </w:r>
    </w:p>
    <w:p>
      <w:pPr>
        <w:spacing w:after="0" w:line="102" w:lineRule="exact"/>
        <w:rPr>
          <w:sz w:val="20"/>
          <w:szCs w:val="20"/>
          <w:color w:val="auto"/>
        </w:rPr>
      </w:pPr>
    </w:p>
    <w:p>
      <w:pPr>
        <w:ind w:right="120" w:firstLine="562"/>
        <w:spacing w:after="0" w:line="250" w:lineRule="auto"/>
        <w:rPr>
          <w:sz w:val="20"/>
          <w:szCs w:val="20"/>
          <w:color w:val="auto"/>
        </w:rPr>
      </w:pPr>
      <w:r>
        <w:rPr>
          <w:rFonts w:ascii="Arial" w:cs="Arial" w:eastAsia="Arial" w:hAnsi="Arial"/>
          <w:sz w:val="13"/>
          <w:szCs w:val="13"/>
          <w:color w:val="auto"/>
        </w:rPr>
        <w:t>The illiquidity of our investments may make it difficult or impossible for us to sell such investments if the need arises, particularly at times when the market appetite for illiquid securities is substantially diminished. In addition, if we are required to liquidate all or a portion of our portfolio quickly, we may realize significantly less than the value at which we have previously recorded our investments, which could have a material adverse effect on our business, financial condition and results of operations. In addition, we may face other restrictions on our ability to liquidate an investment in a portfolio company to the extent that we have material non-public information regarding such portfolio company.</w:t>
      </w:r>
    </w:p>
    <w:p>
      <w:pPr>
        <w:spacing w:after="0" w:line="106" w:lineRule="exact"/>
        <w:rPr>
          <w:sz w:val="20"/>
          <w:szCs w:val="20"/>
          <w:color w:val="auto"/>
        </w:rPr>
      </w:pPr>
    </w:p>
    <w:p>
      <w:pPr>
        <w:ind w:right="380" w:firstLine="562"/>
        <w:spacing w:after="0" w:line="288" w:lineRule="auto"/>
        <w:rPr>
          <w:sz w:val="20"/>
          <w:szCs w:val="20"/>
          <w:color w:val="auto"/>
        </w:rPr>
      </w:pPr>
      <w:r>
        <w:rPr>
          <w:rFonts w:ascii="Arial" w:cs="Arial" w:eastAsia="Arial" w:hAnsi="Arial"/>
          <w:sz w:val="12"/>
          <w:szCs w:val="12"/>
          <w:color w:val="auto"/>
        </w:rPr>
        <w:t>Securities purchased by us that are liquid at the time of purchase may subsequently become illiquid due to events relating to the issuer of the securities,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138"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A general disruption in the credit markets could materially damage our business.</w:t>
      </w:r>
    </w:p>
    <w:p>
      <w:pPr>
        <w:spacing w:after="0" w:line="80" w:lineRule="exact"/>
        <w:rPr>
          <w:sz w:val="20"/>
          <w:szCs w:val="20"/>
          <w:color w:val="auto"/>
        </w:rPr>
      </w:pPr>
    </w:p>
    <w:p>
      <w:pPr>
        <w:ind w:right="40" w:firstLine="562"/>
        <w:spacing w:after="0" w:line="288" w:lineRule="auto"/>
        <w:rPr>
          <w:sz w:val="20"/>
          <w:szCs w:val="20"/>
          <w:color w:val="auto"/>
        </w:rPr>
      </w:pPr>
      <w:r>
        <w:rPr>
          <w:rFonts w:ascii="Arial" w:cs="Arial" w:eastAsia="Arial" w:hAnsi="Arial"/>
          <w:sz w:val="12"/>
          <w:szCs w:val="12"/>
          <w:color w:val="auto"/>
        </w:rPr>
        <w:t>We are susceptible to the risk of significant loss if we are forced to discount the value of our investments in order to provide liquidity to meet our liability maturities. Funding I’s borrowings under its Credit Facility are collateralized by the assets in Funding I’s investment portfolio. A general disruption in the credit markets could result in a diminished appetite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84" w:lineRule="exact"/>
        <w:rPr>
          <w:sz w:val="20"/>
          <w:szCs w:val="20"/>
          <w:color w:val="auto"/>
        </w:rPr>
      </w:pPr>
    </w:p>
    <w:p>
      <w:pPr>
        <w:ind w:right="180" w:firstLine="562"/>
        <w:spacing w:after="0" w:line="250" w:lineRule="auto"/>
        <w:rPr>
          <w:sz w:val="20"/>
          <w:szCs w:val="20"/>
          <w:color w:val="auto"/>
        </w:rPr>
      </w:pPr>
      <w:r>
        <w:rPr>
          <w:rFonts w:ascii="Arial" w:cs="Arial" w:eastAsia="Arial" w:hAnsi="Arial"/>
          <w:sz w:val="13"/>
          <w:szCs w:val="13"/>
          <w:color w:val="auto"/>
        </w:rPr>
        <w:t>If the fair value of our assets declines substantially, we may fail to maintain the asset coverage ratios stipulated by the 1940 Act, which could, in turn, cause us to lose our status as a BDC and materially impair our business operations. Our liquidity could be impaired further by an inability to access the capital markets or to draw down Funding I’s Credit Facility. These situations may arise due to circumstances that we may be unable to control, such as a general disruption in the credit markets, a severe decline in the value of the U.S. dollar, a sharp economic downturn or an operational problem that affects third parties or us, and could materially damage our business.</w:t>
      </w:r>
    </w:p>
    <w:p>
      <w:pPr>
        <w:spacing w:after="0" w:line="160"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We rely in part on our over-the-counter securities, which faced liquidity constraints under recent market conditions, to provide us with adequate liquidity.</w:t>
      </w:r>
    </w:p>
    <w:p>
      <w:pPr>
        <w:spacing w:after="0" w:line="80" w:lineRule="exact"/>
        <w:rPr>
          <w:sz w:val="20"/>
          <w:szCs w:val="20"/>
          <w:color w:val="auto"/>
        </w:rPr>
      </w:pPr>
    </w:p>
    <w:p>
      <w:pPr>
        <w:ind w:right="220" w:firstLine="562"/>
        <w:spacing w:after="0" w:line="274" w:lineRule="auto"/>
        <w:rPr>
          <w:sz w:val="20"/>
          <w:szCs w:val="20"/>
          <w:color w:val="auto"/>
        </w:rPr>
      </w:pPr>
      <w:r>
        <w:rPr>
          <w:rFonts w:ascii="Arial" w:cs="Arial" w:eastAsia="Arial" w:hAnsi="Arial"/>
          <w:sz w:val="13"/>
          <w:szCs w:val="13"/>
          <w:color w:val="auto"/>
        </w:rPr>
        <w:t>The market for other over-the-counter traded securities has weakened in the recent past as the viability of any over-the-counter secondary market depends on the continued willingness of dealers and other participants to purchase the securities.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30</w:t>
      </w:r>
    </w:p>
    <w:p>
      <w:pPr>
        <w:sectPr>
          <w:pgSz w:w="11900" w:h="16838" w:orient="portrait"/>
          <w:cols w:equalWidth="0" w:num="1">
            <w:col w:w="11240"/>
          </w:cols>
          <w:pgMar w:left="320" w:top="459"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RELATED TO OUR INVESTMENTS</w:t>
      </w:r>
    </w:p>
    <w:p>
      <w:pPr>
        <w:spacing w:after="0" w:line="8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Our investments in prospective portfolio companies may be risky, and you could lose all or part of your investment.</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We intend to invest primarily in Floating Rate Loans of middle-market companies.</w:t>
      </w:r>
    </w:p>
    <w:p>
      <w:pPr>
        <w:spacing w:after="0" w:line="80" w:lineRule="exact"/>
        <w:rPr>
          <w:sz w:val="20"/>
          <w:szCs w:val="20"/>
          <w:color w:val="auto"/>
        </w:rPr>
      </w:pPr>
    </w:p>
    <w:p>
      <w:pPr>
        <w:ind w:left="1460" w:right="20"/>
        <w:spacing w:after="0" w:line="244" w:lineRule="auto"/>
        <w:rPr>
          <w:sz w:val="20"/>
          <w:szCs w:val="20"/>
          <w:color w:val="auto"/>
        </w:rPr>
      </w:pPr>
      <w:r>
        <w:rPr>
          <w:rFonts w:ascii="Arial" w:cs="Arial" w:eastAsia="Arial" w:hAnsi="Arial"/>
          <w:sz w:val="13"/>
          <w:szCs w:val="13"/>
          <w:i w:val="1"/>
          <w:iCs w:val="1"/>
          <w:color w:val="auto"/>
        </w:rPr>
        <w:t xml:space="preserve">Floating Rate Loans. </w:t>
      </w:r>
      <w:r>
        <w:rPr>
          <w:rFonts w:ascii="Arial" w:cs="Arial" w:eastAsia="Arial" w:hAnsi="Arial"/>
          <w:sz w:val="13"/>
          <w:szCs w:val="13"/>
          <w:color w:val="auto"/>
        </w:rPr>
        <w:t>The Floating Rate Loans, which may include senior secured loans and mezzanine debt, we invest in are usually rated below investment grade or may also be</w:t>
      </w:r>
      <w:r>
        <w:rPr>
          <w:rFonts w:ascii="Arial" w:cs="Arial" w:eastAsia="Arial" w:hAnsi="Arial"/>
          <w:sz w:val="13"/>
          <w:szCs w:val="13"/>
          <w:i w:val="1"/>
          <w:iCs w:val="1"/>
          <w:color w:val="auto"/>
        </w:rPr>
        <w:t xml:space="preserve"> </w:t>
      </w:r>
      <w:r>
        <w:rPr>
          <w:rFonts w:ascii="Arial" w:cs="Arial" w:eastAsia="Arial" w:hAnsi="Arial"/>
          <w:sz w:val="13"/>
          <w:szCs w:val="13"/>
          <w:color w:val="auto"/>
        </w:rPr>
        <w:t>unrated. Investments in Floating Rate Loans rated below investment grade are considered speculative because of the credit risk of their issuers. Such companies are more likely than investment grade issuers to default on their payments of interest and principal owed to us, and such defaults could reduce our net asset value and income distributions. An economic downturn would generally lead to a higher non-payment rate by portfolio companies, and a Floating Rate Loan may lose significant market value before a default occurs and we may experience losses due to the inherent illiquidity of the investments. Moreover, any specific collateral used to secure a Floating Rate Loan may decline in value or become illiquid, which would adversely affect the Floating Rate Loan’s value. Floating Rate Loans are subject to a number of risks, including liquidity risk and the risk of investing in below investment-grade, variable-rate securities.</w:t>
      </w:r>
    </w:p>
    <w:p>
      <w:pPr>
        <w:spacing w:after="0" w:line="11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Floating Rate Loans and other investments may consist of the following investment types:</w:t>
      </w:r>
    </w:p>
    <w:p>
      <w:pPr>
        <w:spacing w:after="0" w:line="134" w:lineRule="exact"/>
        <w:rPr>
          <w:sz w:val="20"/>
          <w:szCs w:val="20"/>
          <w:color w:val="auto"/>
        </w:rPr>
      </w:pPr>
    </w:p>
    <w:p>
      <w:pPr>
        <w:ind w:left="120" w:right="80" w:firstLine="223"/>
        <w:spacing w:after="0" w:line="244" w:lineRule="auto"/>
        <w:tabs>
          <w:tab w:leader="none" w:pos="525" w:val="left"/>
        </w:tabs>
        <w:numPr>
          <w:ilvl w:val="0"/>
          <w:numId w:val="28"/>
        </w:numPr>
        <w:rPr>
          <w:rFonts w:ascii="Arial" w:cs="Arial" w:eastAsia="Arial" w:hAnsi="Arial"/>
          <w:sz w:val="13"/>
          <w:szCs w:val="13"/>
          <w:color w:val="auto"/>
        </w:rPr>
      </w:pPr>
      <w:r>
        <w:rPr>
          <w:rFonts w:ascii="Arial" w:cs="Arial" w:eastAsia="Arial" w:hAnsi="Arial"/>
          <w:sz w:val="13"/>
          <w:szCs w:val="13"/>
          <w:color w:val="auto"/>
        </w:rPr>
        <w:t>Senior Secured Loans: When we extend senior secured loans, which we define to include first lien debt, we will generally take a security interest in the available assets of these portfolio companies, including the equity interests of their subsidiaries, although this will not always be the case. We expect this security interest, if any,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forced to enforce our remedies.</w:t>
      </w:r>
    </w:p>
    <w:p>
      <w:pPr>
        <w:spacing w:after="0" w:line="110" w:lineRule="exact"/>
        <w:rPr>
          <w:rFonts w:ascii="Arial" w:cs="Arial" w:eastAsia="Arial" w:hAnsi="Arial"/>
          <w:sz w:val="13"/>
          <w:szCs w:val="13"/>
          <w:color w:val="auto"/>
        </w:rPr>
      </w:pPr>
    </w:p>
    <w:p>
      <w:pPr>
        <w:ind w:left="120" w:firstLine="223"/>
        <w:spacing w:after="0" w:line="273" w:lineRule="auto"/>
        <w:tabs>
          <w:tab w:leader="none" w:pos="525" w:val="left"/>
        </w:tabs>
        <w:numPr>
          <w:ilvl w:val="0"/>
          <w:numId w:val="28"/>
        </w:numPr>
        <w:rPr>
          <w:rFonts w:ascii="Arial" w:cs="Arial" w:eastAsia="Arial" w:hAnsi="Arial"/>
          <w:sz w:val="12"/>
          <w:szCs w:val="12"/>
          <w:color w:val="auto"/>
        </w:rPr>
      </w:pPr>
      <w:r>
        <w:rPr>
          <w:rFonts w:ascii="Arial" w:cs="Arial" w:eastAsia="Arial" w:hAnsi="Arial"/>
          <w:sz w:val="12"/>
          <w:szCs w:val="12"/>
          <w:color w:val="auto"/>
        </w:rPr>
        <w:t>Mezzanine Debt: Our mezzanine debt investments, which we define to include second lien secured and subordinated debt, will generally be subordinated to senior secured loans and will generally be unsecured. Our second lien debt is subordinated debt that benefits from a collateral interest in the borrower. As such, other creditors may rank senior to us in the event of insolvency.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will not receive cash prior to the maturity of some of our mezzanine debt investments, such investments may be of greater risk than cash paying loans.</w:t>
      </w:r>
    </w:p>
    <w:p>
      <w:pPr>
        <w:spacing w:after="0" w:line="9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In addition, investing in middle-market companies involves a number of significant risks including:</w:t>
      </w:r>
    </w:p>
    <w:p>
      <w:pPr>
        <w:spacing w:after="0" w:line="148" w:lineRule="exact"/>
        <w:rPr>
          <w:sz w:val="20"/>
          <w:szCs w:val="20"/>
          <w:color w:val="auto"/>
        </w:rPr>
      </w:pPr>
    </w:p>
    <w:p>
      <w:pPr>
        <w:ind w:left="880" w:hanging="427"/>
        <w:spacing w:after="0" w:line="274" w:lineRule="auto"/>
        <w:tabs>
          <w:tab w:leader="none" w:pos="8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104" w:lineRule="exact"/>
        <w:rPr>
          <w:rFonts w:ascii="Arial" w:cs="Arial" w:eastAsia="Arial" w:hAnsi="Arial"/>
          <w:sz w:val="13"/>
          <w:szCs w:val="13"/>
          <w:color w:val="auto"/>
        </w:rPr>
      </w:pPr>
    </w:p>
    <w:p>
      <w:pPr>
        <w:ind w:left="880" w:right="40" w:hanging="427"/>
        <w:spacing w:after="0" w:line="274" w:lineRule="auto"/>
        <w:tabs>
          <w:tab w:leader="none" w:pos="8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they typically have shorter operating histories, narrower product lines and smaller market shares than larger businesses, which tend to render them more vulnerable to competitors’ actions and changing market conditions, as well as general economic downturns;</w:t>
      </w:r>
    </w:p>
    <w:p>
      <w:pPr>
        <w:spacing w:after="0" w:line="104" w:lineRule="exact"/>
        <w:rPr>
          <w:rFonts w:ascii="Arial" w:cs="Arial" w:eastAsia="Arial" w:hAnsi="Arial"/>
          <w:sz w:val="13"/>
          <w:szCs w:val="13"/>
          <w:color w:val="auto"/>
        </w:rPr>
      </w:pPr>
    </w:p>
    <w:p>
      <w:pPr>
        <w:ind w:left="880" w:right="220" w:hanging="427"/>
        <w:spacing w:after="0" w:line="274" w:lineRule="auto"/>
        <w:tabs>
          <w:tab w:leader="none" w:pos="8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104" w:lineRule="exact"/>
        <w:rPr>
          <w:rFonts w:ascii="Arial" w:cs="Arial" w:eastAsia="Arial" w:hAnsi="Arial"/>
          <w:sz w:val="13"/>
          <w:szCs w:val="13"/>
          <w:color w:val="auto"/>
        </w:rPr>
      </w:pPr>
    </w:p>
    <w:p>
      <w:pPr>
        <w:ind w:left="880" w:right="100" w:hanging="427"/>
        <w:spacing w:after="0" w:line="288" w:lineRule="auto"/>
        <w:tabs>
          <w:tab w:leader="none" w:pos="880" w:val="left"/>
        </w:tabs>
        <w:numPr>
          <w:ilvl w:val="0"/>
          <w:numId w:val="29"/>
        </w:numPr>
        <w:rPr>
          <w:rFonts w:ascii="Arial" w:cs="Arial" w:eastAsia="Arial" w:hAnsi="Arial"/>
          <w:sz w:val="12"/>
          <w:szCs w:val="12"/>
          <w:color w:val="auto"/>
        </w:rPr>
      </w:pPr>
      <w:r>
        <w:rPr>
          <w:rFonts w:ascii="Arial" w:cs="Arial" w:eastAsia="Arial" w:hAnsi="Arial"/>
          <w:sz w:val="12"/>
          <w:szCs w:val="12"/>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97" w:lineRule="exact"/>
        <w:rPr>
          <w:rFonts w:ascii="Arial" w:cs="Arial" w:eastAsia="Arial" w:hAnsi="Arial"/>
          <w:sz w:val="12"/>
          <w:szCs w:val="12"/>
          <w:color w:val="auto"/>
        </w:rPr>
      </w:pPr>
    </w:p>
    <w:p>
      <w:pPr>
        <w:ind w:left="880" w:hanging="427"/>
        <w:spacing w:after="0"/>
        <w:tabs>
          <w:tab w:leader="none" w:pos="8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they may have difficulty accessing the capital markets to meet future capital needs, which may limit their ability to grow or to repay their outstanding indebtedness upon maturity.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w:t>
      </w:r>
    </w:p>
    <w:p>
      <w:pPr>
        <w:sectPr>
          <w:pgSz w:w="11900" w:h="16838" w:orient="portrait"/>
          <w:cols w:equalWidth="0" w:num="1">
            <w:col w:w="11240"/>
          </w:cols>
          <w:pgMar w:left="320" w:top="459"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160" w:firstLine="224"/>
        <w:spacing w:after="0" w:line="274" w:lineRule="auto"/>
        <w:rPr>
          <w:sz w:val="20"/>
          <w:szCs w:val="20"/>
          <w:color w:val="auto"/>
        </w:rPr>
      </w:pPr>
      <w:r>
        <w:rPr>
          <w:rFonts w:ascii="Arial" w:cs="Arial" w:eastAsia="Arial" w:hAnsi="Arial"/>
          <w:sz w:val="13"/>
          <w:szCs w:val="13"/>
          <w:b w:val="1"/>
          <w:bCs w:val="1"/>
          <w:i w:val="1"/>
          <w:iCs w:val="1"/>
          <w:color w:val="auto"/>
        </w:rPr>
        <w:t>We may invest up to 30% of our assets in investments that are not qualifying assets for business development companies under the 1940 Act. If we do not invest a sufficient portion of our assets in qualifying assets, we could be precluded from investing in assets that we deem to be attractive.</w:t>
      </w:r>
    </w:p>
    <w:p>
      <w:pPr>
        <w:spacing w:after="0" w:line="37" w:lineRule="exact"/>
        <w:rPr>
          <w:sz w:val="20"/>
          <w:szCs w:val="20"/>
          <w:color w:val="auto"/>
        </w:rPr>
      </w:pPr>
    </w:p>
    <w:p>
      <w:pPr>
        <w:ind w:right="20" w:firstLine="224"/>
        <w:spacing w:after="0" w:line="250" w:lineRule="auto"/>
        <w:rPr>
          <w:sz w:val="20"/>
          <w:szCs w:val="20"/>
          <w:color w:val="auto"/>
        </w:rPr>
      </w:pPr>
      <w:r>
        <w:rPr>
          <w:rFonts w:ascii="Arial" w:cs="Arial" w:eastAsia="Arial" w:hAnsi="Arial"/>
          <w:sz w:val="13"/>
          <w:szCs w:val="13"/>
          <w:color w:val="auto"/>
        </w:rPr>
        <w:t>As a BDC,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maximum market capitalization of $250 million. Qualifying assets also include cash, cash equivalents, government securities and high quality debt securities maturing in one year or less from the time of investment.</w:t>
      </w:r>
    </w:p>
    <w:p>
      <w:pPr>
        <w:spacing w:after="0" w:line="106" w:lineRule="exact"/>
        <w:rPr>
          <w:sz w:val="20"/>
          <w:szCs w:val="20"/>
          <w:color w:val="auto"/>
        </w:rPr>
      </w:pPr>
    </w:p>
    <w:p>
      <w:pPr>
        <w:ind w:right="80" w:firstLine="224"/>
        <w:spacing w:after="0" w:line="245" w:lineRule="auto"/>
        <w:rPr>
          <w:sz w:val="20"/>
          <w:szCs w:val="20"/>
          <w:color w:val="auto"/>
        </w:rPr>
      </w:pPr>
      <w:r>
        <w:rPr>
          <w:rFonts w:ascii="Arial" w:cs="Arial" w:eastAsia="Arial" w:hAnsi="Arial"/>
          <w:sz w:val="13"/>
          <w:szCs w:val="13"/>
          <w:color w:val="auto"/>
        </w:rPr>
        <w:t>We believe that most of our Floating Rate Loan investments do and will constitute qualifying assets. However, we may be precluded from investing in what we believe are attractive investments if such investments are not qualifying assets for purposes of the 1940 Act. If we do not invest a sufficient portion of our assets in qualifying assets,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164" w:lineRule="exact"/>
        <w:rPr>
          <w:sz w:val="20"/>
          <w:szCs w:val="20"/>
          <w:color w:val="auto"/>
        </w:rPr>
      </w:pPr>
    </w:p>
    <w:p>
      <w:pPr>
        <w:ind w:right="340" w:firstLine="224"/>
        <w:spacing w:after="0" w:line="274" w:lineRule="auto"/>
        <w:rPr>
          <w:sz w:val="20"/>
          <w:szCs w:val="20"/>
          <w:color w:val="auto"/>
        </w:rPr>
      </w:pPr>
      <w:r>
        <w:rPr>
          <w:rFonts w:ascii="Arial" w:cs="Arial" w:eastAsia="Arial" w:hAnsi="Arial"/>
          <w:sz w:val="13"/>
          <w:szCs w:val="13"/>
          <w:b w:val="1"/>
          <w:bCs w:val="1"/>
          <w:i w:val="1"/>
          <w:i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37" w:lineRule="exact"/>
        <w:rPr>
          <w:sz w:val="20"/>
          <w:szCs w:val="20"/>
          <w:color w:val="auto"/>
        </w:rPr>
      </w:pPr>
    </w:p>
    <w:p>
      <w:pPr>
        <w:ind w:right="60" w:firstLine="224"/>
        <w:spacing w:after="0" w:line="247" w:lineRule="auto"/>
        <w:rPr>
          <w:sz w:val="20"/>
          <w:szCs w:val="20"/>
          <w:color w:val="auto"/>
        </w:rPr>
      </w:pPr>
      <w:r>
        <w:rPr>
          <w:rFonts w:ascii="Arial" w:cs="Arial" w:eastAsia="Arial" w:hAnsi="Arial"/>
          <w:sz w:val="13"/>
          <w:szCs w:val="13"/>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investments, in other investment companies. To the extent that we assume large positions in the securities of a small number of issuers, our net asset value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we do not have fixed guidelines for diversification, and our investments could be concentrated in relatively few portfolio companies.</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Economic recessions or downturns could impair our portfolio companies and harm our operating results.</w:t>
      </w:r>
    </w:p>
    <w:p>
      <w:pPr>
        <w:spacing w:after="0" w:line="80" w:lineRule="exact"/>
        <w:rPr>
          <w:sz w:val="20"/>
          <w:szCs w:val="20"/>
          <w:color w:val="auto"/>
        </w:rPr>
      </w:pPr>
    </w:p>
    <w:p>
      <w:pPr>
        <w:ind w:firstLine="224"/>
        <w:spacing w:after="0" w:line="247" w:lineRule="auto"/>
        <w:rPr>
          <w:sz w:val="20"/>
          <w:szCs w:val="20"/>
          <w:color w:val="auto"/>
        </w:rPr>
      </w:pPr>
      <w:r>
        <w:rPr>
          <w:rFonts w:ascii="Arial" w:cs="Arial" w:eastAsia="Arial" w:hAnsi="Arial"/>
          <w:sz w:val="13"/>
          <w:szCs w:val="13"/>
          <w:color w:val="auto"/>
        </w:rPr>
        <w:t>Many of our portfolio companies are susceptible to economic slowdowns or recessions and may be unable to repay loans from us during these periods. Therefore, our non-performing assets are likely to increase, and the value of our portfolio is likely to decrease during these periods. Adverse economic conditions also may decrease the value of collateral securing some of our loans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08" w:lineRule="exact"/>
        <w:rPr>
          <w:sz w:val="20"/>
          <w:szCs w:val="20"/>
          <w:color w:val="auto"/>
        </w:rPr>
      </w:pPr>
    </w:p>
    <w:p>
      <w:pPr>
        <w:ind w:right="80" w:firstLine="224"/>
        <w:spacing w:after="0" w:line="247" w:lineRule="auto"/>
        <w:rPr>
          <w:sz w:val="20"/>
          <w:szCs w:val="20"/>
          <w:color w:val="auto"/>
        </w:rPr>
      </w:pPr>
      <w:r>
        <w:rPr>
          <w:rFonts w:ascii="Arial" w:cs="Arial" w:eastAsia="Arial" w:hAnsi="Arial"/>
          <w:sz w:val="13"/>
          <w:szCs w:val="13"/>
          <w:color w:val="auto"/>
        </w:rPr>
        <w:t>A portfolio company’s failure to satisfy financial or operating covenants imposed by us or other lenders could lead to defaults and potential termination of its loans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regardless of how we may have structured our investment.</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If we fail to make follow-on investments in our portfolio companies, this could materially impair the value of our portfolio.</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Following an initial investment in a portfolio company, we may make additional investments in that portfolio company as “follow-on” investments, in order to:</w:t>
      </w:r>
    </w:p>
    <w:p>
      <w:pPr>
        <w:spacing w:after="0" w:line="148" w:lineRule="exact"/>
        <w:rPr>
          <w:sz w:val="20"/>
          <w:szCs w:val="20"/>
          <w:color w:val="auto"/>
        </w:rPr>
      </w:pPr>
    </w:p>
    <w:p>
      <w:pPr>
        <w:ind w:left="880" w:hanging="764"/>
        <w:spacing w:after="0"/>
        <w:tabs>
          <w:tab w:leader="none" w:pos="8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increase or maintain in whole or in part our equity ownership percentage;</w:t>
      </w:r>
    </w:p>
    <w:p>
      <w:pPr>
        <w:spacing w:after="0" w:line="147" w:lineRule="exact"/>
        <w:rPr>
          <w:rFonts w:ascii="Arial" w:cs="Arial" w:eastAsia="Arial" w:hAnsi="Arial"/>
          <w:sz w:val="13"/>
          <w:szCs w:val="13"/>
          <w:color w:val="auto"/>
        </w:rPr>
      </w:pPr>
    </w:p>
    <w:p>
      <w:pPr>
        <w:ind w:left="880" w:hanging="764"/>
        <w:spacing w:after="0"/>
        <w:tabs>
          <w:tab w:leader="none" w:pos="8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exercise warrants, options or convertible securities that were acquired in the original or subsequent financing; or</w:t>
      </w:r>
    </w:p>
    <w:p>
      <w:pPr>
        <w:spacing w:after="0" w:line="147" w:lineRule="exact"/>
        <w:rPr>
          <w:rFonts w:ascii="Arial" w:cs="Arial" w:eastAsia="Arial" w:hAnsi="Arial"/>
          <w:sz w:val="13"/>
          <w:szCs w:val="13"/>
          <w:color w:val="auto"/>
        </w:rPr>
      </w:pPr>
    </w:p>
    <w:p>
      <w:pPr>
        <w:ind w:left="880" w:hanging="764"/>
        <w:spacing w:after="0"/>
        <w:tabs>
          <w:tab w:leader="none" w:pos="8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attempt to preserve or enhance the value of our investment.</w:t>
      </w:r>
    </w:p>
    <w:p>
      <w:pPr>
        <w:spacing w:after="0" w:line="134" w:lineRule="exact"/>
        <w:rPr>
          <w:sz w:val="20"/>
          <w:szCs w:val="20"/>
          <w:color w:val="auto"/>
        </w:rPr>
      </w:pPr>
    </w:p>
    <w:p>
      <w:pPr>
        <w:ind w:right="60" w:firstLine="224"/>
        <w:spacing w:after="0" w:line="278" w:lineRule="auto"/>
        <w:rPr>
          <w:sz w:val="20"/>
          <w:szCs w:val="20"/>
          <w:color w:val="auto"/>
        </w:rPr>
      </w:pPr>
      <w:r>
        <w:rPr>
          <w:rFonts w:ascii="Arial" w:cs="Arial" w:eastAsia="Arial" w:hAnsi="Arial"/>
          <w:sz w:val="12"/>
          <w:szCs w:val="12"/>
          <w:color w:val="auto"/>
        </w:rPr>
        <w:t>We have the discretion to make any follow-on investments, subject to the availability of capital resources.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tax status.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32</w:t>
      </w:r>
    </w:p>
    <w:p>
      <w:pPr>
        <w:sectPr>
          <w:pgSz w:w="11900" w:h="16838" w:orient="portrait"/>
          <w:cols w:equalWidth="0" w:num="1">
            <w:col w:w="11200"/>
          </w:cols>
          <w:pgMar w:left="320" w:top="459" w:right="3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580" w:firstLine="224"/>
        <w:spacing w:after="0" w:line="274" w:lineRule="auto"/>
        <w:rPr>
          <w:sz w:val="20"/>
          <w:szCs w:val="20"/>
          <w:color w:val="auto"/>
        </w:rPr>
      </w:pPr>
      <w:r>
        <w:rPr>
          <w:rFonts w:ascii="Arial" w:cs="Arial" w:eastAsia="Arial" w:hAnsi="Arial"/>
          <w:sz w:val="13"/>
          <w:szCs w:val="13"/>
          <w:b w:val="1"/>
          <w:bCs w:val="1"/>
          <w:i w:val="1"/>
          <w:iCs w:val="1"/>
          <w:color w:val="auto"/>
        </w:rPr>
        <w:t>Because we do not generally hold controlling equity interests in our portfolio companies, we are not in a position to exercise control over our portfolio companies or to prevent decisions by management of our portfolio companies that could decrease the value of our investments.</w:t>
      </w:r>
    </w:p>
    <w:p>
      <w:pPr>
        <w:spacing w:after="0" w:line="37" w:lineRule="exact"/>
        <w:rPr>
          <w:sz w:val="20"/>
          <w:szCs w:val="20"/>
          <w:color w:val="auto"/>
        </w:rPr>
      </w:pPr>
    </w:p>
    <w:p>
      <w:pPr>
        <w:jc w:val="both"/>
        <w:ind w:right="80" w:firstLine="562"/>
        <w:spacing w:after="0" w:line="250" w:lineRule="auto"/>
        <w:rPr>
          <w:sz w:val="20"/>
          <w:szCs w:val="20"/>
          <w:color w:val="auto"/>
        </w:rPr>
      </w:pPr>
      <w:r>
        <w:rPr>
          <w:rFonts w:ascii="Arial" w:cs="Arial" w:eastAsia="Arial" w:hAnsi="Arial"/>
          <w:sz w:val="13"/>
          <w:szCs w:val="13"/>
          <w:color w:val="auto"/>
        </w:rPr>
        <w:t>Because we do not generally have controlling equity positions in our portfolio companies,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value of our investments.</w:t>
      </w:r>
    </w:p>
    <w:p>
      <w:pPr>
        <w:spacing w:after="0" w:line="160" w:lineRule="exact"/>
        <w:rPr>
          <w:sz w:val="20"/>
          <w:szCs w:val="20"/>
          <w:color w:val="auto"/>
        </w:rPr>
      </w:pPr>
    </w:p>
    <w:p>
      <w:pPr>
        <w:ind w:right="120" w:firstLine="224"/>
        <w:spacing w:after="0" w:line="317" w:lineRule="auto"/>
        <w:rPr>
          <w:sz w:val="20"/>
          <w:szCs w:val="20"/>
          <w:color w:val="auto"/>
        </w:rPr>
      </w:pPr>
      <w:r>
        <w:rPr>
          <w:rFonts w:ascii="Arial" w:cs="Arial" w:eastAsia="Arial" w:hAnsi="Arial"/>
          <w:sz w:val="12"/>
          <w:szCs w:val="12"/>
          <w:b w:val="1"/>
          <w:bCs w:val="1"/>
          <w:i w:val="1"/>
          <w:iCs w:val="1"/>
          <w:color w:val="auto"/>
        </w:rPr>
        <w:t>An investment strategy focused primarily on privately held companies, including controlling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13" w:lineRule="exact"/>
        <w:rPr>
          <w:sz w:val="20"/>
          <w:szCs w:val="20"/>
          <w:color w:val="auto"/>
        </w:rPr>
      </w:pPr>
    </w:p>
    <w:p>
      <w:pPr>
        <w:ind w:right="100" w:firstLine="562"/>
        <w:spacing w:after="0" w:line="278" w:lineRule="auto"/>
        <w:rPr>
          <w:sz w:val="20"/>
          <w:szCs w:val="20"/>
          <w:color w:val="auto"/>
        </w:rPr>
      </w:pPr>
      <w:r>
        <w:rPr>
          <w:rFonts w:ascii="Arial" w:cs="Arial" w:eastAsia="Arial" w:hAnsi="Arial"/>
          <w:sz w:val="12"/>
          <w:szCs w:val="12"/>
          <w:color w:val="auto"/>
        </w:rPr>
        <w:t>We have invested and intend to continue to invest primarily in privately held companies. Generally, little public information exists about these companies, and we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have a material adverse impact on our investment returns as compared to companies investing primarily in the securities of public companies.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Our portfolio companies may incur debt that ranks equally with, or senior to, our investments in such companies.</w:t>
      </w:r>
    </w:p>
    <w:p>
      <w:pPr>
        <w:spacing w:after="0" w:line="80" w:lineRule="exact"/>
        <w:rPr>
          <w:sz w:val="20"/>
          <w:szCs w:val="20"/>
          <w:color w:val="auto"/>
        </w:rPr>
      </w:pPr>
    </w:p>
    <w:p>
      <w:pPr>
        <w:ind w:right="40" w:firstLine="562"/>
        <w:spacing w:after="0" w:line="270" w:lineRule="auto"/>
        <w:rPr>
          <w:sz w:val="20"/>
          <w:szCs w:val="20"/>
          <w:color w:val="auto"/>
        </w:rPr>
      </w:pPr>
      <w:r>
        <w:rPr>
          <w:rFonts w:ascii="Arial" w:cs="Arial" w:eastAsia="Arial" w:hAnsi="Arial"/>
          <w:sz w:val="12"/>
          <w:szCs w:val="12"/>
          <w:color w:val="auto"/>
        </w:rPr>
        <w:t>We invest primarily in Floating Rate Loans issued by our portfolio companies. The portfolio companies usually may have, or may be permitted to incur, other debt that ranks equally with, or senior to, our investments. By their terms, such debt instruments may provide that the holders are entitled to receive payment of interest or principal on or before the dates on which we are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Our incentive fee may induce the Investment Adviser to make speculative investments.</w:t>
      </w:r>
    </w:p>
    <w:p>
      <w:pPr>
        <w:spacing w:after="0" w:line="80" w:lineRule="exact"/>
        <w:rPr>
          <w:sz w:val="20"/>
          <w:szCs w:val="20"/>
          <w:color w:val="auto"/>
        </w:rPr>
      </w:pPr>
    </w:p>
    <w:p>
      <w:pPr>
        <w:ind w:firstLine="562"/>
        <w:spacing w:after="0" w:line="244" w:lineRule="auto"/>
        <w:rPr>
          <w:sz w:val="20"/>
          <w:szCs w:val="20"/>
          <w:color w:val="auto"/>
        </w:rPr>
      </w:pPr>
      <w:r>
        <w:rPr>
          <w:rFonts w:ascii="Arial" w:cs="Arial" w:eastAsia="Arial" w:hAnsi="Arial"/>
          <w:sz w:val="13"/>
          <w:szCs w:val="13"/>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return on invested capital.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11" w:lineRule="exact"/>
        <w:rPr>
          <w:sz w:val="20"/>
          <w:szCs w:val="20"/>
          <w:color w:val="auto"/>
        </w:rPr>
      </w:pPr>
    </w:p>
    <w:p>
      <w:pPr>
        <w:ind w:right="120" w:firstLine="562"/>
        <w:spacing w:after="0" w:line="256" w:lineRule="auto"/>
        <w:rPr>
          <w:sz w:val="20"/>
          <w:szCs w:val="20"/>
          <w:color w:val="auto"/>
        </w:rPr>
      </w:pPr>
      <w:r>
        <w:rPr>
          <w:rFonts w:ascii="Arial" w:cs="Arial" w:eastAsia="Arial" w:hAnsi="Arial"/>
          <w:sz w:val="13"/>
          <w:szCs w:val="13"/>
          <w:color w:val="auto"/>
        </w:rPr>
        <w:t>The part of our incentive fee payable by us to PennantPark Investment Advisers that relates to our investment income is computed and paid on income that may include interest that has been accrued but that has not been received in cash.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156" w:lineRule="exact"/>
        <w:rPr>
          <w:sz w:val="20"/>
          <w:szCs w:val="20"/>
          <w:color w:val="auto"/>
        </w:rPr>
      </w:pPr>
    </w:p>
    <w:p>
      <w:pPr>
        <w:ind w:left="560"/>
        <w:spacing w:after="0"/>
        <w:rPr>
          <w:sz w:val="20"/>
          <w:szCs w:val="20"/>
          <w:color w:val="auto"/>
        </w:rPr>
      </w:pPr>
      <w:r>
        <w:rPr>
          <w:rFonts w:ascii="Arial" w:cs="Arial" w:eastAsia="Arial" w:hAnsi="Arial"/>
          <w:sz w:val="12"/>
          <w:szCs w:val="12"/>
          <w:b w:val="1"/>
          <w:bCs w:val="1"/>
          <w:i w:val="1"/>
          <w:iCs w:val="1"/>
          <w:color w:val="auto"/>
        </w:rPr>
        <w:t>We may make investments that cause our shareholders to bear investment advisory fees and other expenses on such investments in addition to our management fees and expenses.</w:t>
      </w:r>
    </w:p>
    <w:p>
      <w:pPr>
        <w:spacing w:after="0" w:line="92" w:lineRule="exact"/>
        <w:rPr>
          <w:sz w:val="20"/>
          <w:szCs w:val="20"/>
          <w:color w:val="auto"/>
        </w:rPr>
      </w:pPr>
    </w:p>
    <w:p>
      <w:pPr>
        <w:ind w:right="80" w:firstLine="562"/>
        <w:spacing w:after="0" w:line="273" w:lineRule="auto"/>
        <w:rPr>
          <w:sz w:val="20"/>
          <w:szCs w:val="20"/>
          <w:color w:val="auto"/>
        </w:rPr>
      </w:pPr>
      <w:r>
        <w:rPr>
          <w:rFonts w:ascii="Arial" w:cs="Arial" w:eastAsia="Arial" w:hAnsi="Arial"/>
          <w:sz w:val="12"/>
          <w:szCs w:val="12"/>
          <w:color w:val="auto"/>
        </w:rPr>
        <w:t>We may invest, to the extent permitted by law, in the securities and instruments of other investment companies and companies that would be investment companies but are excluded from the definition of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incentive fees, to PennantPark Investment Advisers with respect to investments in the securities and instruments of other 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33</w:t>
      </w:r>
    </w:p>
    <w:p>
      <w:pPr>
        <w:sectPr>
          <w:pgSz w:w="11900" w:h="16838" w:orient="portrait"/>
          <w:cols w:equalWidth="0" w:num="1">
            <w:col w:w="11220"/>
          </w:cols>
          <w:pgMar w:left="320" w:top="459" w:right="3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We may be obligated to pay our Investment Adviser incentive compensation even if we incur a loss.</w:t>
      </w:r>
    </w:p>
    <w:p>
      <w:pPr>
        <w:spacing w:after="0" w:line="80" w:lineRule="exact"/>
        <w:rPr>
          <w:sz w:val="20"/>
          <w:szCs w:val="20"/>
          <w:color w:val="auto"/>
        </w:rPr>
      </w:pPr>
    </w:p>
    <w:p>
      <w:pPr>
        <w:ind w:right="240" w:firstLine="562"/>
        <w:spacing w:after="0" w:line="278" w:lineRule="auto"/>
        <w:rPr>
          <w:sz w:val="20"/>
          <w:szCs w:val="20"/>
          <w:color w:val="auto"/>
        </w:rPr>
      </w:pPr>
      <w:r>
        <w:rPr>
          <w:rFonts w:ascii="Arial" w:cs="Arial" w:eastAsia="Arial" w:hAnsi="Arial"/>
          <w:sz w:val="12"/>
          <w:szCs w:val="12"/>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Consolidated Statement of Operations for that quarter. Thus, we may be required to pay the Investment Adviser incentive compensation for a fiscal quarter even if there is a decline in the value of our portfolio or we incur a net loss for that quarter.</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Our investments in foreign securities may involve significant risks in addition to the risks inherent in U.S. investments.</w:t>
      </w:r>
    </w:p>
    <w:p>
      <w:pPr>
        <w:spacing w:after="0" w:line="80" w:lineRule="exact"/>
        <w:rPr>
          <w:sz w:val="20"/>
          <w:szCs w:val="20"/>
          <w:color w:val="auto"/>
        </w:rPr>
      </w:pPr>
    </w:p>
    <w:p>
      <w:pPr>
        <w:ind w:right="100" w:firstLine="562"/>
        <w:spacing w:after="0" w:line="247" w:lineRule="auto"/>
        <w:rPr>
          <w:sz w:val="20"/>
          <w:szCs w:val="20"/>
          <w:color w:val="auto"/>
        </w:rPr>
      </w:pPr>
      <w:r>
        <w:rPr>
          <w:rFonts w:ascii="Arial" w:cs="Arial" w:eastAsia="Arial" w:hAnsi="Arial"/>
          <w:sz w:val="13"/>
          <w:szCs w:val="13"/>
          <w:color w:val="auto"/>
        </w:rPr>
        <w:t>Our investment strategy contemplates potential investments in securities of companies located outside of the United States. Investments in securities located outside the United States would not be qualifying assets under Section 55(a) of the 1940 Act. Investing in companies located outside of the United States may expose us to additional risks not typically associated with investing in U.S. companies.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08" w:lineRule="exact"/>
        <w:rPr>
          <w:sz w:val="20"/>
          <w:szCs w:val="20"/>
          <w:color w:val="auto"/>
        </w:rPr>
      </w:pPr>
    </w:p>
    <w:p>
      <w:pPr>
        <w:ind w:firstLine="562"/>
        <w:spacing w:after="0" w:line="250" w:lineRule="auto"/>
        <w:rPr>
          <w:sz w:val="20"/>
          <w:szCs w:val="20"/>
          <w:color w:val="auto"/>
        </w:rPr>
      </w:pPr>
      <w:r>
        <w:rPr>
          <w:rFonts w:ascii="Arial" w:cs="Arial" w:eastAsia="Arial" w:hAnsi="Arial"/>
          <w:sz w:val="13"/>
          <w:szCs w:val="13"/>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 offer no assurance that we will, in fact, hedge currency risk or, that if we do, such strategies will be effective.</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We may expose ourselves to risks if we engage in hedging transactions.</w:t>
      </w:r>
    </w:p>
    <w:p>
      <w:pPr>
        <w:spacing w:after="0" w:line="80" w:lineRule="exact"/>
        <w:rPr>
          <w:sz w:val="20"/>
          <w:szCs w:val="20"/>
          <w:color w:val="auto"/>
        </w:rPr>
      </w:pPr>
    </w:p>
    <w:p>
      <w:pPr>
        <w:ind w:right="80" w:firstLine="562"/>
        <w:spacing w:after="0" w:line="270" w:lineRule="auto"/>
        <w:rPr>
          <w:sz w:val="20"/>
          <w:szCs w:val="20"/>
          <w:color w:val="auto"/>
        </w:rPr>
      </w:pPr>
      <w:r>
        <w:rPr>
          <w:rFonts w:ascii="Arial" w:cs="Arial" w:eastAsia="Arial" w:hAnsi="Arial"/>
          <w:sz w:val="12"/>
          <w:szCs w:val="12"/>
          <w:color w:val="auto"/>
        </w:rPr>
        <w:t>If we engage in hedging transactions, we may expose ourselves to risks associated with such transactions. We may borrow under a Credit Facility in currencies selected to minimize our foreign currency exposure or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Moreover, it may not be possible to hedge against an exchange rate or interest rate fluctuation that is so generally anticipated that we are not able to enter into a hedging transaction at an acceptable price.</w:t>
      </w:r>
    </w:p>
    <w:p>
      <w:pPr>
        <w:spacing w:after="0" w:line="95" w:lineRule="exact"/>
        <w:rPr>
          <w:sz w:val="20"/>
          <w:szCs w:val="20"/>
          <w:color w:val="auto"/>
        </w:rPr>
      </w:pPr>
    </w:p>
    <w:p>
      <w:pPr>
        <w:ind w:right="60" w:firstLine="562"/>
        <w:spacing w:after="0" w:line="273" w:lineRule="auto"/>
        <w:rPr>
          <w:sz w:val="20"/>
          <w:szCs w:val="20"/>
          <w:color w:val="auto"/>
        </w:rPr>
      </w:pPr>
      <w:r>
        <w:rPr>
          <w:rFonts w:ascii="Arial" w:cs="Arial" w:eastAsia="Arial" w:hAnsi="Arial"/>
          <w:sz w:val="12"/>
          <w:szCs w:val="12"/>
          <w:color w:val="auto"/>
        </w:rPr>
        <w:t>While we may enter into such transactions to seek to reduce currency exchange rate and interest rate risks, unanticipated changes in currency exchange rates or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RELATING TO AN INVESTMENT IN OUR COMMON STOCK</w:t>
      </w:r>
    </w:p>
    <w:p>
      <w:pPr>
        <w:spacing w:after="0" w:line="82"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There is a risk that our stockholders may not receive distributions or that our distributions may not grow over time.</w:t>
      </w:r>
    </w:p>
    <w:p>
      <w:pPr>
        <w:spacing w:after="0" w:line="80" w:lineRule="exact"/>
        <w:rPr>
          <w:sz w:val="20"/>
          <w:szCs w:val="20"/>
          <w:color w:val="auto"/>
        </w:rPr>
      </w:pPr>
    </w:p>
    <w:p>
      <w:pPr>
        <w:ind w:right="20" w:firstLine="562"/>
        <w:spacing w:after="0" w:line="245" w:lineRule="auto"/>
        <w:rPr>
          <w:sz w:val="20"/>
          <w:szCs w:val="20"/>
          <w:color w:val="auto"/>
        </w:rPr>
      </w:pPr>
      <w:r>
        <w:rPr>
          <w:rFonts w:ascii="Arial" w:cs="Arial" w:eastAsia="Arial" w:hAnsi="Arial"/>
          <w:sz w:val="13"/>
          <w:szCs w:val="13"/>
          <w:color w:val="auto"/>
        </w:rPr>
        <w:t>We intend to make distributions on a monthly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test applicable to us as a BDC, we may be limited in our ability to make distributions. Further, if more stockholders opt to receive cash dividends and other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34</w:t>
      </w:r>
    </w:p>
    <w:p>
      <w:pPr>
        <w:sectPr>
          <w:pgSz w:w="11900" w:h="16838" w:orient="portrait"/>
          <w:cols w:equalWidth="0" w:num="1">
            <w:col w:w="11240"/>
          </w:cols>
          <w:pgMar w:left="320" w:top="459"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Investing in our shares may involve an above average degree of risk.</w:t>
      </w:r>
    </w:p>
    <w:p>
      <w:pPr>
        <w:spacing w:after="0" w:line="80" w:lineRule="exact"/>
        <w:rPr>
          <w:sz w:val="20"/>
          <w:szCs w:val="20"/>
          <w:color w:val="auto"/>
        </w:rPr>
      </w:pPr>
    </w:p>
    <w:p>
      <w:pPr>
        <w:ind w:right="20" w:firstLine="562"/>
        <w:spacing w:after="0" w:line="274" w:lineRule="auto"/>
        <w:rPr>
          <w:sz w:val="20"/>
          <w:szCs w:val="20"/>
          <w:color w:val="auto"/>
        </w:rPr>
      </w:pPr>
      <w:r>
        <w:rPr>
          <w:rFonts w:ascii="Arial" w:cs="Arial" w:eastAsia="Arial" w:hAnsi="Arial"/>
          <w:sz w:val="13"/>
          <w:szCs w:val="13"/>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Our shares may trade at discounts from net asset value or at premiums that are unsustainable over the long term.</w:t>
      </w:r>
    </w:p>
    <w:p>
      <w:pPr>
        <w:spacing w:after="0" w:line="80" w:lineRule="exact"/>
        <w:rPr>
          <w:sz w:val="20"/>
          <w:szCs w:val="20"/>
          <w:color w:val="auto"/>
        </w:rPr>
      </w:pPr>
    </w:p>
    <w:p>
      <w:pPr>
        <w:ind w:firstLine="562"/>
        <w:spacing w:after="0" w:line="250" w:lineRule="auto"/>
        <w:rPr>
          <w:sz w:val="20"/>
          <w:szCs w:val="20"/>
          <w:color w:val="auto"/>
        </w:rPr>
      </w:pPr>
      <w:r>
        <w:rPr>
          <w:rFonts w:ascii="Arial" w:cs="Arial" w:eastAsia="Arial" w:hAnsi="Arial"/>
          <w:sz w:val="13"/>
          <w:szCs w:val="13"/>
          <w:color w:val="auto"/>
        </w:rPr>
        <w:t>Shares of BDC’s may trade at a market price that is less than the net asset value that is attributable to those shares. Our shares may trade above and below our net asset value, or NAV. Our shares traded on the NASDAQ Global Select Market at $12.67 and $10.55 and our NAV was $13.98 and $13.44 as of September 30, 2012 and 2011,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The market price of our common stock may fluctuate significantly.</w:t>
      </w:r>
    </w:p>
    <w:p>
      <w:pPr>
        <w:spacing w:after="0" w:line="80" w:lineRule="exact"/>
        <w:rPr>
          <w:sz w:val="20"/>
          <w:szCs w:val="20"/>
          <w:color w:val="auto"/>
        </w:rPr>
      </w:pPr>
    </w:p>
    <w:p>
      <w:pPr>
        <w:ind w:right="300" w:firstLine="562"/>
        <w:spacing w:after="0" w:line="274" w:lineRule="auto"/>
        <w:rPr>
          <w:sz w:val="20"/>
          <w:szCs w:val="20"/>
          <w:color w:val="auto"/>
        </w:rPr>
      </w:pPr>
      <w:r>
        <w:rPr>
          <w:rFonts w:ascii="Arial" w:cs="Arial" w:eastAsia="Arial" w:hAnsi="Arial"/>
          <w:sz w:val="13"/>
          <w:szCs w:val="13"/>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104" w:lineRule="exact"/>
        <w:rPr>
          <w:sz w:val="20"/>
          <w:szCs w:val="20"/>
          <w:color w:val="auto"/>
        </w:rPr>
      </w:pPr>
    </w:p>
    <w:p>
      <w:pPr>
        <w:ind w:left="880" w:right="200" w:hanging="427"/>
        <w:spacing w:after="0" w:line="274" w:lineRule="auto"/>
        <w:tabs>
          <w:tab w:leader="none" w:pos="8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significant volatility in the market price and trading volume of securities of BDCs or other companies in our sector, which are not necessarily related to the operating performance of these companies;</w:t>
      </w:r>
    </w:p>
    <w:p>
      <w:pPr>
        <w:spacing w:after="0" w:line="104" w:lineRule="exact"/>
        <w:rPr>
          <w:rFonts w:ascii="Arial" w:cs="Arial" w:eastAsia="Arial" w:hAnsi="Arial"/>
          <w:sz w:val="13"/>
          <w:szCs w:val="13"/>
          <w:color w:val="auto"/>
        </w:rPr>
      </w:pPr>
    </w:p>
    <w:p>
      <w:pPr>
        <w:ind w:left="880" w:hanging="427"/>
        <w:spacing w:after="0"/>
        <w:tabs>
          <w:tab w:leader="none" w:pos="8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changes in regulatory policies or tax guidelines, particularly with respect to RICs or BDCs;</w:t>
      </w:r>
    </w:p>
    <w:p>
      <w:pPr>
        <w:spacing w:after="0" w:line="147" w:lineRule="exact"/>
        <w:rPr>
          <w:rFonts w:ascii="Arial" w:cs="Arial" w:eastAsia="Arial" w:hAnsi="Arial"/>
          <w:sz w:val="13"/>
          <w:szCs w:val="13"/>
          <w:color w:val="auto"/>
        </w:rPr>
      </w:pPr>
    </w:p>
    <w:p>
      <w:pPr>
        <w:ind w:left="880" w:hanging="427"/>
        <w:spacing w:after="0"/>
        <w:tabs>
          <w:tab w:leader="none" w:pos="8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any loss of RIC status;</w:t>
      </w:r>
    </w:p>
    <w:p>
      <w:pPr>
        <w:spacing w:after="0" w:line="147" w:lineRule="exact"/>
        <w:rPr>
          <w:rFonts w:ascii="Arial" w:cs="Arial" w:eastAsia="Arial" w:hAnsi="Arial"/>
          <w:sz w:val="13"/>
          <w:szCs w:val="13"/>
          <w:color w:val="auto"/>
        </w:rPr>
      </w:pPr>
    </w:p>
    <w:p>
      <w:pPr>
        <w:ind w:left="880" w:hanging="427"/>
        <w:spacing w:after="0"/>
        <w:tabs>
          <w:tab w:leader="none" w:pos="8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changes in earnings or variations in operating results;</w:t>
      </w:r>
    </w:p>
    <w:p>
      <w:pPr>
        <w:spacing w:after="0" w:line="147" w:lineRule="exact"/>
        <w:rPr>
          <w:rFonts w:ascii="Arial" w:cs="Arial" w:eastAsia="Arial" w:hAnsi="Arial"/>
          <w:sz w:val="13"/>
          <w:szCs w:val="13"/>
          <w:color w:val="auto"/>
        </w:rPr>
      </w:pPr>
    </w:p>
    <w:p>
      <w:pPr>
        <w:ind w:left="880" w:hanging="427"/>
        <w:spacing w:after="0"/>
        <w:tabs>
          <w:tab w:leader="none" w:pos="8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changes in the value of our portfolio of investments;</w:t>
      </w:r>
    </w:p>
    <w:p>
      <w:pPr>
        <w:spacing w:after="0" w:line="147" w:lineRule="exact"/>
        <w:rPr>
          <w:rFonts w:ascii="Arial" w:cs="Arial" w:eastAsia="Arial" w:hAnsi="Arial"/>
          <w:sz w:val="13"/>
          <w:szCs w:val="13"/>
          <w:color w:val="auto"/>
        </w:rPr>
      </w:pPr>
    </w:p>
    <w:p>
      <w:pPr>
        <w:ind w:left="880" w:hanging="427"/>
        <w:spacing w:after="0"/>
        <w:tabs>
          <w:tab w:leader="none" w:pos="8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any shortfall in revenue or net income or any increase in losses from levels expected by investors or securities analysts;</w:t>
      </w:r>
    </w:p>
    <w:p>
      <w:pPr>
        <w:spacing w:after="0" w:line="147" w:lineRule="exact"/>
        <w:rPr>
          <w:rFonts w:ascii="Arial" w:cs="Arial" w:eastAsia="Arial" w:hAnsi="Arial"/>
          <w:sz w:val="13"/>
          <w:szCs w:val="13"/>
          <w:color w:val="auto"/>
        </w:rPr>
      </w:pPr>
    </w:p>
    <w:p>
      <w:pPr>
        <w:ind w:left="880" w:hanging="427"/>
        <w:spacing w:after="0"/>
        <w:tabs>
          <w:tab w:leader="none" w:pos="8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inability of our Investment Adviser to employ additional experienced investment professionals or the departure of any of the Investment Adviser’s key personnel;</w:t>
      </w:r>
    </w:p>
    <w:p>
      <w:pPr>
        <w:spacing w:after="0" w:line="147" w:lineRule="exact"/>
        <w:rPr>
          <w:rFonts w:ascii="Arial" w:cs="Arial" w:eastAsia="Arial" w:hAnsi="Arial"/>
          <w:sz w:val="13"/>
          <w:szCs w:val="13"/>
          <w:color w:val="auto"/>
        </w:rPr>
      </w:pPr>
    </w:p>
    <w:p>
      <w:pPr>
        <w:ind w:left="880" w:hanging="427"/>
        <w:spacing w:after="0"/>
        <w:tabs>
          <w:tab w:leader="none" w:pos="8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operating performance of companies comparable to us;</w:t>
      </w:r>
    </w:p>
    <w:p>
      <w:pPr>
        <w:spacing w:after="0" w:line="147" w:lineRule="exact"/>
        <w:rPr>
          <w:rFonts w:ascii="Arial" w:cs="Arial" w:eastAsia="Arial" w:hAnsi="Arial"/>
          <w:sz w:val="13"/>
          <w:szCs w:val="13"/>
          <w:color w:val="auto"/>
        </w:rPr>
      </w:pPr>
    </w:p>
    <w:p>
      <w:pPr>
        <w:ind w:left="880" w:hanging="427"/>
        <w:spacing w:after="0"/>
        <w:tabs>
          <w:tab w:leader="none" w:pos="8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general economic trends and other external factors; and</w:t>
      </w:r>
    </w:p>
    <w:p>
      <w:pPr>
        <w:spacing w:after="0" w:line="147" w:lineRule="exact"/>
        <w:rPr>
          <w:rFonts w:ascii="Arial" w:cs="Arial" w:eastAsia="Arial" w:hAnsi="Arial"/>
          <w:sz w:val="13"/>
          <w:szCs w:val="13"/>
          <w:color w:val="auto"/>
        </w:rPr>
      </w:pPr>
    </w:p>
    <w:p>
      <w:pPr>
        <w:ind w:left="880" w:hanging="427"/>
        <w:spacing w:after="0"/>
        <w:tabs>
          <w:tab w:leader="none" w:pos="8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loss of a major funding source.</w:t>
      </w:r>
    </w:p>
    <w:p>
      <w:pPr>
        <w:spacing w:after="0" w:line="134" w:lineRule="exact"/>
        <w:rPr>
          <w:sz w:val="20"/>
          <w:szCs w:val="20"/>
          <w:color w:val="auto"/>
        </w:rPr>
      </w:pPr>
    </w:p>
    <w:p>
      <w:pPr>
        <w:ind w:right="100" w:firstLine="562"/>
        <w:spacing w:after="0" w:line="274" w:lineRule="auto"/>
        <w:rPr>
          <w:sz w:val="20"/>
          <w:szCs w:val="20"/>
          <w:color w:val="auto"/>
        </w:rPr>
      </w:pPr>
      <w:r>
        <w:rPr>
          <w:rFonts w:ascii="Arial" w:cs="Arial" w:eastAsia="Arial" w:hAnsi="Arial"/>
          <w:sz w:val="13"/>
          <w:szCs w:val="13"/>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We may be unable to invest the net proceeds raised from offerings on acceptable terms, which would harm our financial condition and operating results.</w:t>
      </w:r>
    </w:p>
    <w:p>
      <w:pPr>
        <w:spacing w:after="0" w:line="80" w:lineRule="exact"/>
        <w:rPr>
          <w:sz w:val="20"/>
          <w:szCs w:val="20"/>
          <w:color w:val="auto"/>
        </w:rPr>
      </w:pPr>
    </w:p>
    <w:p>
      <w:pPr>
        <w:ind w:right="300" w:firstLine="562"/>
        <w:spacing w:after="0" w:line="256" w:lineRule="auto"/>
        <w:rPr>
          <w:sz w:val="20"/>
          <w:szCs w:val="20"/>
          <w:color w:val="auto"/>
        </w:rPr>
      </w:pPr>
      <w:r>
        <w:rPr>
          <w:rFonts w:ascii="Arial" w:cs="Arial" w:eastAsia="Arial" w:hAnsi="Arial"/>
          <w:sz w:val="13"/>
          <w:szCs w:val="13"/>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We cannot assure you that we will be able to find enough appropriate investments that meet our investment criteria or that any investment we complete using the proceeds from an offering will produce a sufficient return.</w:t>
      </w:r>
    </w:p>
    <w:p>
      <w:pPr>
        <w:spacing w:after="0" w:line="156"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Sales of substantial amounts of our securities may have an adverse effect on the market price of our securities.</w:t>
      </w:r>
    </w:p>
    <w:p>
      <w:pPr>
        <w:spacing w:after="0" w:line="80" w:lineRule="exact"/>
        <w:rPr>
          <w:sz w:val="20"/>
          <w:szCs w:val="20"/>
          <w:color w:val="auto"/>
        </w:rPr>
      </w:pPr>
    </w:p>
    <w:p>
      <w:pPr>
        <w:ind w:firstLine="562"/>
        <w:spacing w:after="0" w:line="274" w:lineRule="auto"/>
        <w:rPr>
          <w:sz w:val="20"/>
          <w:szCs w:val="20"/>
          <w:color w:val="auto"/>
        </w:rPr>
      </w:pPr>
      <w:r>
        <w:rPr>
          <w:rFonts w:ascii="Arial" w:cs="Arial" w:eastAsia="Arial" w:hAnsi="Arial"/>
          <w:sz w:val="13"/>
          <w:szCs w:val="13"/>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35</w:t>
      </w:r>
    </w:p>
    <w:p>
      <w:pPr>
        <w:sectPr>
          <w:pgSz w:w="11900" w:h="16838" w:orient="portrait"/>
          <w:cols w:equalWidth="0" w:num="1">
            <w:col w:w="11180"/>
          </w:cols>
          <w:pgMar w:left="320" w:top="459" w:right="3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You may have current tax liabilities on distributions you reinvest in our common stock.</w:t>
      </w:r>
    </w:p>
    <w:p>
      <w:pPr>
        <w:spacing w:after="0" w:line="80" w:lineRule="exact"/>
        <w:rPr>
          <w:sz w:val="20"/>
          <w:szCs w:val="20"/>
          <w:color w:val="auto"/>
        </w:rPr>
      </w:pPr>
    </w:p>
    <w:p>
      <w:pPr>
        <w:ind w:right="60" w:firstLine="562"/>
        <w:spacing w:after="0" w:line="278" w:lineRule="auto"/>
        <w:rPr>
          <w:sz w:val="20"/>
          <w:szCs w:val="20"/>
          <w:color w:val="auto"/>
        </w:rPr>
      </w:pPr>
      <w:r>
        <w:rPr>
          <w:rFonts w:ascii="Arial" w:cs="Arial" w:eastAsia="Arial" w:hAnsi="Arial"/>
          <w:sz w:val="12"/>
          <w:szCs w:val="12"/>
          <w:color w:val="auto"/>
        </w:rPr>
        <w:t>Under the dividend reinvestment plan, if you own shares of our common stock registered in your own name, you will have all cash distributions automatically reinvested in additional shares of our common stock unless you opt out of the dividend reinvestment plan by delivering a written notice to the plan administrator prior to the record date of the next dividend or distribution. If you have not “opted out” of the dividend reinvestment plan, you will be deemed to have received, and for federal income tax purposes will be taxed on, the amount reinvested in our common stock to the extent the amount reinvested was not a tax-free return of capital. As a result, you may have to use funds from other sources to pay your federal income tax liability on the value of the common stock received.</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There is a risk that our common stockholders may receive our stock as dividends in which case they may be required to pay taxes in excess of the cash they receive.</w:t>
      </w:r>
    </w:p>
    <w:p>
      <w:pPr>
        <w:spacing w:after="0" w:line="80" w:lineRule="exact"/>
        <w:rPr>
          <w:sz w:val="20"/>
          <w:szCs w:val="20"/>
          <w:color w:val="auto"/>
        </w:rPr>
      </w:pPr>
    </w:p>
    <w:p>
      <w:pPr>
        <w:ind w:right="160" w:firstLine="562"/>
        <w:spacing w:after="0" w:line="256" w:lineRule="auto"/>
        <w:rPr>
          <w:sz w:val="20"/>
          <w:szCs w:val="20"/>
          <w:color w:val="auto"/>
        </w:rPr>
      </w:pPr>
      <w:r>
        <w:rPr>
          <w:rFonts w:ascii="Arial" w:cs="Arial" w:eastAsia="Arial" w:hAnsi="Arial"/>
          <w:sz w:val="13"/>
          <w:szCs w:val="13"/>
          <w:color w:val="auto"/>
        </w:rPr>
        <w:t>We may distribute our common stock as a dividend of our taxable income and a shareholder could receive a portion of the dividends declared and distributed by us in shares of our common stock with the remaining amount in cash. A shareholder will be considered to have recognized dividend income equal to the fair market value of the stock paid by us plus cash received with respect to such dividend. We have not elected to distribute stock as a dividend but reserve the right to do so.</w:t>
      </w:r>
    </w:p>
    <w:p>
      <w:pPr>
        <w:spacing w:after="0" w:line="156" w:lineRule="exact"/>
        <w:rPr>
          <w:sz w:val="20"/>
          <w:szCs w:val="20"/>
          <w:color w:val="auto"/>
        </w:rPr>
      </w:pPr>
    </w:p>
    <w:p>
      <w:pPr>
        <w:ind w:right="260" w:firstLine="562"/>
        <w:spacing w:after="0" w:line="256" w:lineRule="auto"/>
        <w:rPr>
          <w:sz w:val="20"/>
          <w:szCs w:val="20"/>
          <w:color w:val="auto"/>
        </w:rPr>
      </w:pPr>
      <w:r>
        <w:rPr>
          <w:rFonts w:ascii="Arial" w:cs="Arial" w:eastAsia="Arial" w:hAnsi="Arial"/>
          <w:sz w:val="13"/>
          <w:szCs w:val="13"/>
          <w:b w:val="1"/>
          <w:bCs w:val="1"/>
          <w:i w:val="1"/>
          <w:iCs w:val="1"/>
          <w:color w:val="auto"/>
        </w:rPr>
        <w:t>We may obtain the approval of our stockholders to issue shares of our common stock at prices below the then current net asset value per share of our common stock. If we receive such approval from stockholders, in the future, we may issue shares of our common stock at a price below the then current net asset value per share of common stock. Any such issuance could materially dilute your interest in our common stock and reduce our net asset value per share.</w:t>
      </w:r>
    </w:p>
    <w:p>
      <w:pPr>
        <w:spacing w:after="0" w:line="48" w:lineRule="exact"/>
        <w:rPr>
          <w:sz w:val="20"/>
          <w:szCs w:val="20"/>
          <w:color w:val="auto"/>
        </w:rPr>
      </w:pPr>
    </w:p>
    <w:p>
      <w:pPr>
        <w:jc w:val="both"/>
        <w:ind w:right="220" w:firstLine="562"/>
        <w:spacing w:after="0" w:line="256" w:lineRule="auto"/>
        <w:rPr>
          <w:sz w:val="20"/>
          <w:szCs w:val="20"/>
          <w:color w:val="auto"/>
        </w:rPr>
      </w:pPr>
      <w:r>
        <w:rPr>
          <w:rFonts w:ascii="Arial" w:cs="Arial" w:eastAsia="Arial" w:hAnsi="Arial"/>
          <w:sz w:val="13"/>
          <w:szCs w:val="13"/>
          <w:color w:val="auto"/>
        </w:rPr>
        <w:t>We intend to seek to obtain from our stockholders and they may approve a proposal that authorizes us to sell shares of our common stock below the then current net asset value per share of our common stock in one or more offerings for a 12-month period. Such approval would allow us to access the capital markets in a way that we were previously unable to as a result of restrictions that, absent stockholder approval, apply to BDCs under the 1940 Act.</w:t>
      </w:r>
    </w:p>
    <w:p>
      <w:pPr>
        <w:spacing w:after="0" w:line="102" w:lineRule="exact"/>
        <w:rPr>
          <w:sz w:val="20"/>
          <w:szCs w:val="20"/>
          <w:color w:val="auto"/>
        </w:rPr>
      </w:pPr>
    </w:p>
    <w:p>
      <w:pPr>
        <w:ind w:right="20" w:firstLine="562"/>
        <w:spacing w:after="0" w:line="245" w:lineRule="auto"/>
        <w:rPr>
          <w:sz w:val="20"/>
          <w:szCs w:val="20"/>
          <w:color w:val="auto"/>
        </w:rPr>
      </w:pPr>
      <w:r>
        <w:rPr>
          <w:rFonts w:ascii="Arial" w:cs="Arial" w:eastAsia="Arial" w:hAnsi="Arial"/>
          <w:sz w:val="13"/>
          <w:szCs w:val="13"/>
          <w:color w:val="auto"/>
        </w:rPr>
        <w:t>Any sale or other issuance of shares of our common stock at a price below net asset value per share will result in an immediate dilution to your interest in our common stock and a reduction of our net asset value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net asset value per share and the price and timing of such issuances are not currently known, we cannot predict the actual dilutive effect of any such issuance. We also cannot determine the resulting reduction in our net asset value per share of any such issuance at this time. We caution you that such effects may be material, and we undertake to describe all the material risks and dilutive effects of any offerings we make at a price below our then current net asset value in the future in a prospectus supplement issued in connection with any such offering.</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We incur significant costs as a result of being a publicly traded company.</w:t>
      </w:r>
    </w:p>
    <w:p>
      <w:pPr>
        <w:spacing w:after="0" w:line="80" w:lineRule="exact"/>
        <w:rPr>
          <w:sz w:val="20"/>
          <w:szCs w:val="20"/>
          <w:color w:val="auto"/>
        </w:rPr>
      </w:pPr>
    </w:p>
    <w:p>
      <w:pPr>
        <w:ind w:right="240" w:firstLine="562"/>
        <w:spacing w:after="0" w:line="256" w:lineRule="auto"/>
        <w:rPr>
          <w:sz w:val="20"/>
          <w:szCs w:val="20"/>
          <w:color w:val="auto"/>
        </w:rPr>
      </w:pPr>
      <w:r>
        <w:rPr>
          <w:rFonts w:ascii="Arial" w:cs="Arial" w:eastAsia="Arial" w:hAnsi="Arial"/>
          <w:sz w:val="13"/>
          <w:szCs w:val="13"/>
          <w:color w:val="auto"/>
        </w:rPr>
        <w:t>As a publicly traded company, we incur legal, accounting and other expenses, including costs associated with the periodic reporting requirements applicable to a company whose securities are registered under the Exchange Act as well as additional corporate governance requirements, including requirements under the Sarbanes-Oxley Act, and other rules implemented by the SEC and the listing standards of NASDAQ.</w:t>
      </w:r>
    </w:p>
    <w:p>
      <w:pPr>
        <w:spacing w:after="0" w:line="156" w:lineRule="exact"/>
        <w:rPr>
          <w:sz w:val="20"/>
          <w:szCs w:val="20"/>
          <w:color w:val="auto"/>
        </w:rPr>
      </w:pPr>
    </w:p>
    <w:p>
      <w:pPr>
        <w:ind w:left="560"/>
        <w:spacing w:after="0"/>
        <w:rPr>
          <w:sz w:val="20"/>
          <w:szCs w:val="20"/>
          <w:color w:val="auto"/>
        </w:rPr>
      </w:pPr>
      <w:r>
        <w:rPr>
          <w:rFonts w:ascii="Arial" w:cs="Arial" w:eastAsia="Arial" w:hAnsi="Arial"/>
          <w:sz w:val="12"/>
          <w:szCs w:val="12"/>
          <w:b w:val="1"/>
          <w:bCs w:val="1"/>
          <w:i w:val="1"/>
          <w:iCs w:val="1"/>
          <w:color w:val="auto"/>
        </w:rPr>
        <w:t>Provisions of the Maryland General Corporation Law and of our charter and bylaws could deter takeover attempts and have an adverse impact on the price of our common stock.</w:t>
      </w:r>
    </w:p>
    <w:p>
      <w:pPr>
        <w:spacing w:after="0" w:line="92" w:lineRule="exact"/>
        <w:rPr>
          <w:sz w:val="20"/>
          <w:szCs w:val="20"/>
          <w:color w:val="auto"/>
        </w:rPr>
      </w:pPr>
    </w:p>
    <w:p>
      <w:pPr>
        <w:ind w:right="40" w:firstLine="562"/>
        <w:spacing w:after="0" w:line="247" w:lineRule="auto"/>
        <w:rPr>
          <w:sz w:val="20"/>
          <w:szCs w:val="20"/>
          <w:color w:val="auto"/>
        </w:rPr>
      </w:pPr>
      <w:r>
        <w:rPr>
          <w:rFonts w:ascii="Arial" w:cs="Arial" w:eastAsia="Arial" w:hAnsi="Arial"/>
          <w:sz w:val="13"/>
          <w:szCs w:val="13"/>
          <w:color w:val="auto"/>
        </w:rPr>
        <w:t>The Maryland General Corporation Law, our charter and our bylaws contain provisions that may discourage, delay or make more difficult a change in control of us or the removal of our directors. We are subject to the Maryland Business Combination Act, the application of which is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w:t>
      </w:r>
    </w:p>
    <w:p>
      <w:pPr>
        <w:spacing w:after="0" w:line="108" w:lineRule="exact"/>
        <w:rPr>
          <w:sz w:val="20"/>
          <w:szCs w:val="20"/>
          <w:color w:val="auto"/>
        </w:rPr>
      </w:pPr>
    </w:p>
    <w:p>
      <w:pPr>
        <w:ind w:firstLine="562"/>
        <w:spacing w:after="0" w:line="278" w:lineRule="auto"/>
        <w:rPr>
          <w:sz w:val="20"/>
          <w:szCs w:val="20"/>
          <w:color w:val="auto"/>
        </w:rPr>
      </w:pPr>
      <w:r>
        <w:rPr>
          <w:rFonts w:ascii="Arial" w:cs="Arial" w:eastAsia="Arial" w:hAnsi="Arial"/>
          <w:sz w:val="12"/>
          <w:szCs w:val="12"/>
          <w:color w:val="auto"/>
        </w:rPr>
        <w:t>In addition, our bylaws exempt from the Maryland Control Share Acquisition Act acquisitions of our common stock by any person. If we amend our bylaws to repeal the exemption from such act, it may make it more difficult for a third party to obtain control of us and increase the difficulty of consummating such an offer. Also, our charter provides for classifying our board of directors in three classes serving staggered three-year terms, and provisions of our charter authorizes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w:t>
      </w:r>
    </w:p>
    <w:p>
      <w:pPr>
        <w:spacing w:after="0" w:line="90" w:lineRule="exact"/>
        <w:rPr>
          <w:sz w:val="20"/>
          <w:szCs w:val="20"/>
          <w:color w:val="auto"/>
        </w:rPr>
      </w:pPr>
    </w:p>
    <w:p>
      <w:pPr>
        <w:jc w:val="center"/>
        <w:ind w:left="780" w:right="100"/>
        <w:spacing w:after="0" w:line="513" w:lineRule="auto"/>
        <w:rPr>
          <w:sz w:val="20"/>
          <w:szCs w:val="20"/>
          <w:color w:val="auto"/>
        </w:rPr>
      </w:pPr>
      <w:r>
        <w:rPr>
          <w:rFonts w:ascii="Arial" w:cs="Arial" w:eastAsia="Arial" w:hAnsi="Arial"/>
          <w:sz w:val="13"/>
          <w:szCs w:val="13"/>
          <w:color w:val="auto"/>
        </w:rPr>
        <w:t>These anti-takeover provisions may inhibit a change of control in circumstances that could give our stockholders the opportunity to realize a premium over the market price for our common stock. 36</w:t>
      </w:r>
    </w:p>
    <w:p>
      <w:pPr>
        <w:sectPr>
          <w:pgSz w:w="11900" w:h="16838" w:orient="portrait"/>
          <w:cols w:equalWidth="0" w:num="1">
            <w:col w:w="11220"/>
          </w:cols>
          <w:pgMar w:left="320" w:top="459" w:right="3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00" w:val="left"/>
        </w:tabs>
        <w:rPr>
          <w:sz w:val="20"/>
          <w:szCs w:val="20"/>
          <w:color w:val="auto"/>
        </w:rPr>
      </w:pPr>
      <w:r>
        <w:rPr>
          <w:rFonts w:ascii="Arial" w:cs="Arial" w:eastAsia="Arial" w:hAnsi="Arial"/>
          <w:sz w:val="13"/>
          <w:szCs w:val="13"/>
          <w:b w:val="1"/>
          <w:bCs w:val="1"/>
          <w:color w:val="auto"/>
        </w:rPr>
        <w:t>Item 1B.</w:t>
      </w:r>
      <w:r>
        <w:rPr>
          <w:sz w:val="20"/>
          <w:szCs w:val="20"/>
          <w:color w:val="auto"/>
        </w:rPr>
        <w:tab/>
      </w:r>
      <w:r>
        <w:rPr>
          <w:rFonts w:ascii="Arial" w:cs="Arial" w:eastAsia="Arial" w:hAnsi="Arial"/>
          <w:sz w:val="12"/>
          <w:szCs w:val="12"/>
          <w:b w:val="1"/>
          <w:bCs w:val="1"/>
          <w:color w:val="auto"/>
        </w:rPr>
        <w:t>Unresolved Staff Comments</w:t>
      </w:r>
    </w:p>
    <w:p>
      <w:pPr>
        <w:spacing w:after="0" w:line="8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None</w:t>
      </w:r>
    </w:p>
    <w:p>
      <w:pPr>
        <w:spacing w:after="0" w:line="213" w:lineRule="exact"/>
        <w:rPr>
          <w:sz w:val="20"/>
          <w:szCs w:val="20"/>
          <w:color w:val="auto"/>
        </w:rPr>
      </w:pPr>
    </w:p>
    <w:p>
      <w:pPr>
        <w:spacing w:after="0"/>
        <w:tabs>
          <w:tab w:leader="none" w:pos="110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2"/>
          <w:szCs w:val="12"/>
          <w:b w:val="1"/>
          <w:bCs w:val="1"/>
          <w:color w:val="auto"/>
        </w:rPr>
        <w:t>Properties</w:t>
      </w:r>
    </w:p>
    <w:p>
      <w:pPr>
        <w:spacing w:after="0" w:line="82" w:lineRule="exact"/>
        <w:rPr>
          <w:sz w:val="20"/>
          <w:szCs w:val="20"/>
          <w:color w:val="auto"/>
        </w:rPr>
      </w:pPr>
    </w:p>
    <w:p>
      <w:pPr>
        <w:ind w:right="180" w:firstLine="562"/>
        <w:spacing w:after="0" w:line="274" w:lineRule="auto"/>
        <w:rPr>
          <w:sz w:val="20"/>
          <w:szCs w:val="20"/>
          <w:color w:val="auto"/>
        </w:rPr>
      </w:pPr>
      <w:r>
        <w:rPr>
          <w:rFonts w:ascii="Arial" w:cs="Arial" w:eastAsia="Arial" w:hAnsi="Arial"/>
          <w:sz w:val="13"/>
          <w:szCs w:val="13"/>
          <w:color w:val="auto"/>
        </w:rPr>
        <w:t>As of September 30, 2012, we did not own any real estate or other physical properties materially important to our operation. We believe that the office facilities of the Investment Adviser are suitable and adequate for our business as it is contemplated to be conducted.</w:t>
      </w:r>
    </w:p>
    <w:p>
      <w:pPr>
        <w:spacing w:after="0" w:line="170" w:lineRule="exact"/>
        <w:rPr>
          <w:sz w:val="20"/>
          <w:szCs w:val="20"/>
          <w:color w:val="auto"/>
        </w:rPr>
      </w:pPr>
    </w:p>
    <w:p>
      <w:pPr>
        <w:spacing w:after="0"/>
        <w:tabs>
          <w:tab w:leader="none" w:pos="110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1"/>
          <w:szCs w:val="11"/>
          <w:b w:val="1"/>
          <w:bCs w:val="1"/>
          <w:color w:val="auto"/>
        </w:rPr>
        <w:t>Legal Proceedings</w:t>
      </w:r>
    </w:p>
    <w:p>
      <w:pPr>
        <w:spacing w:after="0" w:line="82" w:lineRule="exact"/>
        <w:rPr>
          <w:sz w:val="20"/>
          <w:szCs w:val="20"/>
          <w:color w:val="auto"/>
        </w:rPr>
      </w:pPr>
    </w:p>
    <w:p>
      <w:pPr>
        <w:ind w:firstLine="562"/>
        <w:spacing w:after="0" w:line="250" w:lineRule="auto"/>
        <w:rPr>
          <w:sz w:val="20"/>
          <w:szCs w:val="20"/>
          <w:color w:val="auto"/>
        </w:rPr>
      </w:pPr>
      <w:r>
        <w:rPr>
          <w:rFonts w:ascii="Arial" w:cs="Arial" w:eastAsia="Arial" w:hAnsi="Arial"/>
          <w:sz w:val="13"/>
          <w:szCs w:val="13"/>
          <w:color w:val="auto"/>
        </w:rPr>
        <w:t>Neither our Investment Adviser, our Administrator or us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of results of operations.</w:t>
      </w:r>
    </w:p>
    <w:p>
      <w:pPr>
        <w:spacing w:after="0" w:line="185" w:lineRule="exact"/>
        <w:rPr>
          <w:sz w:val="20"/>
          <w:szCs w:val="20"/>
          <w:color w:val="auto"/>
        </w:rPr>
      </w:pPr>
    </w:p>
    <w:p>
      <w:pPr>
        <w:spacing w:after="0"/>
        <w:tabs>
          <w:tab w:leader="none" w:pos="110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1"/>
          <w:szCs w:val="11"/>
          <w:b w:val="1"/>
          <w:bCs w:val="1"/>
          <w:color w:val="auto"/>
        </w:rPr>
        <w:t>Mine Safety Disclosures</w:t>
      </w:r>
    </w:p>
    <w:p>
      <w:pPr>
        <w:spacing w:after="0" w:line="8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Not applicable.</w:t>
      </w:r>
    </w:p>
    <w:p>
      <w:pPr>
        <w:spacing w:after="0" w:line="148" w:lineRule="exact"/>
        <w:rPr>
          <w:sz w:val="20"/>
          <w:szCs w:val="20"/>
          <w:color w:val="auto"/>
        </w:rPr>
      </w:pPr>
    </w:p>
    <w:p>
      <w:pPr>
        <w:jc w:val="center"/>
        <w:ind w:right="-259"/>
        <w:spacing w:after="0"/>
        <w:rPr>
          <w:sz w:val="20"/>
          <w:szCs w:val="20"/>
          <w:color w:val="auto"/>
        </w:rPr>
      </w:pPr>
      <w:r>
        <w:rPr>
          <w:rFonts w:ascii="Arial" w:cs="Arial" w:eastAsia="Arial" w:hAnsi="Arial"/>
          <w:sz w:val="13"/>
          <w:szCs w:val="13"/>
          <w:color w:val="auto"/>
        </w:rPr>
        <w:t>37</w:t>
      </w:r>
    </w:p>
    <w:p>
      <w:pPr>
        <w:sectPr>
          <w:pgSz w:w="11900" w:h="16838" w:orient="portrait"/>
          <w:cols w:equalWidth="0" w:num="1">
            <w:col w:w="11000"/>
          </w:cols>
          <w:pgMar w:left="320" w:top="459" w:right="5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PART II</w:t>
      </w:r>
    </w:p>
    <w:p>
      <w:pPr>
        <w:spacing w:after="0" w:line="215" w:lineRule="exact"/>
        <w:rPr>
          <w:sz w:val="20"/>
          <w:szCs w:val="20"/>
          <w:color w:val="auto"/>
        </w:rPr>
      </w:pPr>
    </w:p>
    <w:p>
      <w:pPr>
        <w:spacing w:after="0"/>
        <w:tabs>
          <w:tab w:leader="none" w:pos="1100" w:val="left"/>
        </w:tabs>
        <w:rPr>
          <w:sz w:val="20"/>
          <w:szCs w:val="20"/>
          <w:color w:val="auto"/>
        </w:rPr>
      </w:pPr>
      <w:r>
        <w:rPr>
          <w:rFonts w:ascii="Arial" w:cs="Arial" w:eastAsia="Arial" w:hAnsi="Arial"/>
          <w:sz w:val="13"/>
          <w:szCs w:val="13"/>
          <w:b w:val="1"/>
          <w:bCs w:val="1"/>
          <w:color w:val="auto"/>
        </w:rPr>
        <w:t>Item 5.</w:t>
      </w:r>
      <w:r>
        <w:rPr>
          <w:sz w:val="20"/>
          <w:szCs w:val="20"/>
          <w:color w:val="auto"/>
        </w:rPr>
        <w:tab/>
      </w:r>
      <w:r>
        <w:rPr>
          <w:rFonts w:ascii="Arial" w:cs="Arial" w:eastAsia="Arial" w:hAnsi="Arial"/>
          <w:sz w:val="12"/>
          <w:szCs w:val="12"/>
          <w:b w:val="1"/>
          <w:bCs w:val="1"/>
          <w:color w:val="auto"/>
        </w:rPr>
        <w:t>Market for Registrant’s Common Equity, Related Stockholder Matters and Issuer Purchases of Equity Securities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PRICE RANGE OF COMMON STOCK</w:t>
      </w:r>
    </w:p>
    <w:p>
      <w:pPr>
        <w:spacing w:after="0" w:line="136" w:lineRule="exact"/>
        <w:rPr>
          <w:sz w:val="20"/>
          <w:szCs w:val="20"/>
          <w:color w:val="auto"/>
        </w:rPr>
      </w:pPr>
    </w:p>
    <w:p>
      <w:pPr>
        <w:ind w:right="140" w:firstLine="562"/>
        <w:spacing w:after="0" w:line="274" w:lineRule="auto"/>
        <w:rPr>
          <w:sz w:val="20"/>
          <w:szCs w:val="20"/>
          <w:color w:val="auto"/>
        </w:rPr>
      </w:pPr>
      <w:r>
        <w:rPr>
          <w:rFonts w:ascii="Arial" w:cs="Arial" w:eastAsia="Arial" w:hAnsi="Arial"/>
          <w:sz w:val="13"/>
          <w:szCs w:val="13"/>
          <w:color w:val="auto"/>
        </w:rPr>
        <w:t>Our common stock is traded on the NASDAQ Global Select Market under the symbol “PFLT.” The following table lists the high and low closing sale price for our common stock, the closing sale price as a percentage of NAV and monthly distributions per share since April 8, 2011.</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40" w:type="dxa"/>
            <w:vAlign w:val="bottom"/>
            <w:gridSpan w:val="5"/>
          </w:tcPr>
          <w:p>
            <w:pPr>
              <w:ind w:left="120"/>
              <w:spacing w:after="0"/>
              <w:rPr>
                <w:sz w:val="20"/>
                <w:szCs w:val="20"/>
                <w:color w:val="auto"/>
              </w:rPr>
            </w:pPr>
            <w:r>
              <w:rPr>
                <w:rFonts w:ascii="Arial" w:cs="Arial" w:eastAsia="Arial" w:hAnsi="Arial"/>
                <w:sz w:val="13"/>
                <w:szCs w:val="13"/>
                <w:b w:val="1"/>
                <w:bCs w:val="1"/>
                <w:color w:val="auto"/>
              </w:rPr>
              <w:t>Closing Sales Price</w:t>
            </w:r>
          </w:p>
        </w:tc>
        <w:tc>
          <w:tcPr>
            <w:tcW w:w="1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2"/>
            <w:vMerge w:val="restart"/>
          </w:tcPr>
          <w:p>
            <w:pPr>
              <w:jc w:val="right"/>
              <w:ind w:right="360"/>
              <w:spacing w:after="0"/>
              <w:rPr>
                <w:sz w:val="20"/>
                <w:szCs w:val="20"/>
                <w:color w:val="auto"/>
              </w:rPr>
            </w:pPr>
            <w:r>
              <w:rPr>
                <w:rFonts w:ascii="Arial" w:cs="Arial" w:eastAsia="Arial" w:hAnsi="Arial"/>
                <w:sz w:val="13"/>
                <w:szCs w:val="13"/>
                <w:b w:val="1"/>
                <w:bCs w:val="1"/>
                <w:color w:val="auto"/>
                <w:w w:val="88"/>
              </w:rPr>
              <w:t>NAV</w:t>
            </w:r>
            <w:r>
              <w:rPr>
                <w:rFonts w:ascii="Arial" w:cs="Arial" w:eastAsia="Arial" w:hAnsi="Arial"/>
                <w:sz w:val="22"/>
                <w:szCs w:val="22"/>
                <w:b w:val="1"/>
                <w:bCs w:val="1"/>
                <w:color w:val="auto"/>
                <w:w w:val="88"/>
                <w:vertAlign w:val="superscript"/>
              </w:rPr>
              <w:t>(1)</w:t>
            </w:r>
          </w:p>
        </w:tc>
        <w:tc>
          <w:tcPr>
            <w:tcW w:w="3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040" w:type="dxa"/>
            <w:vAlign w:val="bottom"/>
            <w:gridSpan w:val="2"/>
          </w:tcPr>
          <w:p>
            <w:pPr>
              <w:jc w:val="right"/>
              <w:ind w:right="640"/>
              <w:spacing w:after="0"/>
              <w:rPr>
                <w:sz w:val="20"/>
                <w:szCs w:val="20"/>
                <w:color w:val="auto"/>
              </w:rPr>
            </w:pPr>
            <w:r>
              <w:rPr>
                <w:rFonts w:ascii="Arial" w:cs="Arial" w:eastAsia="Arial" w:hAnsi="Arial"/>
                <w:sz w:val="13"/>
                <w:szCs w:val="13"/>
                <w:b w:val="1"/>
                <w:bCs w:val="1"/>
                <w:color w:val="auto"/>
                <w:w w:val="91"/>
              </w:rPr>
              <w:t>(Discount) of High Sales</w:t>
            </w:r>
          </w:p>
        </w:tc>
        <w:tc>
          <w:tcPr>
            <w:tcW w:w="172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90"/>
              </w:rPr>
              <w:t>(Discount) of Low Sales</w:t>
            </w:r>
          </w:p>
        </w:tc>
        <w:tc>
          <w:tcPr>
            <w:tcW w:w="118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w w:val="90"/>
              </w:rPr>
              <w:t>Dividends</w:t>
            </w:r>
          </w:p>
        </w:tc>
        <w:tc>
          <w:tcPr>
            <w:tcW w:w="0" w:type="dxa"/>
            <w:vAlign w:val="bottom"/>
          </w:tcPr>
          <w:p>
            <w:pPr>
              <w:spacing w:after="0"/>
              <w:rPr>
                <w:sz w:val="1"/>
                <w:szCs w:val="1"/>
                <w:color w:val="auto"/>
              </w:rPr>
            </w:pPr>
          </w:p>
        </w:tc>
      </w:tr>
      <w:tr>
        <w:trPr>
          <w:trHeight w:val="175"/>
        </w:trPr>
        <w:tc>
          <w:tcPr>
            <w:tcW w:w="3280" w:type="dxa"/>
            <w:vAlign w:val="bottom"/>
            <w:gridSpan w:val="2"/>
          </w:tcPr>
          <w:p>
            <w:pPr>
              <w:spacing w:after="0"/>
              <w:rPr>
                <w:sz w:val="20"/>
                <w:szCs w:val="20"/>
                <w:color w:val="auto"/>
              </w:rPr>
            </w:pPr>
            <w:r>
              <w:rPr>
                <w:rFonts w:ascii="Arial" w:cs="Arial" w:eastAsia="Arial" w:hAnsi="Arial"/>
                <w:sz w:val="13"/>
                <w:szCs w:val="13"/>
                <w:b w:val="1"/>
                <w:bCs w:val="1"/>
                <w:color w:val="auto"/>
              </w:rPr>
              <w:t>Period</w:t>
            </w:r>
          </w:p>
        </w:tc>
        <w:tc>
          <w:tcPr>
            <w:tcW w:w="780" w:type="dxa"/>
            <w:vAlign w:val="bottom"/>
            <w:gridSpan w:val="2"/>
            <w:vMerge w:val="continue"/>
          </w:tcPr>
          <w:p>
            <w:pPr>
              <w:spacing w:after="0"/>
              <w:rPr>
                <w:sz w:val="15"/>
                <w:szCs w:val="15"/>
                <w:color w:val="auto"/>
              </w:rPr>
            </w:pPr>
          </w:p>
        </w:tc>
        <w:tc>
          <w:tcPr>
            <w:tcW w:w="980" w:type="dxa"/>
            <w:vAlign w:val="bottom"/>
            <w:gridSpan w:val="2"/>
          </w:tcPr>
          <w:p>
            <w:pPr>
              <w:jc w:val="right"/>
              <w:ind w:right="660"/>
              <w:spacing w:after="0"/>
              <w:rPr>
                <w:sz w:val="20"/>
                <w:szCs w:val="20"/>
                <w:color w:val="auto"/>
              </w:rPr>
            </w:pPr>
            <w:r>
              <w:rPr>
                <w:rFonts w:ascii="Arial" w:cs="Arial" w:eastAsia="Arial" w:hAnsi="Arial"/>
                <w:sz w:val="13"/>
                <w:szCs w:val="13"/>
                <w:b w:val="1"/>
                <w:bCs w:val="1"/>
                <w:color w:val="auto"/>
              </w:rPr>
              <w:t>High</w:t>
            </w:r>
          </w:p>
        </w:tc>
        <w:tc>
          <w:tcPr>
            <w:tcW w:w="1260" w:type="dxa"/>
            <w:vAlign w:val="bottom"/>
            <w:gridSpan w:val="3"/>
          </w:tcPr>
          <w:p>
            <w:pPr>
              <w:ind w:left="60"/>
              <w:spacing w:after="0"/>
              <w:rPr>
                <w:sz w:val="20"/>
                <w:szCs w:val="20"/>
                <w:color w:val="auto"/>
              </w:rPr>
            </w:pPr>
            <w:r>
              <w:rPr>
                <w:rFonts w:ascii="Arial" w:cs="Arial" w:eastAsia="Arial" w:hAnsi="Arial"/>
                <w:sz w:val="13"/>
                <w:szCs w:val="13"/>
                <w:b w:val="1"/>
                <w:bCs w:val="1"/>
                <w:color w:val="auto"/>
              </w:rPr>
              <w:t>Low</w:t>
            </w:r>
          </w:p>
        </w:tc>
        <w:tc>
          <w:tcPr>
            <w:tcW w:w="2040" w:type="dxa"/>
            <w:vAlign w:val="bottom"/>
            <w:gridSpan w:val="2"/>
          </w:tcPr>
          <w:p>
            <w:pPr>
              <w:jc w:val="right"/>
              <w:ind w:right="900"/>
              <w:spacing w:after="0" w:line="176" w:lineRule="exact"/>
              <w:rPr>
                <w:sz w:val="20"/>
                <w:szCs w:val="20"/>
                <w:color w:val="auto"/>
              </w:rPr>
            </w:pPr>
            <w:r>
              <w:rPr>
                <w:rFonts w:ascii="Arial" w:cs="Arial" w:eastAsia="Arial" w:hAnsi="Arial"/>
                <w:sz w:val="12"/>
                <w:szCs w:val="12"/>
                <w:b w:val="1"/>
                <w:bCs w:val="1"/>
                <w:color w:val="auto"/>
              </w:rPr>
              <w:t>Price to NAV</w:t>
            </w:r>
            <w:r>
              <w:rPr>
                <w:rFonts w:ascii="Arial" w:cs="Arial" w:eastAsia="Arial" w:hAnsi="Arial"/>
                <w:sz w:val="20"/>
                <w:szCs w:val="20"/>
                <w:b w:val="1"/>
                <w:bCs w:val="1"/>
                <w:color w:val="auto"/>
                <w:vertAlign w:val="superscript"/>
              </w:rPr>
              <w:t>(2)</w:t>
            </w:r>
          </w:p>
        </w:tc>
        <w:tc>
          <w:tcPr>
            <w:tcW w:w="1720" w:type="dxa"/>
            <w:vAlign w:val="bottom"/>
            <w:gridSpan w:val="2"/>
          </w:tcPr>
          <w:p>
            <w:pPr>
              <w:jc w:val="right"/>
              <w:ind w:right="600"/>
              <w:spacing w:after="0" w:line="176" w:lineRule="exact"/>
              <w:rPr>
                <w:sz w:val="20"/>
                <w:szCs w:val="20"/>
                <w:color w:val="auto"/>
              </w:rPr>
            </w:pPr>
            <w:r>
              <w:rPr>
                <w:rFonts w:ascii="Arial" w:cs="Arial" w:eastAsia="Arial" w:hAnsi="Arial"/>
                <w:sz w:val="12"/>
                <w:szCs w:val="12"/>
                <w:b w:val="1"/>
                <w:bCs w:val="1"/>
                <w:color w:val="auto"/>
              </w:rPr>
              <w:t>Price to NAV</w:t>
            </w:r>
            <w:r>
              <w:rPr>
                <w:rFonts w:ascii="Arial" w:cs="Arial" w:eastAsia="Arial" w:hAnsi="Arial"/>
                <w:sz w:val="20"/>
                <w:szCs w:val="20"/>
                <w:b w:val="1"/>
                <w:bCs w:val="1"/>
                <w:color w:val="auto"/>
                <w:vertAlign w:val="superscript"/>
              </w:rPr>
              <w:t>(2)</w:t>
            </w:r>
          </w:p>
        </w:tc>
        <w:tc>
          <w:tcPr>
            <w:tcW w:w="1180" w:type="dxa"/>
            <w:vAlign w:val="bottom"/>
            <w:gridSpan w:val="2"/>
          </w:tcPr>
          <w:p>
            <w:pPr>
              <w:ind w:left="20"/>
              <w:spacing w:after="0"/>
              <w:rPr>
                <w:sz w:val="20"/>
                <w:szCs w:val="20"/>
                <w:color w:val="auto"/>
              </w:rPr>
            </w:pPr>
            <w:r>
              <w:rPr>
                <w:rFonts w:ascii="Arial" w:cs="Arial" w:eastAsia="Arial" w:hAnsi="Arial"/>
                <w:sz w:val="13"/>
                <w:szCs w:val="13"/>
                <w:b w:val="1"/>
                <w:bCs w:val="1"/>
                <w:color w:val="auto"/>
              </w:rPr>
              <w:t>Declared</w:t>
            </w:r>
          </w:p>
        </w:tc>
        <w:tc>
          <w:tcPr>
            <w:tcW w:w="0" w:type="dxa"/>
            <w:vAlign w:val="bottom"/>
          </w:tcPr>
          <w:p>
            <w:pPr>
              <w:spacing w:after="0"/>
              <w:rPr>
                <w:sz w:val="1"/>
                <w:szCs w:val="1"/>
                <w:color w:val="auto"/>
              </w:rPr>
            </w:pPr>
          </w:p>
        </w:tc>
      </w:tr>
      <w:tr>
        <w:trPr>
          <w:trHeight w:val="48"/>
        </w:trPr>
        <w:tc>
          <w:tcPr>
            <w:tcW w:w="300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136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32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Fiscal Year Ended September 30, 2012</w:t>
            </w: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280" w:type="dxa"/>
            <w:vAlign w:val="bottom"/>
            <w:gridSpan w:val="2"/>
          </w:tcPr>
          <w:p>
            <w:pPr>
              <w:spacing w:after="0"/>
              <w:rPr>
                <w:sz w:val="20"/>
                <w:szCs w:val="20"/>
                <w:color w:val="auto"/>
              </w:rPr>
            </w:pPr>
            <w:r>
              <w:rPr>
                <w:rFonts w:ascii="Arial" w:cs="Arial" w:eastAsia="Arial" w:hAnsi="Arial"/>
                <w:sz w:val="13"/>
                <w:szCs w:val="13"/>
                <w:color w:val="auto"/>
              </w:rPr>
              <w:t>Fourth quarter</w:t>
            </w: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13.98</w:t>
            </w:r>
          </w:p>
        </w:tc>
        <w:tc>
          <w:tcPr>
            <w:tcW w:w="980" w:type="dxa"/>
            <w:vAlign w:val="bottom"/>
            <w:gridSpan w:val="2"/>
          </w:tcPr>
          <w:p>
            <w:pPr>
              <w:jc w:val="right"/>
              <w:ind w:right="640"/>
              <w:spacing w:after="0"/>
              <w:rPr>
                <w:sz w:val="20"/>
                <w:szCs w:val="20"/>
                <w:color w:val="auto"/>
              </w:rPr>
            </w:pPr>
            <w:r>
              <w:rPr>
                <w:rFonts w:ascii="Arial" w:cs="Arial" w:eastAsia="Arial" w:hAnsi="Arial"/>
                <w:sz w:val="13"/>
                <w:szCs w:val="13"/>
                <w:color w:val="auto"/>
                <w:w w:val="98"/>
              </w:rPr>
              <w:t>13.03</w:t>
            </w:r>
          </w:p>
        </w:tc>
        <w:tc>
          <w:tcPr>
            <w:tcW w:w="360" w:type="dxa"/>
            <w:vAlign w:val="bottom"/>
          </w:tcPr>
          <w:p>
            <w:pPr>
              <w:ind w:left="60"/>
              <w:spacing w:after="0"/>
              <w:rPr>
                <w:sz w:val="20"/>
                <w:szCs w:val="20"/>
                <w:color w:val="auto"/>
              </w:rPr>
            </w:pPr>
            <w:r>
              <w:rPr>
                <w:rFonts w:ascii="Arial" w:cs="Arial" w:eastAsia="Arial" w:hAnsi="Arial"/>
                <w:sz w:val="13"/>
                <w:szCs w:val="13"/>
                <w:color w:val="auto"/>
                <w:w w:val="85"/>
              </w:rPr>
              <w:t>10.01</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40" w:type="dxa"/>
            <w:vAlign w:val="bottom"/>
            <w:gridSpan w:val="2"/>
          </w:tcPr>
          <w:p>
            <w:pPr>
              <w:jc w:val="right"/>
              <w:ind w:right="600"/>
              <w:spacing w:after="0"/>
              <w:rPr>
                <w:sz w:val="20"/>
                <w:szCs w:val="20"/>
                <w:color w:val="auto"/>
              </w:rPr>
            </w:pPr>
            <w:r>
              <w:rPr>
                <w:rFonts w:ascii="Arial" w:cs="Arial" w:eastAsia="Arial" w:hAnsi="Arial"/>
                <w:sz w:val="13"/>
                <w:szCs w:val="13"/>
                <w:color w:val="auto"/>
              </w:rPr>
              <w:t>(7)</w:t>
            </w:r>
          </w:p>
        </w:tc>
        <w:tc>
          <w:tcPr>
            <w:tcW w:w="1720" w:type="dxa"/>
            <w:vAlign w:val="bottom"/>
            <w:gridSpan w:val="2"/>
          </w:tcPr>
          <w:p>
            <w:pPr>
              <w:jc w:val="right"/>
              <w:ind w:right="360"/>
              <w:spacing w:after="0"/>
              <w:rPr>
                <w:sz w:val="20"/>
                <w:szCs w:val="20"/>
                <w:color w:val="auto"/>
              </w:rPr>
            </w:pPr>
            <w:r>
              <w:rPr>
                <w:rFonts w:ascii="Arial" w:cs="Arial" w:eastAsia="Arial" w:hAnsi="Arial"/>
                <w:sz w:val="13"/>
                <w:szCs w:val="13"/>
                <w:color w:val="auto"/>
              </w:rPr>
              <w:t>(28)</w:t>
            </w:r>
          </w:p>
        </w:tc>
        <w:tc>
          <w:tcPr>
            <w:tcW w:w="580" w:type="dxa"/>
            <w:vAlign w:val="bottom"/>
          </w:tcPr>
          <w:p>
            <w:pPr>
              <w:jc w:val="right"/>
              <w:spacing w:after="0"/>
              <w:rPr>
                <w:sz w:val="20"/>
                <w:szCs w:val="20"/>
                <w:color w:val="auto"/>
              </w:rPr>
            </w:pPr>
            <w:r>
              <w:rPr>
                <w:rFonts w:ascii="Arial" w:cs="Arial" w:eastAsia="Arial" w:hAnsi="Arial"/>
                <w:sz w:val="13"/>
                <w:szCs w:val="13"/>
                <w:color w:val="auto"/>
              </w:rPr>
              <w:t>0.240</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30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3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Third quarter</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13.94</w:t>
            </w:r>
          </w:p>
        </w:tc>
        <w:tc>
          <w:tcPr>
            <w:tcW w:w="980" w:type="dxa"/>
            <w:vAlign w:val="bottom"/>
            <w:gridSpan w:val="2"/>
            <w:shd w:val="clear" w:color="auto" w:fill="CCEEFF"/>
          </w:tcPr>
          <w:p>
            <w:pPr>
              <w:jc w:val="right"/>
              <w:ind w:right="640"/>
              <w:spacing w:after="0"/>
              <w:rPr>
                <w:sz w:val="20"/>
                <w:szCs w:val="20"/>
                <w:color w:val="auto"/>
              </w:rPr>
            </w:pPr>
            <w:r>
              <w:rPr>
                <w:rFonts w:ascii="Arial" w:cs="Arial" w:eastAsia="Arial" w:hAnsi="Arial"/>
                <w:sz w:val="13"/>
                <w:szCs w:val="13"/>
                <w:color w:val="auto"/>
                <w:w w:val="98"/>
              </w:rPr>
              <w:t>11.93</w:t>
            </w:r>
          </w:p>
        </w:tc>
        <w:tc>
          <w:tcPr>
            <w:tcW w:w="94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11.46</w:t>
            </w:r>
          </w:p>
        </w:tc>
        <w:tc>
          <w:tcPr>
            <w:tcW w:w="32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jc w:val="right"/>
              <w:ind w:right="600"/>
              <w:spacing w:after="0"/>
              <w:rPr>
                <w:sz w:val="20"/>
                <w:szCs w:val="20"/>
                <w:color w:val="auto"/>
              </w:rPr>
            </w:pPr>
            <w:r>
              <w:rPr>
                <w:rFonts w:ascii="Arial" w:cs="Arial" w:eastAsia="Arial" w:hAnsi="Arial"/>
                <w:sz w:val="13"/>
                <w:szCs w:val="13"/>
                <w:color w:val="auto"/>
              </w:rPr>
              <w:t>(14)</w:t>
            </w:r>
          </w:p>
        </w:tc>
        <w:tc>
          <w:tcPr>
            <w:tcW w:w="1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(18)</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0.235</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280" w:type="dxa"/>
            <w:vAlign w:val="bottom"/>
            <w:gridSpan w:val="2"/>
          </w:tcPr>
          <w:p>
            <w:pPr>
              <w:spacing w:after="0"/>
              <w:rPr>
                <w:sz w:val="20"/>
                <w:szCs w:val="20"/>
                <w:color w:val="auto"/>
              </w:rPr>
            </w:pPr>
            <w:r>
              <w:rPr>
                <w:rFonts w:ascii="Arial" w:cs="Arial" w:eastAsia="Arial" w:hAnsi="Arial"/>
                <w:sz w:val="13"/>
                <w:szCs w:val="13"/>
                <w:color w:val="auto"/>
              </w:rPr>
              <w:t>Second quarter</w:t>
            </w: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14.12</w:t>
            </w:r>
          </w:p>
        </w:tc>
        <w:tc>
          <w:tcPr>
            <w:tcW w:w="980" w:type="dxa"/>
            <w:vAlign w:val="bottom"/>
            <w:gridSpan w:val="2"/>
          </w:tcPr>
          <w:p>
            <w:pPr>
              <w:jc w:val="right"/>
              <w:ind w:right="640"/>
              <w:spacing w:after="0"/>
              <w:rPr>
                <w:sz w:val="20"/>
                <w:szCs w:val="20"/>
                <w:color w:val="auto"/>
              </w:rPr>
            </w:pPr>
            <w:r>
              <w:rPr>
                <w:rFonts w:ascii="Arial" w:cs="Arial" w:eastAsia="Arial" w:hAnsi="Arial"/>
                <w:sz w:val="13"/>
                <w:szCs w:val="13"/>
                <w:color w:val="auto"/>
                <w:w w:val="98"/>
              </w:rPr>
              <w:t>12.10</w:t>
            </w:r>
          </w:p>
        </w:tc>
        <w:tc>
          <w:tcPr>
            <w:tcW w:w="360" w:type="dxa"/>
            <w:vAlign w:val="bottom"/>
          </w:tcPr>
          <w:p>
            <w:pPr>
              <w:ind w:left="60"/>
              <w:spacing w:after="0"/>
              <w:rPr>
                <w:sz w:val="20"/>
                <w:szCs w:val="20"/>
                <w:color w:val="auto"/>
              </w:rPr>
            </w:pPr>
            <w:r>
              <w:rPr>
                <w:rFonts w:ascii="Arial" w:cs="Arial" w:eastAsia="Arial" w:hAnsi="Arial"/>
                <w:sz w:val="13"/>
                <w:szCs w:val="13"/>
                <w:color w:val="auto"/>
                <w:w w:val="85"/>
              </w:rPr>
              <w:t>10.52</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40" w:type="dxa"/>
            <w:vAlign w:val="bottom"/>
            <w:gridSpan w:val="2"/>
          </w:tcPr>
          <w:p>
            <w:pPr>
              <w:jc w:val="right"/>
              <w:ind w:right="600"/>
              <w:spacing w:after="0"/>
              <w:rPr>
                <w:sz w:val="20"/>
                <w:szCs w:val="20"/>
                <w:color w:val="auto"/>
              </w:rPr>
            </w:pPr>
            <w:r>
              <w:rPr>
                <w:rFonts w:ascii="Arial" w:cs="Arial" w:eastAsia="Arial" w:hAnsi="Arial"/>
                <w:sz w:val="13"/>
                <w:szCs w:val="13"/>
                <w:color w:val="auto"/>
              </w:rPr>
              <w:t>(14)</w:t>
            </w:r>
          </w:p>
        </w:tc>
        <w:tc>
          <w:tcPr>
            <w:tcW w:w="1720" w:type="dxa"/>
            <w:vAlign w:val="bottom"/>
            <w:gridSpan w:val="2"/>
          </w:tcPr>
          <w:p>
            <w:pPr>
              <w:jc w:val="right"/>
              <w:ind w:right="360"/>
              <w:spacing w:after="0"/>
              <w:rPr>
                <w:sz w:val="20"/>
                <w:szCs w:val="20"/>
                <w:color w:val="auto"/>
              </w:rPr>
            </w:pPr>
            <w:r>
              <w:rPr>
                <w:rFonts w:ascii="Arial" w:cs="Arial" w:eastAsia="Arial" w:hAnsi="Arial"/>
                <w:sz w:val="13"/>
                <w:szCs w:val="13"/>
                <w:color w:val="auto"/>
              </w:rPr>
              <w:t>(25)</w:t>
            </w:r>
          </w:p>
        </w:tc>
        <w:tc>
          <w:tcPr>
            <w:tcW w:w="580" w:type="dxa"/>
            <w:vAlign w:val="bottom"/>
          </w:tcPr>
          <w:p>
            <w:pPr>
              <w:jc w:val="right"/>
              <w:spacing w:after="0"/>
              <w:rPr>
                <w:sz w:val="20"/>
                <w:szCs w:val="20"/>
                <w:color w:val="auto"/>
              </w:rPr>
            </w:pPr>
            <w:r>
              <w:rPr>
                <w:rFonts w:ascii="Arial" w:cs="Arial" w:eastAsia="Arial" w:hAnsi="Arial"/>
                <w:sz w:val="13"/>
                <w:szCs w:val="13"/>
                <w:color w:val="auto"/>
              </w:rPr>
              <w:t>0.225</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30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3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First quarter</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13.68</w:t>
            </w:r>
          </w:p>
        </w:tc>
        <w:tc>
          <w:tcPr>
            <w:tcW w:w="980" w:type="dxa"/>
            <w:vAlign w:val="bottom"/>
            <w:gridSpan w:val="2"/>
            <w:shd w:val="clear" w:color="auto" w:fill="CCEEFF"/>
          </w:tcPr>
          <w:p>
            <w:pPr>
              <w:jc w:val="right"/>
              <w:ind w:right="640"/>
              <w:spacing w:after="0"/>
              <w:rPr>
                <w:sz w:val="20"/>
                <w:szCs w:val="20"/>
                <w:color w:val="auto"/>
              </w:rPr>
            </w:pPr>
            <w:r>
              <w:rPr>
                <w:rFonts w:ascii="Arial" w:cs="Arial" w:eastAsia="Arial" w:hAnsi="Arial"/>
                <w:sz w:val="13"/>
                <w:szCs w:val="13"/>
                <w:color w:val="auto"/>
                <w:w w:val="98"/>
              </w:rPr>
              <w:t>11.03</w:t>
            </w:r>
          </w:p>
        </w:tc>
        <w:tc>
          <w:tcPr>
            <w:tcW w:w="360" w:type="dxa"/>
            <w:vAlign w:val="bottom"/>
            <w:shd w:val="clear" w:color="auto" w:fill="CCEEFF"/>
          </w:tcPr>
          <w:p>
            <w:pPr>
              <w:ind w:left="60"/>
              <w:spacing w:after="0"/>
              <w:rPr>
                <w:sz w:val="20"/>
                <w:szCs w:val="20"/>
                <w:color w:val="auto"/>
              </w:rPr>
            </w:pPr>
            <w:r>
              <w:rPr>
                <w:rFonts w:ascii="Arial" w:cs="Arial" w:eastAsia="Arial" w:hAnsi="Arial"/>
                <w:sz w:val="13"/>
                <w:szCs w:val="13"/>
                <w:color w:val="auto"/>
                <w:w w:val="85"/>
              </w:rPr>
              <w:t>10.01</w:t>
            </w: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jc w:val="right"/>
              <w:ind w:right="600"/>
              <w:spacing w:after="0"/>
              <w:rPr>
                <w:sz w:val="20"/>
                <w:szCs w:val="20"/>
                <w:color w:val="auto"/>
              </w:rPr>
            </w:pPr>
            <w:r>
              <w:rPr>
                <w:rFonts w:ascii="Arial" w:cs="Arial" w:eastAsia="Arial" w:hAnsi="Arial"/>
                <w:sz w:val="13"/>
                <w:szCs w:val="13"/>
                <w:color w:val="auto"/>
              </w:rPr>
              <w:t>(19)</w:t>
            </w:r>
          </w:p>
        </w:tc>
        <w:tc>
          <w:tcPr>
            <w:tcW w:w="1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(27)</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0.210</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280" w:type="dxa"/>
            <w:vAlign w:val="bottom"/>
            <w:gridSpan w:val="2"/>
          </w:tcPr>
          <w:p>
            <w:pPr>
              <w:spacing w:after="0"/>
              <w:rPr>
                <w:sz w:val="20"/>
                <w:szCs w:val="20"/>
                <w:color w:val="auto"/>
              </w:rPr>
            </w:pPr>
            <w:r>
              <w:rPr>
                <w:rFonts w:ascii="Arial" w:cs="Arial" w:eastAsia="Arial" w:hAnsi="Arial"/>
                <w:sz w:val="13"/>
                <w:szCs w:val="13"/>
                <w:b w:val="1"/>
                <w:bCs w:val="1"/>
                <w:color w:val="auto"/>
              </w:rPr>
              <w:t>Fiscal Year Ended September 30, 2011</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30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3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Fourth quarter</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13.44</w:t>
            </w:r>
          </w:p>
        </w:tc>
        <w:tc>
          <w:tcPr>
            <w:tcW w:w="980" w:type="dxa"/>
            <w:vAlign w:val="bottom"/>
            <w:gridSpan w:val="2"/>
            <w:shd w:val="clear" w:color="auto" w:fill="CCEEFF"/>
          </w:tcPr>
          <w:p>
            <w:pPr>
              <w:jc w:val="right"/>
              <w:ind w:right="640"/>
              <w:spacing w:after="0"/>
              <w:rPr>
                <w:sz w:val="20"/>
                <w:szCs w:val="20"/>
                <w:color w:val="auto"/>
              </w:rPr>
            </w:pPr>
            <w:r>
              <w:rPr>
                <w:rFonts w:ascii="Arial" w:cs="Arial" w:eastAsia="Arial" w:hAnsi="Arial"/>
                <w:sz w:val="13"/>
                <w:szCs w:val="13"/>
                <w:color w:val="auto"/>
                <w:w w:val="98"/>
              </w:rPr>
              <w:t>12.85</w:t>
            </w:r>
          </w:p>
        </w:tc>
        <w:tc>
          <w:tcPr>
            <w:tcW w:w="360" w:type="dxa"/>
            <w:vAlign w:val="bottom"/>
            <w:shd w:val="clear" w:color="auto" w:fill="CCEEFF"/>
          </w:tcPr>
          <w:p>
            <w:pPr>
              <w:ind w:left="60"/>
              <w:spacing w:after="0"/>
              <w:rPr>
                <w:sz w:val="20"/>
                <w:szCs w:val="20"/>
                <w:color w:val="auto"/>
              </w:rPr>
            </w:pPr>
            <w:r>
              <w:rPr>
                <w:rFonts w:ascii="Arial" w:cs="Arial" w:eastAsia="Arial" w:hAnsi="Arial"/>
                <w:sz w:val="13"/>
                <w:szCs w:val="13"/>
                <w:color w:val="auto"/>
                <w:w w:val="85"/>
              </w:rPr>
              <w:t>10.34</w:t>
            </w: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jc w:val="right"/>
              <w:ind w:right="600"/>
              <w:spacing w:after="0"/>
              <w:rPr>
                <w:sz w:val="20"/>
                <w:szCs w:val="20"/>
                <w:color w:val="auto"/>
              </w:rPr>
            </w:pPr>
            <w:r>
              <w:rPr>
                <w:rFonts w:ascii="Arial" w:cs="Arial" w:eastAsia="Arial" w:hAnsi="Arial"/>
                <w:sz w:val="13"/>
                <w:szCs w:val="13"/>
                <w:color w:val="auto"/>
              </w:rPr>
              <w:t>(4)</w:t>
            </w:r>
          </w:p>
        </w:tc>
        <w:tc>
          <w:tcPr>
            <w:tcW w:w="1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(23)</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0.200</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31"/>
        </w:trPr>
        <w:tc>
          <w:tcPr>
            <w:tcW w:w="3280" w:type="dxa"/>
            <w:vAlign w:val="bottom"/>
            <w:gridSpan w:val="2"/>
          </w:tcPr>
          <w:p>
            <w:pPr>
              <w:spacing w:after="0"/>
              <w:rPr>
                <w:sz w:val="20"/>
                <w:szCs w:val="20"/>
                <w:color w:val="auto"/>
              </w:rPr>
            </w:pPr>
            <w:r>
              <w:rPr>
                <w:rFonts w:ascii="Arial" w:cs="Arial" w:eastAsia="Arial" w:hAnsi="Arial"/>
                <w:sz w:val="13"/>
                <w:szCs w:val="13"/>
                <w:color w:val="auto"/>
              </w:rPr>
              <w:t xml:space="preserve">Third quarter </w:t>
            </w:r>
            <w:r>
              <w:rPr>
                <w:rFonts w:ascii="Arial" w:cs="Arial" w:eastAsia="Arial" w:hAnsi="Arial"/>
                <w:sz w:val="22"/>
                <w:szCs w:val="22"/>
                <w:color w:val="auto"/>
                <w:vertAlign w:val="superscript"/>
              </w:rPr>
              <w:t>(3)</w:t>
            </w: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14.06</w:t>
            </w:r>
          </w:p>
        </w:tc>
        <w:tc>
          <w:tcPr>
            <w:tcW w:w="980" w:type="dxa"/>
            <w:vAlign w:val="bottom"/>
            <w:gridSpan w:val="2"/>
          </w:tcPr>
          <w:p>
            <w:pPr>
              <w:jc w:val="right"/>
              <w:ind w:right="640"/>
              <w:spacing w:after="0"/>
              <w:rPr>
                <w:sz w:val="20"/>
                <w:szCs w:val="20"/>
                <w:color w:val="auto"/>
              </w:rPr>
            </w:pPr>
            <w:r>
              <w:rPr>
                <w:rFonts w:ascii="Arial" w:cs="Arial" w:eastAsia="Arial" w:hAnsi="Arial"/>
                <w:sz w:val="13"/>
                <w:szCs w:val="13"/>
                <w:color w:val="auto"/>
                <w:w w:val="98"/>
              </w:rPr>
              <w:t>13.70</w:t>
            </w:r>
          </w:p>
        </w:tc>
        <w:tc>
          <w:tcPr>
            <w:tcW w:w="360" w:type="dxa"/>
            <w:vAlign w:val="bottom"/>
          </w:tcPr>
          <w:p>
            <w:pPr>
              <w:ind w:left="60"/>
              <w:spacing w:after="0"/>
              <w:rPr>
                <w:sz w:val="20"/>
                <w:szCs w:val="20"/>
                <w:color w:val="auto"/>
              </w:rPr>
            </w:pPr>
            <w:r>
              <w:rPr>
                <w:rFonts w:ascii="Arial" w:cs="Arial" w:eastAsia="Arial" w:hAnsi="Arial"/>
                <w:sz w:val="13"/>
                <w:szCs w:val="13"/>
                <w:color w:val="auto"/>
                <w:w w:val="85"/>
              </w:rPr>
              <w:t>12.27</w:t>
            </w: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40" w:type="dxa"/>
            <w:vAlign w:val="bottom"/>
            <w:gridSpan w:val="2"/>
          </w:tcPr>
          <w:p>
            <w:pPr>
              <w:jc w:val="right"/>
              <w:ind w:right="600"/>
              <w:spacing w:after="0"/>
              <w:rPr>
                <w:sz w:val="20"/>
                <w:szCs w:val="20"/>
                <w:color w:val="auto"/>
              </w:rPr>
            </w:pPr>
            <w:r>
              <w:rPr>
                <w:rFonts w:ascii="Arial" w:cs="Arial" w:eastAsia="Arial" w:hAnsi="Arial"/>
                <w:sz w:val="13"/>
                <w:szCs w:val="13"/>
                <w:color w:val="auto"/>
              </w:rPr>
              <w:t>(3)</w:t>
            </w:r>
          </w:p>
        </w:tc>
        <w:tc>
          <w:tcPr>
            <w:tcW w:w="1720" w:type="dxa"/>
            <w:vAlign w:val="bottom"/>
            <w:gridSpan w:val="2"/>
          </w:tcPr>
          <w:p>
            <w:pPr>
              <w:jc w:val="right"/>
              <w:ind w:right="360"/>
              <w:spacing w:after="0"/>
              <w:rPr>
                <w:sz w:val="20"/>
                <w:szCs w:val="20"/>
                <w:color w:val="auto"/>
              </w:rPr>
            </w:pPr>
            <w:r>
              <w:rPr>
                <w:rFonts w:ascii="Arial" w:cs="Arial" w:eastAsia="Arial" w:hAnsi="Arial"/>
                <w:sz w:val="13"/>
                <w:szCs w:val="13"/>
                <w:color w:val="auto"/>
              </w:rPr>
              <w:t>(13)</w:t>
            </w:r>
          </w:p>
        </w:tc>
        <w:tc>
          <w:tcPr>
            <w:tcW w:w="580" w:type="dxa"/>
            <w:vAlign w:val="bottom"/>
          </w:tcPr>
          <w:p>
            <w:pPr>
              <w:jc w:val="right"/>
              <w:spacing w:after="0"/>
              <w:rPr>
                <w:sz w:val="20"/>
                <w:szCs w:val="20"/>
                <w:color w:val="auto"/>
              </w:rPr>
            </w:pPr>
            <w:r>
              <w:rPr>
                <w:rFonts w:ascii="Arial" w:cs="Arial" w:eastAsia="Arial" w:hAnsi="Arial"/>
                <w:sz w:val="13"/>
                <w:szCs w:val="13"/>
                <w:color w:val="auto"/>
              </w:rPr>
              <w:t>0.050</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460" w:right="340" w:hanging="452"/>
        <w:spacing w:after="0" w:line="248" w:lineRule="auto"/>
        <w:tabs>
          <w:tab w:leader="none" w:pos="460" w:val="left"/>
        </w:tabs>
        <w:numPr>
          <w:ilvl w:val="0"/>
          <w:numId w:val="32"/>
        </w:numPr>
        <w:rPr>
          <w:rFonts w:ascii="Arial" w:cs="Arial" w:eastAsia="Arial" w:hAnsi="Arial"/>
          <w:sz w:val="13"/>
          <w:szCs w:val="13"/>
          <w:color w:val="auto"/>
        </w:rPr>
      </w:pPr>
      <w:r>
        <w:rPr>
          <w:rFonts w:ascii="Arial" w:cs="Arial" w:eastAsia="Arial" w:hAnsi="Arial"/>
          <w:sz w:val="13"/>
          <w:szCs w:val="13"/>
          <w:color w:val="auto"/>
        </w:rPr>
        <w:t>NAV per share is determined as of the last day in the relevant quarter and therefore may not reflect the NAV per share on the date of the high and low sales prices. The NAVs shown are based on outstanding shares at the end of each period.</w:t>
      </w:r>
    </w:p>
    <w:p>
      <w:pPr>
        <w:ind w:left="460" w:hanging="452"/>
        <w:spacing w:after="0"/>
        <w:tabs>
          <w:tab w:leader="none" w:pos="460" w:val="left"/>
        </w:tabs>
        <w:numPr>
          <w:ilvl w:val="0"/>
          <w:numId w:val="32"/>
        </w:numPr>
        <w:rPr>
          <w:rFonts w:ascii="Arial" w:cs="Arial" w:eastAsia="Arial" w:hAnsi="Arial"/>
          <w:sz w:val="13"/>
          <w:szCs w:val="13"/>
          <w:color w:val="auto"/>
        </w:rPr>
      </w:pPr>
      <w:r>
        <w:rPr>
          <w:rFonts w:ascii="Arial" w:cs="Arial" w:eastAsia="Arial" w:hAnsi="Arial"/>
          <w:sz w:val="13"/>
          <w:szCs w:val="13"/>
          <w:color w:val="auto"/>
        </w:rPr>
        <w:t>Calculated as the discount (difference between NAV and relevant closing price) to the high or low closing sales price divided by the quarter end NAV.</w:t>
      </w:r>
    </w:p>
    <w:p>
      <w:pPr>
        <w:ind w:left="460" w:hanging="452"/>
        <w:spacing w:after="0"/>
        <w:tabs>
          <w:tab w:leader="none" w:pos="460" w:val="left"/>
        </w:tabs>
        <w:numPr>
          <w:ilvl w:val="0"/>
          <w:numId w:val="32"/>
        </w:numPr>
        <w:rPr>
          <w:rFonts w:ascii="Arial" w:cs="Arial" w:eastAsia="Arial" w:hAnsi="Arial"/>
          <w:sz w:val="13"/>
          <w:szCs w:val="13"/>
          <w:color w:val="auto"/>
        </w:rPr>
      </w:pPr>
      <w:r>
        <w:rPr>
          <w:rFonts w:ascii="Arial" w:cs="Arial" w:eastAsia="Arial" w:hAnsi="Arial"/>
          <w:sz w:val="13"/>
          <w:szCs w:val="13"/>
          <w:color w:val="auto"/>
        </w:rPr>
        <w:t>From April 8, 2011 (commencement of trading) to June 30, 2011.</w:t>
      </w:r>
    </w:p>
    <w:p>
      <w:pPr>
        <w:spacing w:after="0" w:line="122" w:lineRule="exact"/>
        <w:rPr>
          <w:sz w:val="20"/>
          <w:szCs w:val="20"/>
          <w:color w:val="auto"/>
        </w:rPr>
      </w:pPr>
    </w:p>
    <w:p>
      <w:pPr>
        <w:ind w:right="40" w:firstLine="562"/>
        <w:spacing w:after="0" w:line="250" w:lineRule="auto"/>
        <w:rPr>
          <w:sz w:val="20"/>
          <w:szCs w:val="20"/>
          <w:color w:val="auto"/>
        </w:rPr>
      </w:pPr>
      <w:r>
        <w:rPr>
          <w:rFonts w:ascii="Arial" w:cs="Arial" w:eastAsia="Arial" w:hAnsi="Arial"/>
          <w:sz w:val="13"/>
          <w:szCs w:val="13"/>
          <w:color w:val="auto"/>
        </w:rPr>
        <w:t>Shares of BDCs may trade at a market price that is less than the NAV that is attributable to those shares. Our shares have traded and may continue to trade below our NAV. Our shares traded on the NASDAQ Global Select Market at $12.67 and $10.55 and our NAV was $13.98 and $13.44, as of September 30, 2012 and 2011, respectively. The possibility that our shares of common stock will trade at a discount from net asset value or at a premium that is unsustainable over the long term is separate and distinct from the risk that our net asset value will decrease. It is not possible to predict whether our shares will trade at, above or below net asset value in the future. As of November 13, 2012 we had three stockholders of record.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ectPr>
          <w:pgSz w:w="11900" w:h="16838" w:orient="portrait"/>
          <w:cols w:equalWidth="0" w:num="1">
            <w:col w:w="11240"/>
          </w:cols>
          <w:pgMar w:left="320" w:top="459"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DISTRIBUTIONS</w:t>
      </w:r>
    </w:p>
    <w:p>
      <w:pPr>
        <w:spacing w:after="0" w:line="136" w:lineRule="exact"/>
        <w:rPr>
          <w:sz w:val="20"/>
          <w:szCs w:val="20"/>
          <w:color w:val="auto"/>
        </w:rPr>
      </w:pPr>
    </w:p>
    <w:p>
      <w:pPr>
        <w:ind w:right="40" w:firstLine="562"/>
        <w:spacing w:after="0" w:line="278" w:lineRule="auto"/>
        <w:rPr>
          <w:sz w:val="20"/>
          <w:szCs w:val="20"/>
          <w:color w:val="auto"/>
        </w:rPr>
      </w:pPr>
      <w:r>
        <w:rPr>
          <w:rFonts w:ascii="Arial" w:cs="Arial" w:eastAsia="Arial" w:hAnsi="Arial"/>
          <w:sz w:val="12"/>
          <w:szCs w:val="12"/>
          <w:color w:val="auto"/>
        </w:rPr>
        <w:t>We intend to continue making monthly distributions to our stockholders. The timing and amount of our monthly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The following table reflects the cash distributions, including dividends and returns of capital per share that we have declared on our common stock since our inception.</w:t>
      </w:r>
    </w:p>
    <w:p>
      <w:pPr>
        <w:spacing w:after="0" w:line="154" w:lineRule="exact"/>
        <w:rPr>
          <w:sz w:val="20"/>
          <w:szCs w:val="20"/>
          <w:color w:val="auto"/>
        </w:rPr>
      </w:pPr>
    </w:p>
    <w:tbl>
      <w:tblPr>
        <w:tblLayout w:type="fixed"/>
        <w:tblInd w:w="580" w:type="dxa"/>
        <w:tblCellMar>
          <w:top w:w="0" w:type="dxa"/>
          <w:left w:w="0" w:type="dxa"/>
          <w:bottom w:w="0" w:type="dxa"/>
          <w:right w:w="0" w:type="dxa"/>
        </w:tblCellMar>
      </w:tblPr>
      <w:tr>
        <w:trPr>
          <w:trHeight w:val="149"/>
        </w:trPr>
        <w:tc>
          <w:tcPr>
            <w:tcW w:w="820" w:type="dxa"/>
            <w:vAlign w:val="bottom"/>
            <w:vMerge w:val="restart"/>
          </w:tcPr>
          <w:p>
            <w:pPr>
              <w:spacing w:after="0"/>
              <w:rPr>
                <w:sz w:val="20"/>
                <w:szCs w:val="20"/>
                <w:color w:val="auto"/>
              </w:rPr>
            </w:pPr>
            <w:r>
              <w:rPr>
                <w:rFonts w:ascii="Arial" w:cs="Arial" w:eastAsia="Arial" w:hAnsi="Arial"/>
                <w:sz w:val="13"/>
                <w:szCs w:val="13"/>
                <w:b w:val="1"/>
                <w:bCs w:val="1"/>
                <w:color w:val="auto"/>
                <w:w w:val="95"/>
              </w:rPr>
              <w:t>Record Dates</w:t>
            </w:r>
          </w:p>
        </w:tc>
        <w:tc>
          <w:tcPr>
            <w:tcW w:w="6320" w:type="dxa"/>
            <w:vAlign w:val="bottom"/>
            <w:vMerge w:val="restart"/>
          </w:tcPr>
          <w:p>
            <w:pPr>
              <w:spacing w:after="0"/>
              <w:rPr>
                <w:sz w:val="13"/>
                <w:szCs w:val="13"/>
                <w:color w:val="auto"/>
              </w:rPr>
            </w:pPr>
          </w:p>
        </w:tc>
        <w:tc>
          <w:tcPr>
            <w:tcW w:w="920" w:type="dxa"/>
            <w:vAlign w:val="bottom"/>
            <w:vMerge w:val="restart"/>
          </w:tcPr>
          <w:p>
            <w:pPr>
              <w:ind w:left="20"/>
              <w:spacing w:after="0"/>
              <w:rPr>
                <w:sz w:val="20"/>
                <w:szCs w:val="20"/>
                <w:color w:val="auto"/>
              </w:rPr>
            </w:pPr>
            <w:r>
              <w:rPr>
                <w:rFonts w:ascii="Arial" w:cs="Arial" w:eastAsia="Arial" w:hAnsi="Arial"/>
                <w:sz w:val="13"/>
                <w:szCs w:val="13"/>
                <w:b w:val="1"/>
                <w:bCs w:val="1"/>
                <w:color w:val="auto"/>
                <w:w w:val="94"/>
              </w:rPr>
              <w:t>Payment Dates</w:t>
            </w:r>
          </w:p>
        </w:tc>
        <w:tc>
          <w:tcPr>
            <w:tcW w:w="10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3"/>
              </w:rPr>
              <w:t>Dividends</w:t>
            </w:r>
          </w:p>
        </w:tc>
        <w:tc>
          <w:tcPr>
            <w:tcW w:w="0" w:type="dxa"/>
            <w:vAlign w:val="bottom"/>
          </w:tcPr>
          <w:p>
            <w:pPr>
              <w:spacing w:after="0"/>
              <w:rPr>
                <w:sz w:val="1"/>
                <w:szCs w:val="1"/>
                <w:color w:val="auto"/>
              </w:rPr>
            </w:pPr>
          </w:p>
        </w:tc>
      </w:tr>
      <w:tr>
        <w:trPr>
          <w:trHeight w:val="168"/>
        </w:trPr>
        <w:tc>
          <w:tcPr>
            <w:tcW w:w="820" w:type="dxa"/>
            <w:vAlign w:val="bottom"/>
            <w:tcBorders>
              <w:bottom w:val="single" w:sz="8" w:color="auto"/>
            </w:tcBorders>
            <w:vMerge w:val="continue"/>
          </w:tcPr>
          <w:p>
            <w:pPr>
              <w:spacing w:after="0"/>
              <w:rPr>
                <w:sz w:val="14"/>
                <w:szCs w:val="14"/>
                <w:color w:val="auto"/>
              </w:rPr>
            </w:pPr>
          </w:p>
        </w:tc>
        <w:tc>
          <w:tcPr>
            <w:tcW w:w="6320" w:type="dxa"/>
            <w:vAlign w:val="bottom"/>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00"/>
              <w:spacing w:after="0" w:line="148" w:lineRule="exact"/>
              <w:rPr>
                <w:sz w:val="20"/>
                <w:szCs w:val="20"/>
                <w:color w:val="auto"/>
              </w:rPr>
            </w:pPr>
            <w:r>
              <w:rPr>
                <w:rFonts w:ascii="Arial" w:cs="Arial" w:eastAsia="Arial" w:hAnsi="Arial"/>
                <w:sz w:val="13"/>
                <w:szCs w:val="13"/>
                <w:b w:val="1"/>
                <w:bCs w:val="1"/>
                <w:color w:val="auto"/>
                <w:w w:val="94"/>
              </w:rPr>
              <w:t>Declared</w:t>
            </w:r>
          </w:p>
        </w:tc>
        <w:tc>
          <w:tcPr>
            <w:tcW w:w="0" w:type="dxa"/>
            <w:vAlign w:val="bottom"/>
          </w:tcPr>
          <w:p>
            <w:pPr>
              <w:spacing w:after="0"/>
              <w:rPr>
                <w:sz w:val="1"/>
                <w:szCs w:val="1"/>
                <w:color w:val="auto"/>
              </w:rPr>
            </w:pPr>
          </w:p>
        </w:tc>
      </w:tr>
      <w:tr>
        <w:trPr>
          <w:trHeight w:val="122"/>
        </w:trPr>
        <w:tc>
          <w:tcPr>
            <w:tcW w:w="714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3"/>
                <w:szCs w:val="13"/>
                <w:b w:val="1"/>
                <w:bCs w:val="1"/>
                <w:color w:val="auto"/>
              </w:rPr>
              <w:t>Fiscal year ending September 30, 2013</w:t>
            </w:r>
          </w:p>
        </w:tc>
        <w:tc>
          <w:tcPr>
            <w:tcW w:w="92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140" w:type="dxa"/>
            <w:vAlign w:val="bottom"/>
            <w:gridSpan w:val="2"/>
          </w:tcPr>
          <w:p>
            <w:pPr>
              <w:ind w:left="560"/>
              <w:spacing w:after="0"/>
              <w:rPr>
                <w:sz w:val="20"/>
                <w:szCs w:val="20"/>
                <w:color w:val="auto"/>
              </w:rPr>
            </w:pPr>
            <w:r>
              <w:rPr>
                <w:rFonts w:ascii="Arial" w:cs="Arial" w:eastAsia="Arial" w:hAnsi="Arial"/>
                <w:sz w:val="13"/>
                <w:szCs w:val="13"/>
                <w:color w:val="auto"/>
              </w:rPr>
              <w:t>December 21, 2012</w:t>
            </w:r>
          </w:p>
        </w:tc>
        <w:tc>
          <w:tcPr>
            <w:tcW w:w="1920" w:type="dxa"/>
            <w:vAlign w:val="bottom"/>
            <w:gridSpan w:val="2"/>
          </w:tcPr>
          <w:p>
            <w:pPr>
              <w:ind w:left="20"/>
              <w:spacing w:after="0"/>
              <w:rPr>
                <w:sz w:val="20"/>
                <w:szCs w:val="20"/>
                <w:color w:val="auto"/>
              </w:rPr>
            </w:pPr>
            <w:r>
              <w:rPr>
                <w:rFonts w:ascii="Arial" w:cs="Arial" w:eastAsia="Arial" w:hAnsi="Arial"/>
                <w:sz w:val="13"/>
                <w:szCs w:val="13"/>
                <w:color w:val="auto"/>
              </w:rPr>
              <w:t>January 2, 2013</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0.0825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4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November 20, 2012</w:t>
            </w: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December 3, 2012</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0.0825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140" w:type="dxa"/>
            <w:vAlign w:val="bottom"/>
            <w:gridSpan w:val="2"/>
          </w:tcPr>
          <w:p>
            <w:pPr>
              <w:ind w:left="560"/>
              <w:spacing w:after="0"/>
              <w:rPr>
                <w:sz w:val="20"/>
                <w:szCs w:val="20"/>
                <w:color w:val="auto"/>
              </w:rPr>
            </w:pPr>
            <w:r>
              <w:rPr>
                <w:rFonts w:ascii="Arial" w:cs="Arial" w:eastAsia="Arial" w:hAnsi="Arial"/>
                <w:sz w:val="13"/>
                <w:szCs w:val="13"/>
                <w:color w:val="auto"/>
              </w:rPr>
              <w:t>October 19, 2012</w:t>
            </w:r>
          </w:p>
        </w:tc>
        <w:tc>
          <w:tcPr>
            <w:tcW w:w="1920" w:type="dxa"/>
            <w:vAlign w:val="bottom"/>
            <w:gridSpan w:val="2"/>
          </w:tcPr>
          <w:p>
            <w:pPr>
              <w:ind w:left="20"/>
              <w:spacing w:after="0"/>
              <w:rPr>
                <w:sz w:val="20"/>
                <w:szCs w:val="20"/>
                <w:color w:val="auto"/>
              </w:rPr>
            </w:pPr>
            <w:r>
              <w:rPr>
                <w:rFonts w:ascii="Arial" w:cs="Arial" w:eastAsia="Arial" w:hAnsi="Arial"/>
                <w:sz w:val="13"/>
                <w:szCs w:val="13"/>
                <w:color w:val="auto"/>
              </w:rPr>
              <w:t>November 1, 2012</w:t>
            </w: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0.0825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20" w:type="dxa"/>
            <w:vAlign w:val="bottom"/>
            <w:shd w:val="clear" w:color="auto" w:fill="CCEEFF"/>
          </w:tcPr>
          <w:p>
            <w:pPr>
              <w:spacing w:after="0"/>
              <w:rPr>
                <w:sz w:val="12"/>
                <w:szCs w:val="12"/>
                <w:color w:val="auto"/>
              </w:rPr>
            </w:pPr>
          </w:p>
        </w:tc>
        <w:tc>
          <w:tcPr>
            <w:tcW w:w="63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0.2475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40" w:type="dxa"/>
            <w:vAlign w:val="bottom"/>
            <w:gridSpan w:val="2"/>
          </w:tcPr>
          <w:p>
            <w:pPr>
              <w:spacing w:after="0"/>
              <w:rPr>
                <w:sz w:val="20"/>
                <w:szCs w:val="20"/>
                <w:color w:val="auto"/>
              </w:rPr>
            </w:pPr>
            <w:r>
              <w:rPr>
                <w:rFonts w:ascii="Arial" w:cs="Arial" w:eastAsia="Arial" w:hAnsi="Arial"/>
                <w:sz w:val="13"/>
                <w:szCs w:val="13"/>
                <w:b w:val="1"/>
                <w:bCs w:val="1"/>
                <w:color w:val="auto"/>
              </w:rPr>
              <w:t>Fiscal year ended September 30, 2012</w:t>
            </w: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4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September 20, 2012</w:t>
            </w: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October 1, 2012</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0.0800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40" w:type="dxa"/>
            <w:vAlign w:val="bottom"/>
            <w:gridSpan w:val="2"/>
          </w:tcPr>
          <w:p>
            <w:pPr>
              <w:ind w:left="560"/>
              <w:spacing w:after="0"/>
              <w:rPr>
                <w:sz w:val="20"/>
                <w:szCs w:val="20"/>
                <w:color w:val="auto"/>
              </w:rPr>
            </w:pPr>
            <w:r>
              <w:rPr>
                <w:rFonts w:ascii="Arial" w:cs="Arial" w:eastAsia="Arial" w:hAnsi="Arial"/>
                <w:sz w:val="13"/>
                <w:szCs w:val="13"/>
                <w:color w:val="auto"/>
              </w:rPr>
              <w:t>August 20, 2012</w:t>
            </w:r>
          </w:p>
        </w:tc>
        <w:tc>
          <w:tcPr>
            <w:tcW w:w="1920" w:type="dxa"/>
            <w:vAlign w:val="bottom"/>
            <w:gridSpan w:val="2"/>
          </w:tcPr>
          <w:p>
            <w:pPr>
              <w:ind w:left="20"/>
              <w:spacing w:after="0"/>
              <w:rPr>
                <w:sz w:val="20"/>
                <w:szCs w:val="20"/>
                <w:color w:val="auto"/>
              </w:rPr>
            </w:pPr>
            <w:r>
              <w:rPr>
                <w:rFonts w:ascii="Arial" w:cs="Arial" w:eastAsia="Arial" w:hAnsi="Arial"/>
                <w:sz w:val="13"/>
                <w:szCs w:val="13"/>
                <w:color w:val="auto"/>
              </w:rPr>
              <w:t>September 4, 2012</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0.0800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4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July 20, 2012</w:t>
            </w: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August 1, 2012</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0.0800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40" w:type="dxa"/>
            <w:vAlign w:val="bottom"/>
            <w:gridSpan w:val="2"/>
          </w:tcPr>
          <w:p>
            <w:pPr>
              <w:ind w:left="560"/>
              <w:spacing w:after="0"/>
              <w:rPr>
                <w:sz w:val="20"/>
                <w:szCs w:val="20"/>
                <w:color w:val="auto"/>
              </w:rPr>
            </w:pPr>
            <w:r>
              <w:rPr>
                <w:rFonts w:ascii="Arial" w:cs="Arial" w:eastAsia="Arial" w:hAnsi="Arial"/>
                <w:sz w:val="13"/>
                <w:szCs w:val="13"/>
                <w:color w:val="auto"/>
              </w:rPr>
              <w:t>June 21, 2012</w:t>
            </w:r>
          </w:p>
        </w:tc>
        <w:tc>
          <w:tcPr>
            <w:tcW w:w="1920" w:type="dxa"/>
            <w:vAlign w:val="bottom"/>
            <w:gridSpan w:val="2"/>
          </w:tcPr>
          <w:p>
            <w:pPr>
              <w:ind w:left="20"/>
              <w:spacing w:after="0"/>
              <w:rPr>
                <w:sz w:val="20"/>
                <w:szCs w:val="20"/>
                <w:color w:val="auto"/>
              </w:rPr>
            </w:pPr>
            <w:r>
              <w:rPr>
                <w:rFonts w:ascii="Arial" w:cs="Arial" w:eastAsia="Arial" w:hAnsi="Arial"/>
                <w:sz w:val="13"/>
                <w:szCs w:val="13"/>
                <w:color w:val="auto"/>
              </w:rPr>
              <w:t>July 2, 2012</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0.0800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4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May 22, 2012</w:t>
            </w: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June 1, 2012</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0.0800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40" w:type="dxa"/>
            <w:vAlign w:val="bottom"/>
            <w:gridSpan w:val="2"/>
          </w:tcPr>
          <w:p>
            <w:pPr>
              <w:ind w:left="560"/>
              <w:spacing w:after="0"/>
              <w:rPr>
                <w:sz w:val="20"/>
                <w:szCs w:val="20"/>
                <w:color w:val="auto"/>
              </w:rPr>
            </w:pPr>
            <w:r>
              <w:rPr>
                <w:rFonts w:ascii="Arial" w:cs="Arial" w:eastAsia="Arial" w:hAnsi="Arial"/>
                <w:sz w:val="13"/>
                <w:szCs w:val="13"/>
                <w:color w:val="auto"/>
              </w:rPr>
              <w:t>April 20, 2012</w:t>
            </w:r>
          </w:p>
        </w:tc>
        <w:tc>
          <w:tcPr>
            <w:tcW w:w="1920" w:type="dxa"/>
            <w:vAlign w:val="bottom"/>
            <w:gridSpan w:val="2"/>
          </w:tcPr>
          <w:p>
            <w:pPr>
              <w:ind w:left="20"/>
              <w:spacing w:after="0"/>
              <w:rPr>
                <w:sz w:val="20"/>
                <w:szCs w:val="20"/>
                <w:color w:val="auto"/>
              </w:rPr>
            </w:pPr>
            <w:r>
              <w:rPr>
                <w:rFonts w:ascii="Arial" w:cs="Arial" w:eastAsia="Arial" w:hAnsi="Arial"/>
                <w:sz w:val="13"/>
                <w:szCs w:val="13"/>
                <w:color w:val="auto"/>
              </w:rPr>
              <w:t>May 1, 2012</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0.0750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4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March 22, 2012</w:t>
            </w: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April 2, 2012</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0.0750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40" w:type="dxa"/>
            <w:vAlign w:val="bottom"/>
            <w:gridSpan w:val="2"/>
          </w:tcPr>
          <w:p>
            <w:pPr>
              <w:ind w:left="560"/>
              <w:spacing w:after="0"/>
              <w:rPr>
                <w:sz w:val="20"/>
                <w:szCs w:val="20"/>
                <w:color w:val="auto"/>
              </w:rPr>
            </w:pPr>
            <w:r>
              <w:rPr>
                <w:rFonts w:ascii="Arial" w:cs="Arial" w:eastAsia="Arial" w:hAnsi="Arial"/>
                <w:sz w:val="13"/>
                <w:szCs w:val="13"/>
                <w:color w:val="auto"/>
              </w:rPr>
              <w:t>February 20, 2012</w:t>
            </w:r>
          </w:p>
        </w:tc>
        <w:tc>
          <w:tcPr>
            <w:tcW w:w="1920" w:type="dxa"/>
            <w:vAlign w:val="bottom"/>
            <w:gridSpan w:val="2"/>
          </w:tcPr>
          <w:p>
            <w:pPr>
              <w:ind w:left="20"/>
              <w:spacing w:after="0"/>
              <w:rPr>
                <w:sz w:val="20"/>
                <w:szCs w:val="20"/>
                <w:color w:val="auto"/>
              </w:rPr>
            </w:pPr>
            <w:r>
              <w:rPr>
                <w:rFonts w:ascii="Arial" w:cs="Arial" w:eastAsia="Arial" w:hAnsi="Arial"/>
                <w:sz w:val="13"/>
                <w:szCs w:val="13"/>
                <w:color w:val="auto"/>
              </w:rPr>
              <w:t>March 1, 2012</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0.0750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4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January 20, 2012</w:t>
            </w: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February 1, 2012</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0.0750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40" w:type="dxa"/>
            <w:vAlign w:val="bottom"/>
            <w:gridSpan w:val="2"/>
          </w:tcPr>
          <w:p>
            <w:pPr>
              <w:ind w:left="560"/>
              <w:spacing w:after="0"/>
              <w:rPr>
                <w:sz w:val="20"/>
                <w:szCs w:val="20"/>
                <w:color w:val="auto"/>
              </w:rPr>
            </w:pPr>
            <w:r>
              <w:rPr>
                <w:rFonts w:ascii="Arial" w:cs="Arial" w:eastAsia="Arial" w:hAnsi="Arial"/>
                <w:sz w:val="13"/>
                <w:szCs w:val="13"/>
                <w:color w:val="auto"/>
              </w:rPr>
              <w:t>December 23, 2011</w:t>
            </w:r>
          </w:p>
        </w:tc>
        <w:tc>
          <w:tcPr>
            <w:tcW w:w="1920" w:type="dxa"/>
            <w:vAlign w:val="bottom"/>
            <w:gridSpan w:val="2"/>
          </w:tcPr>
          <w:p>
            <w:pPr>
              <w:ind w:left="20"/>
              <w:spacing w:after="0"/>
              <w:rPr>
                <w:sz w:val="20"/>
                <w:szCs w:val="20"/>
                <w:color w:val="auto"/>
              </w:rPr>
            </w:pPr>
            <w:r>
              <w:rPr>
                <w:rFonts w:ascii="Arial" w:cs="Arial" w:eastAsia="Arial" w:hAnsi="Arial"/>
                <w:sz w:val="13"/>
                <w:szCs w:val="13"/>
                <w:color w:val="auto"/>
              </w:rPr>
              <w:t>January 3, 2012</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0.0700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4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November 21, 2011</w:t>
            </w: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December 1, 2011</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0.0700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140" w:type="dxa"/>
            <w:vAlign w:val="bottom"/>
            <w:gridSpan w:val="2"/>
          </w:tcPr>
          <w:p>
            <w:pPr>
              <w:ind w:left="560"/>
              <w:spacing w:after="0"/>
              <w:rPr>
                <w:sz w:val="20"/>
                <w:szCs w:val="20"/>
                <w:color w:val="auto"/>
              </w:rPr>
            </w:pPr>
            <w:r>
              <w:rPr>
                <w:rFonts w:ascii="Arial" w:cs="Arial" w:eastAsia="Arial" w:hAnsi="Arial"/>
                <w:sz w:val="13"/>
                <w:szCs w:val="13"/>
                <w:color w:val="auto"/>
              </w:rPr>
              <w:t>October 21, 2011</w:t>
            </w:r>
          </w:p>
        </w:tc>
        <w:tc>
          <w:tcPr>
            <w:tcW w:w="1920" w:type="dxa"/>
            <w:vAlign w:val="bottom"/>
            <w:gridSpan w:val="2"/>
          </w:tcPr>
          <w:p>
            <w:pPr>
              <w:ind w:left="20"/>
              <w:spacing w:after="0"/>
              <w:rPr>
                <w:sz w:val="20"/>
                <w:szCs w:val="20"/>
                <w:color w:val="auto"/>
              </w:rPr>
            </w:pPr>
            <w:r>
              <w:rPr>
                <w:rFonts w:ascii="Arial" w:cs="Arial" w:eastAsia="Arial" w:hAnsi="Arial"/>
                <w:sz w:val="13"/>
                <w:szCs w:val="13"/>
                <w:color w:val="auto"/>
              </w:rPr>
              <w:t>November 1, 2011</w:t>
            </w: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0.0700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140" w:type="dxa"/>
            <w:vAlign w:val="bottom"/>
            <w:gridSpan w:val="2"/>
            <w:shd w:val="clear" w:color="auto" w:fill="CCEEFF"/>
          </w:tcPr>
          <w:p>
            <w:pPr>
              <w:ind w:left="560"/>
              <w:spacing w:after="0"/>
              <w:rPr>
                <w:sz w:val="20"/>
                <w:szCs w:val="20"/>
                <w:color w:val="auto"/>
              </w:rPr>
            </w:pPr>
            <w:r>
              <w:rPr>
                <w:rFonts w:ascii="Arial" w:cs="Arial" w:eastAsia="Arial" w:hAnsi="Arial"/>
                <w:sz w:val="13"/>
                <w:szCs w:val="13"/>
                <w:b w:val="1"/>
                <w:bCs w:val="1"/>
                <w:color w:val="auto"/>
              </w:rPr>
              <w:t>Total</w:t>
            </w:r>
          </w:p>
        </w:tc>
        <w:tc>
          <w:tcPr>
            <w:tcW w:w="9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0.9100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40" w:type="dxa"/>
            <w:vAlign w:val="bottom"/>
            <w:gridSpan w:val="2"/>
          </w:tcPr>
          <w:p>
            <w:pPr>
              <w:spacing w:after="0"/>
              <w:rPr>
                <w:sz w:val="20"/>
                <w:szCs w:val="20"/>
                <w:color w:val="auto"/>
              </w:rPr>
            </w:pPr>
            <w:r>
              <w:rPr>
                <w:rFonts w:ascii="Arial" w:cs="Arial" w:eastAsia="Arial" w:hAnsi="Arial"/>
                <w:sz w:val="13"/>
                <w:szCs w:val="13"/>
                <w:b w:val="1"/>
                <w:bCs w:val="1"/>
                <w:color w:val="auto"/>
              </w:rPr>
              <w:t>Fiscal year ended September 30, 2011</w:t>
            </w: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4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September 23, 2011</w:t>
            </w: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October 3, 2011</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0.0700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40" w:type="dxa"/>
            <w:vAlign w:val="bottom"/>
            <w:gridSpan w:val="2"/>
          </w:tcPr>
          <w:p>
            <w:pPr>
              <w:ind w:left="560"/>
              <w:spacing w:after="0"/>
              <w:rPr>
                <w:sz w:val="20"/>
                <w:szCs w:val="20"/>
                <w:color w:val="auto"/>
              </w:rPr>
            </w:pPr>
            <w:r>
              <w:rPr>
                <w:rFonts w:ascii="Arial" w:cs="Arial" w:eastAsia="Arial" w:hAnsi="Arial"/>
                <w:sz w:val="13"/>
                <w:szCs w:val="13"/>
                <w:color w:val="auto"/>
              </w:rPr>
              <w:t>August 22, 2011</w:t>
            </w:r>
          </w:p>
        </w:tc>
        <w:tc>
          <w:tcPr>
            <w:tcW w:w="1920" w:type="dxa"/>
            <w:vAlign w:val="bottom"/>
            <w:gridSpan w:val="2"/>
          </w:tcPr>
          <w:p>
            <w:pPr>
              <w:ind w:left="20"/>
              <w:spacing w:after="0"/>
              <w:rPr>
                <w:sz w:val="20"/>
                <w:szCs w:val="20"/>
                <w:color w:val="auto"/>
              </w:rPr>
            </w:pPr>
            <w:r>
              <w:rPr>
                <w:rFonts w:ascii="Arial" w:cs="Arial" w:eastAsia="Arial" w:hAnsi="Arial"/>
                <w:sz w:val="13"/>
                <w:szCs w:val="13"/>
                <w:color w:val="auto"/>
              </w:rPr>
              <w:t>September 1, 2011</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0.0700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4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July 22, 2011</w:t>
            </w: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August 1, 2011</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0.0600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140" w:type="dxa"/>
            <w:vAlign w:val="bottom"/>
            <w:gridSpan w:val="2"/>
          </w:tcPr>
          <w:p>
            <w:pPr>
              <w:ind w:left="560"/>
              <w:spacing w:after="0"/>
              <w:rPr>
                <w:sz w:val="20"/>
                <w:szCs w:val="20"/>
                <w:color w:val="auto"/>
              </w:rPr>
            </w:pPr>
            <w:r>
              <w:rPr>
                <w:rFonts w:ascii="Arial" w:cs="Arial" w:eastAsia="Arial" w:hAnsi="Arial"/>
                <w:sz w:val="13"/>
                <w:szCs w:val="13"/>
                <w:color w:val="auto"/>
              </w:rPr>
              <w:t>June 24, 2011</w:t>
            </w:r>
          </w:p>
        </w:tc>
        <w:tc>
          <w:tcPr>
            <w:tcW w:w="1920" w:type="dxa"/>
            <w:vAlign w:val="bottom"/>
            <w:gridSpan w:val="2"/>
          </w:tcPr>
          <w:p>
            <w:pPr>
              <w:ind w:left="20"/>
              <w:spacing w:after="0"/>
              <w:rPr>
                <w:sz w:val="20"/>
                <w:szCs w:val="20"/>
                <w:color w:val="auto"/>
              </w:rPr>
            </w:pPr>
            <w:r>
              <w:rPr>
                <w:rFonts w:ascii="Arial" w:cs="Arial" w:eastAsia="Arial" w:hAnsi="Arial"/>
                <w:sz w:val="13"/>
                <w:szCs w:val="13"/>
                <w:color w:val="auto"/>
              </w:rPr>
              <w:t>July 1, 2011</w:t>
            </w: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0.0500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140" w:type="dxa"/>
            <w:vAlign w:val="bottom"/>
            <w:gridSpan w:val="2"/>
            <w:shd w:val="clear" w:color="auto" w:fill="CCEEFF"/>
          </w:tcPr>
          <w:p>
            <w:pPr>
              <w:ind w:left="560"/>
              <w:spacing w:after="0"/>
              <w:rPr>
                <w:sz w:val="20"/>
                <w:szCs w:val="20"/>
                <w:color w:val="auto"/>
              </w:rPr>
            </w:pPr>
            <w:r>
              <w:rPr>
                <w:rFonts w:ascii="Arial" w:cs="Arial" w:eastAsia="Arial" w:hAnsi="Arial"/>
                <w:sz w:val="13"/>
                <w:szCs w:val="13"/>
                <w:b w:val="1"/>
                <w:bCs w:val="1"/>
                <w:color w:val="auto"/>
              </w:rPr>
              <w:t>Total</w:t>
            </w:r>
          </w:p>
        </w:tc>
        <w:tc>
          <w:tcPr>
            <w:tcW w:w="9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0.2500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ind w:right="60" w:firstLine="562"/>
        <w:spacing w:after="0" w:line="274" w:lineRule="auto"/>
        <w:rPr>
          <w:sz w:val="20"/>
          <w:szCs w:val="20"/>
          <w:color w:val="auto"/>
        </w:rPr>
      </w:pPr>
      <w:r>
        <w:rPr>
          <w:rFonts w:ascii="Arial" w:cs="Arial" w:eastAsia="Arial" w:hAnsi="Arial"/>
          <w:sz w:val="13"/>
          <w:szCs w:val="13"/>
          <w:color w:val="auto"/>
        </w:rPr>
        <w:t>In January 2013, a Form 1099-DIV will be sent to stockholders that will state the amount and composition of distributions and provide information with respect to appropriate tax treatment of our distributions.</w:t>
      </w:r>
    </w:p>
    <w:p>
      <w:pPr>
        <w:spacing w:after="0" w:line="91" w:lineRule="exact"/>
        <w:rPr>
          <w:sz w:val="20"/>
          <w:szCs w:val="20"/>
          <w:color w:val="auto"/>
        </w:rPr>
      </w:pPr>
    </w:p>
    <w:p>
      <w:pPr>
        <w:ind w:right="520" w:firstLine="562"/>
        <w:spacing w:after="0" w:line="317" w:lineRule="auto"/>
        <w:rPr>
          <w:sz w:val="20"/>
          <w:szCs w:val="20"/>
          <w:color w:val="auto"/>
        </w:rPr>
      </w:pPr>
      <w:r>
        <w:rPr>
          <w:rFonts w:ascii="Arial" w:cs="Arial" w:eastAsia="Arial" w:hAnsi="Arial"/>
          <w:sz w:val="12"/>
          <w:szCs w:val="12"/>
          <w:color w:val="auto"/>
        </w:rPr>
        <w:t>We maintain an “opt out” dividend reinvestment plan for our common stockholders. As a result, if we declare a dividend or other distribution, then stockholders’ cash distributions will be automatically reinvested in additional shares of our common stock, unless they specifically “opt out” of the dividend reinvestment plan so as to receive cash distributions.</w:t>
      </w:r>
    </w:p>
    <w:p>
      <w:pPr>
        <w:spacing w:after="0" w:line="67" w:lineRule="exact"/>
        <w:rPr>
          <w:sz w:val="20"/>
          <w:szCs w:val="20"/>
          <w:color w:val="auto"/>
        </w:rPr>
      </w:pPr>
    </w:p>
    <w:p>
      <w:pPr>
        <w:jc w:val="both"/>
        <w:ind w:firstLine="562"/>
        <w:spacing w:after="0" w:line="250" w:lineRule="auto"/>
        <w:rPr>
          <w:sz w:val="20"/>
          <w:szCs w:val="20"/>
          <w:color w:val="auto"/>
        </w:rPr>
      </w:pPr>
      <w:r>
        <w:rPr>
          <w:rFonts w:ascii="Arial" w:cs="Arial" w:eastAsia="Arial" w:hAnsi="Arial"/>
          <w:sz w:val="13"/>
          <w:szCs w:val="13"/>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when applicable to us as a business development company under the 1940 Act and due to provisions in future credit facilities. If we do not distribute a certain percentage of our income annually, we will suffer adverse tax consequences, including possible loss of our RIC status. We cannot assure stockholders that they will receive any dividends and distributions or dividends and distributions at a particular level.</w:t>
      </w:r>
    </w:p>
    <w:p>
      <w:pPr>
        <w:spacing w:after="0" w:line="160"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Sale of Unregistered Securities</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We did not engage in any sales of unregistered securities during the fiscal year ended September 30, 2012.</w:t>
      </w:r>
    </w:p>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39</w:t>
      </w:r>
    </w:p>
    <w:p>
      <w:pPr>
        <w:sectPr>
          <w:pgSz w:w="11900" w:h="16838" w:orient="portrait"/>
          <w:cols w:equalWidth="0" w:num="1">
            <w:col w:w="11160"/>
          </w:cols>
          <w:pgMar w:left="320" w:top="459" w:right="4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Stock Performance Graph</w:t>
      </w:r>
    </w:p>
    <w:p>
      <w:pPr>
        <w:spacing w:after="0" w:line="80" w:lineRule="exact"/>
        <w:rPr>
          <w:sz w:val="20"/>
          <w:szCs w:val="20"/>
          <w:color w:val="auto"/>
        </w:rPr>
      </w:pPr>
    </w:p>
    <w:p>
      <w:pPr>
        <w:ind w:firstLine="562"/>
        <w:spacing w:after="0" w:line="288" w:lineRule="auto"/>
        <w:rPr>
          <w:sz w:val="20"/>
          <w:szCs w:val="20"/>
          <w:color w:val="auto"/>
        </w:rPr>
      </w:pPr>
      <w:r>
        <w:rPr>
          <w:rFonts w:ascii="Arial" w:cs="Arial" w:eastAsia="Arial" w:hAnsi="Arial"/>
          <w:sz w:val="12"/>
          <w:szCs w:val="12"/>
          <w:color w:val="auto"/>
        </w:rPr>
        <w:t>This graph compares the return on our common stock with that of the Standard &amp; Poor’s 500 Stock Index and the Russell 2000 Financial Services Index, for the period from April 8, 2011 (commencement of trading) through September 30, 2012. The graph assumes that, on April 8, 2011, a person invested $100 in each of our common stock, the S&amp;P 500 Index, and the Russell 2000 Financial Services Index. The graph measures total stockholder return, which takes into account both changes in stock price and dividends. It assumes that dividends paid are invested in like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205740</wp:posOffset>
            </wp:positionV>
            <wp:extent cx="5074920" cy="27514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074920" cy="2751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20" w:firstLine="562"/>
        <w:spacing w:after="0" w:line="274" w:lineRule="auto"/>
        <w:rPr>
          <w:sz w:val="20"/>
          <w:szCs w:val="20"/>
          <w:color w:val="auto"/>
        </w:rPr>
      </w:pPr>
      <w:r>
        <w:rPr>
          <w:rFonts w:ascii="Arial" w:cs="Arial" w:eastAsia="Arial" w:hAnsi="Arial"/>
          <w:sz w:val="13"/>
          <w:szCs w:val="13"/>
          <w:color w:val="auto"/>
        </w:rPr>
        <w:t>The graph and other information furnished under this Part II Item 5 of this Form 10-K shall not be deemed to be “soliciting material” or to be “filed” with the SEC or subject to Regulation 14A or 14C, or to the liabilities of Section 18 of the Exchange Act. The stock price performance included in the above graph is not necessarily indicative of future stock price performance.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40</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0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2"/>
          <w:szCs w:val="12"/>
          <w:b w:val="1"/>
          <w:bCs w:val="1"/>
          <w:color w:val="auto"/>
        </w:rPr>
        <w:t>Selected Financial Data</w:t>
      </w:r>
    </w:p>
    <w:p>
      <w:pPr>
        <w:spacing w:after="0" w:line="82" w:lineRule="exact"/>
        <w:rPr>
          <w:sz w:val="20"/>
          <w:szCs w:val="20"/>
          <w:color w:val="auto"/>
        </w:rPr>
      </w:pPr>
    </w:p>
    <w:p>
      <w:pPr>
        <w:ind w:right="60" w:firstLine="562"/>
        <w:spacing w:after="0" w:line="247" w:lineRule="auto"/>
        <w:rPr>
          <w:sz w:val="20"/>
          <w:szCs w:val="20"/>
          <w:color w:val="auto"/>
        </w:rPr>
      </w:pPr>
      <w:r>
        <w:rPr>
          <w:rFonts w:ascii="Arial" w:cs="Arial" w:eastAsia="Arial" w:hAnsi="Arial"/>
          <w:sz w:val="13"/>
          <w:szCs w:val="13"/>
          <w:color w:val="auto"/>
        </w:rPr>
        <w:t>We have derived the financial information below from our audited and unaudited financial data and, in the opinion of management, such information reflects all adjustments (consisting of normal recurring adjustments) that are necessary to present fairly the results of such periods. The Consolidated Statement of Operations data, Per share data and data for the fiscal year ended September 30, 2012 and for the period March 4, 2011 (commencement of operations) to September 30, 2011 are derived from our financial statements which have been audited by KPMG LLP, our independent registered public accounting firm. This selected financial data should be read in conjunction with our financial statements and related notes thereto and “Management’s Discussion and Analysis of Financial Condition and Results of Operations.”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For the period March 4, 2011</w:t>
            </w:r>
          </w:p>
        </w:tc>
      </w:tr>
      <w:tr>
        <w:trPr>
          <w:trHeight w:val="148"/>
        </w:trPr>
        <w:tc>
          <w:tcPr>
            <w:tcW w:w="6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2"/>
          </w:tcPr>
          <w:p>
            <w:pPr>
              <w:jc w:val="center"/>
              <w:ind w:right="1760"/>
              <w:spacing w:after="0"/>
              <w:rPr>
                <w:sz w:val="20"/>
                <w:szCs w:val="20"/>
                <w:color w:val="auto"/>
              </w:rPr>
            </w:pPr>
            <w:r>
              <w:rPr>
                <w:rFonts w:ascii="Arial" w:cs="Arial" w:eastAsia="Arial" w:hAnsi="Arial"/>
                <w:sz w:val="13"/>
                <w:szCs w:val="13"/>
                <w:b w:val="1"/>
                <w:bCs w:val="1"/>
                <w:color w:val="auto"/>
                <w:w w:val="94"/>
              </w:rPr>
              <w:t>Year ended</w:t>
            </w:r>
          </w:p>
        </w:tc>
        <w:tc>
          <w:tcPr>
            <w:tcW w:w="202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1"/>
              </w:rPr>
              <w:t>(commencement of operations)</w:t>
            </w:r>
          </w:p>
        </w:tc>
      </w:tr>
      <w:tr>
        <w:trPr>
          <w:trHeight w:val="148"/>
        </w:trPr>
        <w:tc>
          <w:tcPr>
            <w:tcW w:w="6680" w:type="dxa"/>
            <w:vAlign w:val="bottom"/>
          </w:tcPr>
          <w:p>
            <w:pPr>
              <w:spacing w:after="0"/>
              <w:rPr>
                <w:sz w:val="12"/>
                <w:szCs w:val="12"/>
                <w:color w:val="auto"/>
              </w:rPr>
            </w:pPr>
          </w:p>
        </w:tc>
        <w:tc>
          <w:tcPr>
            <w:tcW w:w="2540" w:type="dxa"/>
            <w:vAlign w:val="bottom"/>
            <w:gridSpan w:val="3"/>
          </w:tcPr>
          <w:p>
            <w:pPr>
              <w:jc w:val="center"/>
              <w:ind w:right="1720"/>
              <w:spacing w:after="0"/>
              <w:rPr>
                <w:sz w:val="20"/>
                <w:szCs w:val="20"/>
                <w:color w:val="auto"/>
              </w:rPr>
            </w:pPr>
            <w:r>
              <w:rPr>
                <w:rFonts w:ascii="Arial" w:cs="Arial" w:eastAsia="Arial" w:hAnsi="Arial"/>
                <w:sz w:val="13"/>
                <w:szCs w:val="13"/>
                <w:b w:val="1"/>
                <w:bCs w:val="1"/>
                <w:color w:val="auto"/>
                <w:w w:val="92"/>
              </w:rPr>
              <w:t>September 30,</w:t>
            </w:r>
          </w:p>
        </w:tc>
        <w:tc>
          <w:tcPr>
            <w:tcW w:w="60" w:type="dxa"/>
            <w:vAlign w:val="bottom"/>
          </w:tcPr>
          <w:p>
            <w:pPr>
              <w:spacing w:after="0"/>
              <w:rPr>
                <w:sz w:val="12"/>
                <w:szCs w:val="12"/>
                <w:color w:val="auto"/>
              </w:rPr>
            </w:pPr>
          </w:p>
        </w:tc>
        <w:tc>
          <w:tcPr>
            <w:tcW w:w="1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1"/>
              </w:rPr>
              <w:t>to</w:t>
            </w:r>
          </w:p>
        </w:tc>
      </w:tr>
      <w:tr>
        <w:trPr>
          <w:trHeight w:val="161"/>
        </w:trPr>
        <w:tc>
          <w:tcPr>
            <w:tcW w:w="6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right="13"/>
              <w:spacing w:after="0"/>
              <w:rPr>
                <w:sz w:val="20"/>
                <w:szCs w:val="20"/>
                <w:color w:val="auto"/>
              </w:rPr>
            </w:pPr>
            <w:r>
              <w:rPr>
                <w:rFonts w:ascii="Arial" w:cs="Arial" w:eastAsia="Arial" w:hAnsi="Arial"/>
                <w:sz w:val="13"/>
                <w:szCs w:val="13"/>
                <w:b w:val="1"/>
                <w:bCs w:val="1"/>
                <w:color w:val="auto"/>
                <w:w w:val="89"/>
              </w:rPr>
              <w:t>2012</w:t>
            </w:r>
          </w:p>
        </w:tc>
        <w:tc>
          <w:tcPr>
            <w:tcW w:w="1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September 30, 2011</w:t>
            </w:r>
          </w:p>
        </w:tc>
      </w:tr>
      <w:tr>
        <w:trPr>
          <w:trHeight w:val="128"/>
        </w:trPr>
        <w:tc>
          <w:tcPr>
            <w:tcW w:w="66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(Dollar amounts in thousands, except per share data)</w:t>
            </w:r>
          </w:p>
        </w:tc>
        <w:tc>
          <w:tcPr>
            <w:tcW w:w="8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6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7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r>
      <w:tr>
        <w:trPr>
          <w:trHeight w:val="148"/>
        </w:trPr>
        <w:tc>
          <w:tcPr>
            <w:tcW w:w="6680" w:type="dxa"/>
            <w:vAlign w:val="bottom"/>
          </w:tcPr>
          <w:p>
            <w:pPr>
              <w:spacing w:after="0"/>
              <w:rPr>
                <w:sz w:val="20"/>
                <w:szCs w:val="20"/>
                <w:color w:val="auto"/>
              </w:rPr>
            </w:pPr>
            <w:r>
              <w:rPr>
                <w:rFonts w:ascii="Arial" w:cs="Arial" w:eastAsia="Arial" w:hAnsi="Arial"/>
                <w:sz w:val="13"/>
                <w:szCs w:val="13"/>
                <w:b w:val="1"/>
                <w:bCs w:val="1"/>
                <w:color w:val="auto"/>
              </w:rPr>
              <w:t>Consolidated Statement of operations data:</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9"/>
        </w:trPr>
        <w:tc>
          <w:tcPr>
            <w:tcW w:w="6680" w:type="dxa"/>
            <w:vAlign w:val="bottom"/>
            <w:shd w:val="clear" w:color="auto" w:fill="CCEEFF"/>
          </w:tcPr>
          <w:p>
            <w:pPr>
              <w:spacing w:after="0"/>
              <w:rPr>
                <w:sz w:val="20"/>
                <w:szCs w:val="20"/>
                <w:color w:val="auto"/>
              </w:rPr>
            </w:pPr>
            <w:r>
              <w:rPr>
                <w:rFonts w:ascii="Arial" w:cs="Arial" w:eastAsia="Arial" w:hAnsi="Arial"/>
                <w:sz w:val="13"/>
                <w:szCs w:val="13"/>
                <w:color w:val="auto"/>
              </w:rPr>
              <w:t>Total investment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460" w:type="dxa"/>
            <w:vAlign w:val="bottom"/>
            <w:gridSpan w:val="2"/>
            <w:shd w:val="clear" w:color="auto" w:fill="CCEEFF"/>
          </w:tcPr>
          <w:p>
            <w:pPr>
              <w:jc w:val="right"/>
              <w:ind w:right="1680"/>
              <w:spacing w:after="0"/>
              <w:rPr>
                <w:sz w:val="20"/>
                <w:szCs w:val="20"/>
                <w:color w:val="auto"/>
              </w:rPr>
            </w:pPr>
            <w:r>
              <w:rPr>
                <w:rFonts w:ascii="Arial" w:cs="Arial" w:eastAsia="Arial" w:hAnsi="Arial"/>
                <w:sz w:val="13"/>
                <w:szCs w:val="13"/>
                <w:color w:val="auto"/>
              </w:rPr>
              <w:t>12,099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2,947</w:t>
            </w:r>
          </w:p>
        </w:tc>
        <w:tc>
          <w:tcPr>
            <w:tcW w:w="200" w:type="dxa"/>
            <w:vAlign w:val="bottom"/>
            <w:shd w:val="clear" w:color="auto" w:fill="CCEEFF"/>
          </w:tcPr>
          <w:p>
            <w:pPr>
              <w:spacing w:after="0"/>
              <w:rPr>
                <w:sz w:val="12"/>
                <w:szCs w:val="12"/>
                <w:color w:val="auto"/>
              </w:rPr>
            </w:pPr>
          </w:p>
        </w:tc>
      </w:tr>
      <w:tr>
        <w:trPr>
          <w:trHeight w:val="172"/>
        </w:trPr>
        <w:tc>
          <w:tcPr>
            <w:tcW w:w="6680" w:type="dxa"/>
            <w:vAlign w:val="bottom"/>
          </w:tcPr>
          <w:p>
            <w:pPr>
              <w:spacing w:after="0"/>
              <w:rPr>
                <w:sz w:val="20"/>
                <w:szCs w:val="20"/>
                <w:color w:val="auto"/>
              </w:rPr>
            </w:pPr>
            <w:r>
              <w:rPr>
                <w:rFonts w:ascii="Arial" w:cs="Arial" w:eastAsia="Arial" w:hAnsi="Arial"/>
                <w:sz w:val="13"/>
                <w:szCs w:val="13"/>
                <w:color w:val="auto"/>
              </w:rPr>
              <w:t>Net Expenses before Credit Facility debt issuance and excise taxes</w:t>
            </w:r>
          </w:p>
        </w:tc>
        <w:tc>
          <w:tcPr>
            <w:tcW w:w="80" w:type="dxa"/>
            <w:vAlign w:val="bottom"/>
          </w:tcPr>
          <w:p>
            <w:pPr>
              <w:spacing w:after="0"/>
              <w:rPr>
                <w:sz w:val="14"/>
                <w:szCs w:val="14"/>
                <w:color w:val="auto"/>
              </w:rPr>
            </w:pPr>
          </w:p>
        </w:tc>
        <w:tc>
          <w:tcPr>
            <w:tcW w:w="2460" w:type="dxa"/>
            <w:vAlign w:val="bottom"/>
            <w:gridSpan w:val="2"/>
          </w:tcPr>
          <w:p>
            <w:pPr>
              <w:jc w:val="right"/>
              <w:ind w:right="1680"/>
              <w:spacing w:after="0"/>
              <w:rPr>
                <w:sz w:val="20"/>
                <w:szCs w:val="20"/>
                <w:color w:val="auto"/>
              </w:rPr>
            </w:pPr>
            <w:r>
              <w:rPr>
                <w:rFonts w:ascii="Arial" w:cs="Arial" w:eastAsia="Arial" w:hAnsi="Arial"/>
                <w:sz w:val="13"/>
                <w:szCs w:val="13"/>
                <w:color w:val="auto"/>
              </w:rPr>
              <w:t>5,435</w:t>
            </w:r>
          </w:p>
        </w:tc>
        <w:tc>
          <w:tcPr>
            <w:tcW w:w="6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Arial" w:cs="Arial" w:eastAsia="Arial" w:hAnsi="Arial"/>
                <w:sz w:val="13"/>
                <w:szCs w:val="13"/>
                <w:color w:val="auto"/>
              </w:rPr>
              <w:t>1,260</w:t>
            </w:r>
          </w:p>
        </w:tc>
        <w:tc>
          <w:tcPr>
            <w:tcW w:w="200" w:type="dxa"/>
            <w:vAlign w:val="bottom"/>
          </w:tcPr>
          <w:p>
            <w:pPr>
              <w:spacing w:after="0"/>
              <w:rPr>
                <w:sz w:val="14"/>
                <w:szCs w:val="14"/>
                <w:color w:val="auto"/>
              </w:rPr>
            </w:pPr>
          </w:p>
        </w:tc>
      </w:tr>
      <w:tr>
        <w:trPr>
          <w:trHeight w:val="44"/>
        </w:trPr>
        <w:tc>
          <w:tcPr>
            <w:tcW w:w="668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148"/>
        </w:trPr>
        <w:tc>
          <w:tcPr>
            <w:tcW w:w="6680" w:type="dxa"/>
            <w:vAlign w:val="bottom"/>
            <w:shd w:val="clear" w:color="auto" w:fill="CCEEFF"/>
          </w:tcPr>
          <w:p>
            <w:pPr>
              <w:spacing w:after="0"/>
              <w:rPr>
                <w:sz w:val="20"/>
                <w:szCs w:val="20"/>
                <w:color w:val="auto"/>
              </w:rPr>
            </w:pPr>
            <w:r>
              <w:rPr>
                <w:rFonts w:ascii="Arial" w:cs="Arial" w:eastAsia="Arial" w:hAnsi="Arial"/>
                <w:sz w:val="13"/>
                <w:szCs w:val="13"/>
                <w:color w:val="auto"/>
              </w:rPr>
              <w:t>Total expenses after Credit Facility debt issuance and excise taxes</w:t>
            </w:r>
          </w:p>
        </w:tc>
        <w:tc>
          <w:tcPr>
            <w:tcW w:w="80" w:type="dxa"/>
            <w:vAlign w:val="bottom"/>
            <w:shd w:val="clear" w:color="auto" w:fill="CCEEFF"/>
          </w:tcPr>
          <w:p>
            <w:pPr>
              <w:spacing w:after="0"/>
              <w:rPr>
                <w:sz w:val="12"/>
                <w:szCs w:val="12"/>
                <w:color w:val="auto"/>
              </w:rPr>
            </w:pPr>
          </w:p>
        </w:tc>
        <w:tc>
          <w:tcPr>
            <w:tcW w:w="2460" w:type="dxa"/>
            <w:vAlign w:val="bottom"/>
            <w:gridSpan w:val="2"/>
            <w:shd w:val="clear" w:color="auto" w:fill="CCEEFF"/>
          </w:tcPr>
          <w:p>
            <w:pPr>
              <w:jc w:val="right"/>
              <w:ind w:right="1680"/>
              <w:spacing w:after="0"/>
              <w:rPr>
                <w:sz w:val="20"/>
                <w:szCs w:val="20"/>
                <w:color w:val="auto"/>
              </w:rPr>
            </w:pPr>
            <w:r>
              <w:rPr>
                <w:rFonts w:ascii="Arial" w:cs="Arial" w:eastAsia="Arial" w:hAnsi="Arial"/>
                <w:sz w:val="13"/>
                <w:szCs w:val="13"/>
                <w:color w:val="auto"/>
              </w:rPr>
              <w:t>5,789</w:t>
            </w:r>
          </w:p>
        </w:tc>
        <w:tc>
          <w:tcPr>
            <w:tcW w:w="60" w:type="dxa"/>
            <w:vAlign w:val="bottom"/>
            <w:shd w:val="clear" w:color="auto" w:fill="CCEEFF"/>
          </w:tcPr>
          <w:p>
            <w:pPr>
              <w:spacing w:after="0"/>
              <w:rPr>
                <w:sz w:val="12"/>
                <w:szCs w:val="12"/>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2,626</w:t>
            </w:r>
          </w:p>
        </w:tc>
        <w:tc>
          <w:tcPr>
            <w:tcW w:w="200" w:type="dxa"/>
            <w:vAlign w:val="bottom"/>
            <w:shd w:val="clear" w:color="auto" w:fill="CCEEFF"/>
          </w:tcPr>
          <w:p>
            <w:pPr>
              <w:spacing w:after="0"/>
              <w:rPr>
                <w:sz w:val="12"/>
                <w:szCs w:val="12"/>
                <w:color w:val="auto"/>
              </w:rPr>
            </w:pPr>
          </w:p>
        </w:tc>
      </w:tr>
      <w:tr>
        <w:trPr>
          <w:trHeight w:val="148"/>
        </w:trPr>
        <w:tc>
          <w:tcPr>
            <w:tcW w:w="6680" w:type="dxa"/>
            <w:vAlign w:val="bottom"/>
          </w:tcPr>
          <w:p>
            <w:pPr>
              <w:spacing w:after="0"/>
              <w:rPr>
                <w:sz w:val="20"/>
                <w:szCs w:val="20"/>
                <w:color w:val="auto"/>
              </w:rPr>
            </w:pPr>
            <w:r>
              <w:rPr>
                <w:rFonts w:ascii="Arial" w:cs="Arial" w:eastAsia="Arial" w:hAnsi="Arial"/>
                <w:sz w:val="13"/>
                <w:szCs w:val="13"/>
                <w:color w:val="auto"/>
              </w:rPr>
              <w:t>Net investment income</w:t>
            </w:r>
          </w:p>
        </w:tc>
        <w:tc>
          <w:tcPr>
            <w:tcW w:w="80" w:type="dxa"/>
            <w:vAlign w:val="bottom"/>
          </w:tcPr>
          <w:p>
            <w:pPr>
              <w:spacing w:after="0"/>
              <w:rPr>
                <w:sz w:val="12"/>
                <w:szCs w:val="12"/>
                <w:color w:val="auto"/>
              </w:rPr>
            </w:pPr>
          </w:p>
        </w:tc>
        <w:tc>
          <w:tcPr>
            <w:tcW w:w="2460" w:type="dxa"/>
            <w:vAlign w:val="bottom"/>
            <w:gridSpan w:val="2"/>
          </w:tcPr>
          <w:p>
            <w:pPr>
              <w:jc w:val="right"/>
              <w:ind w:right="1680"/>
              <w:spacing w:after="0"/>
              <w:rPr>
                <w:sz w:val="20"/>
                <w:szCs w:val="20"/>
                <w:color w:val="auto"/>
              </w:rPr>
            </w:pPr>
            <w:r>
              <w:rPr>
                <w:rFonts w:ascii="Arial" w:cs="Arial" w:eastAsia="Arial" w:hAnsi="Arial"/>
                <w:sz w:val="13"/>
                <w:szCs w:val="13"/>
                <w:color w:val="auto"/>
              </w:rPr>
              <w:t>6,310</w:t>
            </w:r>
          </w:p>
        </w:tc>
        <w:tc>
          <w:tcPr>
            <w:tcW w:w="60" w:type="dxa"/>
            <w:vAlign w:val="bottom"/>
          </w:tcPr>
          <w:p>
            <w:pPr>
              <w:spacing w:after="0"/>
              <w:rPr>
                <w:sz w:val="12"/>
                <w:szCs w:val="12"/>
                <w:color w:val="auto"/>
              </w:rPr>
            </w:pPr>
          </w:p>
        </w:tc>
        <w:tc>
          <w:tcPr>
            <w:tcW w:w="1760" w:type="dxa"/>
            <w:vAlign w:val="bottom"/>
          </w:tcPr>
          <w:p>
            <w:pPr>
              <w:jc w:val="right"/>
              <w:spacing w:after="0"/>
              <w:rPr>
                <w:sz w:val="20"/>
                <w:szCs w:val="20"/>
                <w:color w:val="auto"/>
              </w:rPr>
            </w:pPr>
            <w:r>
              <w:rPr>
                <w:rFonts w:ascii="Arial" w:cs="Arial" w:eastAsia="Arial" w:hAnsi="Arial"/>
                <w:sz w:val="13"/>
                <w:szCs w:val="13"/>
                <w:color w:val="auto"/>
              </w:rPr>
              <w:t>320</w:t>
            </w:r>
          </w:p>
        </w:tc>
        <w:tc>
          <w:tcPr>
            <w:tcW w:w="200" w:type="dxa"/>
            <w:vAlign w:val="bottom"/>
          </w:tcPr>
          <w:p>
            <w:pPr>
              <w:spacing w:after="0"/>
              <w:rPr>
                <w:sz w:val="12"/>
                <w:szCs w:val="12"/>
                <w:color w:val="auto"/>
              </w:rPr>
            </w:pPr>
          </w:p>
        </w:tc>
      </w:tr>
      <w:tr>
        <w:trPr>
          <w:trHeight w:val="148"/>
        </w:trPr>
        <w:tc>
          <w:tcPr>
            <w:tcW w:w="6680" w:type="dxa"/>
            <w:vAlign w:val="bottom"/>
            <w:shd w:val="clear" w:color="auto" w:fill="CCEEFF"/>
          </w:tcPr>
          <w:p>
            <w:pPr>
              <w:spacing w:after="0"/>
              <w:rPr>
                <w:sz w:val="20"/>
                <w:szCs w:val="20"/>
                <w:color w:val="auto"/>
              </w:rPr>
            </w:pPr>
            <w:r>
              <w:rPr>
                <w:rFonts w:ascii="Arial" w:cs="Arial" w:eastAsia="Arial" w:hAnsi="Arial"/>
                <w:sz w:val="13"/>
                <w:szCs w:val="13"/>
                <w:color w:val="auto"/>
              </w:rPr>
              <w:t>Net realized and unrealized gain (loss)</w:t>
            </w:r>
          </w:p>
        </w:tc>
        <w:tc>
          <w:tcPr>
            <w:tcW w:w="80" w:type="dxa"/>
            <w:vAlign w:val="bottom"/>
            <w:shd w:val="clear" w:color="auto" w:fill="CCEEFF"/>
          </w:tcPr>
          <w:p>
            <w:pPr>
              <w:spacing w:after="0"/>
              <w:rPr>
                <w:sz w:val="12"/>
                <w:szCs w:val="12"/>
                <w:color w:val="auto"/>
              </w:rPr>
            </w:pPr>
          </w:p>
        </w:tc>
        <w:tc>
          <w:tcPr>
            <w:tcW w:w="2460" w:type="dxa"/>
            <w:vAlign w:val="bottom"/>
            <w:gridSpan w:val="2"/>
            <w:shd w:val="clear" w:color="auto" w:fill="CCEEFF"/>
          </w:tcPr>
          <w:p>
            <w:pPr>
              <w:jc w:val="right"/>
              <w:ind w:right="1680"/>
              <w:spacing w:after="0"/>
              <w:rPr>
                <w:sz w:val="20"/>
                <w:szCs w:val="20"/>
                <w:color w:val="auto"/>
              </w:rPr>
            </w:pPr>
            <w:r>
              <w:rPr>
                <w:rFonts w:ascii="Arial" w:cs="Arial" w:eastAsia="Arial" w:hAnsi="Arial"/>
                <w:sz w:val="13"/>
                <w:szCs w:val="13"/>
                <w:color w:val="auto"/>
              </w:rPr>
              <w:t>5,651</w:t>
            </w:r>
          </w:p>
        </w:tc>
        <w:tc>
          <w:tcPr>
            <w:tcW w:w="6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(3,793)</w:t>
            </w:r>
          </w:p>
        </w:tc>
      </w:tr>
      <w:tr>
        <w:trPr>
          <w:trHeight w:val="148"/>
        </w:trPr>
        <w:tc>
          <w:tcPr>
            <w:tcW w:w="6680" w:type="dxa"/>
            <w:vAlign w:val="bottom"/>
          </w:tcPr>
          <w:p>
            <w:pPr>
              <w:spacing w:after="0"/>
              <w:rPr>
                <w:sz w:val="20"/>
                <w:szCs w:val="20"/>
                <w:color w:val="auto"/>
              </w:rPr>
            </w:pPr>
            <w:r>
              <w:rPr>
                <w:rFonts w:ascii="Arial" w:cs="Arial" w:eastAsia="Arial" w:hAnsi="Arial"/>
                <w:sz w:val="13"/>
                <w:szCs w:val="13"/>
                <w:color w:val="auto"/>
              </w:rPr>
              <w:t>Net increase (decrease) in net assets resulting from operations</w:t>
            </w:r>
          </w:p>
        </w:tc>
        <w:tc>
          <w:tcPr>
            <w:tcW w:w="80" w:type="dxa"/>
            <w:vAlign w:val="bottom"/>
          </w:tcPr>
          <w:p>
            <w:pPr>
              <w:spacing w:after="0"/>
              <w:rPr>
                <w:sz w:val="12"/>
                <w:szCs w:val="12"/>
                <w:color w:val="auto"/>
              </w:rPr>
            </w:pPr>
          </w:p>
        </w:tc>
        <w:tc>
          <w:tcPr>
            <w:tcW w:w="2460" w:type="dxa"/>
            <w:vAlign w:val="bottom"/>
            <w:gridSpan w:val="2"/>
          </w:tcPr>
          <w:p>
            <w:pPr>
              <w:jc w:val="right"/>
              <w:ind w:right="1680"/>
              <w:spacing w:after="0"/>
              <w:rPr>
                <w:sz w:val="20"/>
                <w:szCs w:val="20"/>
                <w:color w:val="auto"/>
              </w:rPr>
            </w:pPr>
            <w:r>
              <w:rPr>
                <w:rFonts w:ascii="Arial" w:cs="Arial" w:eastAsia="Arial" w:hAnsi="Arial"/>
                <w:sz w:val="13"/>
                <w:szCs w:val="13"/>
                <w:color w:val="auto"/>
              </w:rPr>
              <w:t>11,961</w:t>
            </w:r>
          </w:p>
        </w:tc>
        <w:tc>
          <w:tcPr>
            <w:tcW w:w="60" w:type="dxa"/>
            <w:vAlign w:val="bottom"/>
          </w:tcPr>
          <w:p>
            <w:pPr>
              <w:spacing w:after="0"/>
              <w:rPr>
                <w:sz w:val="12"/>
                <w:szCs w:val="12"/>
                <w:color w:val="auto"/>
              </w:rPr>
            </w:pPr>
          </w:p>
        </w:tc>
        <w:tc>
          <w:tcPr>
            <w:tcW w:w="1960" w:type="dxa"/>
            <w:vAlign w:val="bottom"/>
            <w:gridSpan w:val="2"/>
          </w:tcPr>
          <w:p>
            <w:pPr>
              <w:jc w:val="right"/>
              <w:ind w:right="160"/>
              <w:spacing w:after="0"/>
              <w:rPr>
                <w:sz w:val="20"/>
                <w:szCs w:val="20"/>
                <w:color w:val="auto"/>
              </w:rPr>
            </w:pPr>
            <w:r>
              <w:rPr>
                <w:rFonts w:ascii="Arial" w:cs="Arial" w:eastAsia="Arial" w:hAnsi="Arial"/>
                <w:sz w:val="13"/>
                <w:szCs w:val="13"/>
                <w:color w:val="auto"/>
              </w:rPr>
              <w:t>(3,473)</w:t>
            </w:r>
          </w:p>
        </w:tc>
      </w:tr>
      <w:tr>
        <w:trPr>
          <w:trHeight w:val="149"/>
        </w:trPr>
        <w:tc>
          <w:tcPr>
            <w:tcW w:w="6680" w:type="dxa"/>
            <w:vAlign w:val="bottom"/>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Per share data:</w:t>
            </w:r>
            <w:r>
              <w:rPr>
                <w:rFonts w:ascii="Arial" w:cs="Arial" w:eastAsia="Arial" w:hAnsi="Arial"/>
                <w:sz w:val="17"/>
                <w:szCs w:val="17"/>
                <w:b w:val="1"/>
                <w:bCs w:val="1"/>
                <w:color w:val="auto"/>
                <w:vertAlign w:val="superscript"/>
              </w:rPr>
              <w:t>(1)</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72"/>
        </w:trPr>
        <w:tc>
          <w:tcPr>
            <w:tcW w:w="6680" w:type="dxa"/>
            <w:vAlign w:val="bottom"/>
          </w:tcPr>
          <w:p>
            <w:pPr>
              <w:spacing w:after="0"/>
              <w:rPr>
                <w:sz w:val="20"/>
                <w:szCs w:val="20"/>
                <w:color w:val="auto"/>
              </w:rPr>
            </w:pPr>
            <w:r>
              <w:rPr>
                <w:rFonts w:ascii="Arial" w:cs="Arial" w:eastAsia="Arial" w:hAnsi="Arial"/>
                <w:sz w:val="13"/>
                <w:szCs w:val="13"/>
                <w:color w:val="auto"/>
              </w:rPr>
              <w:t>Net asset value (at period end)</w:t>
            </w:r>
          </w:p>
        </w:tc>
        <w:tc>
          <w:tcPr>
            <w:tcW w:w="80" w:type="dxa"/>
            <w:vAlign w:val="bottom"/>
          </w:tcPr>
          <w:p>
            <w:pPr>
              <w:spacing w:after="0"/>
              <w:rPr>
                <w:sz w:val="14"/>
                <w:szCs w:val="14"/>
                <w:color w:val="auto"/>
              </w:rPr>
            </w:pPr>
          </w:p>
        </w:tc>
        <w:tc>
          <w:tcPr>
            <w:tcW w:w="2460" w:type="dxa"/>
            <w:vAlign w:val="bottom"/>
            <w:gridSpan w:val="2"/>
          </w:tcPr>
          <w:p>
            <w:pPr>
              <w:jc w:val="right"/>
              <w:ind w:right="1680"/>
              <w:spacing w:after="0"/>
              <w:rPr>
                <w:sz w:val="20"/>
                <w:szCs w:val="20"/>
                <w:color w:val="auto"/>
              </w:rPr>
            </w:pPr>
            <w:r>
              <w:rPr>
                <w:rFonts w:ascii="Arial" w:cs="Arial" w:eastAsia="Arial" w:hAnsi="Arial"/>
                <w:sz w:val="13"/>
                <w:szCs w:val="13"/>
                <w:color w:val="auto"/>
              </w:rPr>
              <w:t>13.98</w:t>
            </w:r>
          </w:p>
        </w:tc>
        <w:tc>
          <w:tcPr>
            <w:tcW w:w="6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Arial" w:cs="Arial" w:eastAsia="Arial" w:hAnsi="Arial"/>
                <w:sz w:val="13"/>
                <w:szCs w:val="13"/>
                <w:color w:val="auto"/>
              </w:rPr>
              <w:t>13.44</w:t>
            </w:r>
          </w:p>
        </w:tc>
        <w:tc>
          <w:tcPr>
            <w:tcW w:w="200" w:type="dxa"/>
            <w:vAlign w:val="bottom"/>
          </w:tcPr>
          <w:p>
            <w:pPr>
              <w:spacing w:after="0"/>
              <w:rPr>
                <w:sz w:val="14"/>
                <w:szCs w:val="14"/>
                <w:color w:val="auto"/>
              </w:rPr>
            </w:pPr>
          </w:p>
        </w:tc>
      </w:tr>
      <w:tr>
        <w:trPr>
          <w:trHeight w:val="44"/>
        </w:trPr>
        <w:tc>
          <w:tcPr>
            <w:tcW w:w="668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148"/>
        </w:trPr>
        <w:tc>
          <w:tcPr>
            <w:tcW w:w="6680" w:type="dxa"/>
            <w:vAlign w:val="bottom"/>
            <w:shd w:val="clear" w:color="auto" w:fill="CCEEFF"/>
          </w:tcPr>
          <w:p>
            <w:pPr>
              <w:spacing w:after="0"/>
              <w:rPr>
                <w:sz w:val="20"/>
                <w:szCs w:val="20"/>
                <w:color w:val="auto"/>
              </w:rPr>
            </w:pPr>
            <w:r>
              <w:rPr>
                <w:rFonts w:ascii="Arial" w:cs="Arial" w:eastAsia="Arial" w:hAnsi="Arial"/>
                <w:sz w:val="13"/>
                <w:szCs w:val="13"/>
                <w:color w:val="auto"/>
              </w:rPr>
              <w:t>Net investment income</w:t>
            </w:r>
          </w:p>
        </w:tc>
        <w:tc>
          <w:tcPr>
            <w:tcW w:w="80" w:type="dxa"/>
            <w:vAlign w:val="bottom"/>
            <w:shd w:val="clear" w:color="auto" w:fill="CCEEFF"/>
          </w:tcPr>
          <w:p>
            <w:pPr>
              <w:spacing w:after="0"/>
              <w:rPr>
                <w:sz w:val="12"/>
                <w:szCs w:val="12"/>
                <w:color w:val="auto"/>
              </w:rPr>
            </w:pPr>
          </w:p>
        </w:tc>
        <w:tc>
          <w:tcPr>
            <w:tcW w:w="2460" w:type="dxa"/>
            <w:vAlign w:val="bottom"/>
            <w:gridSpan w:val="2"/>
            <w:shd w:val="clear" w:color="auto" w:fill="CCEEFF"/>
          </w:tcPr>
          <w:p>
            <w:pPr>
              <w:jc w:val="right"/>
              <w:ind w:right="1680"/>
              <w:spacing w:after="0"/>
              <w:rPr>
                <w:sz w:val="20"/>
                <w:szCs w:val="20"/>
                <w:color w:val="auto"/>
              </w:rPr>
            </w:pPr>
            <w:r>
              <w:rPr>
                <w:rFonts w:ascii="Arial" w:cs="Arial" w:eastAsia="Arial" w:hAnsi="Arial"/>
                <w:sz w:val="13"/>
                <w:szCs w:val="13"/>
                <w:color w:val="auto"/>
              </w:rPr>
              <w:t>0.92</w:t>
            </w:r>
          </w:p>
        </w:tc>
        <w:tc>
          <w:tcPr>
            <w:tcW w:w="60" w:type="dxa"/>
            <w:vAlign w:val="bottom"/>
            <w:shd w:val="clear" w:color="auto" w:fill="CCEEFF"/>
          </w:tcPr>
          <w:p>
            <w:pPr>
              <w:spacing w:after="0"/>
              <w:rPr>
                <w:sz w:val="12"/>
                <w:szCs w:val="12"/>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0.05</w:t>
            </w:r>
          </w:p>
        </w:tc>
        <w:tc>
          <w:tcPr>
            <w:tcW w:w="200" w:type="dxa"/>
            <w:vAlign w:val="bottom"/>
            <w:shd w:val="clear" w:color="auto" w:fill="CCEEFF"/>
          </w:tcPr>
          <w:p>
            <w:pPr>
              <w:spacing w:after="0"/>
              <w:rPr>
                <w:sz w:val="12"/>
                <w:szCs w:val="12"/>
                <w:color w:val="auto"/>
              </w:rPr>
            </w:pPr>
          </w:p>
        </w:tc>
      </w:tr>
      <w:tr>
        <w:trPr>
          <w:trHeight w:val="229"/>
        </w:trPr>
        <w:tc>
          <w:tcPr>
            <w:tcW w:w="6680" w:type="dxa"/>
            <w:vAlign w:val="bottom"/>
          </w:tcPr>
          <w:p>
            <w:pPr>
              <w:spacing w:after="0"/>
              <w:rPr>
                <w:sz w:val="20"/>
                <w:szCs w:val="20"/>
                <w:color w:val="auto"/>
              </w:rPr>
            </w:pPr>
            <w:r>
              <w:rPr>
                <w:rFonts w:ascii="Arial" w:cs="Arial" w:eastAsia="Arial" w:hAnsi="Arial"/>
                <w:sz w:val="13"/>
                <w:szCs w:val="13"/>
                <w:color w:val="auto"/>
              </w:rPr>
              <w:t>Net realized and unrealized gain (loss)</w:t>
            </w:r>
          </w:p>
        </w:tc>
        <w:tc>
          <w:tcPr>
            <w:tcW w:w="80" w:type="dxa"/>
            <w:vAlign w:val="bottom"/>
          </w:tcPr>
          <w:p>
            <w:pPr>
              <w:spacing w:after="0"/>
              <w:rPr>
                <w:sz w:val="19"/>
                <w:szCs w:val="19"/>
                <w:color w:val="auto"/>
              </w:rPr>
            </w:pPr>
          </w:p>
        </w:tc>
        <w:tc>
          <w:tcPr>
            <w:tcW w:w="2460" w:type="dxa"/>
            <w:vAlign w:val="bottom"/>
            <w:gridSpan w:val="2"/>
          </w:tcPr>
          <w:p>
            <w:pPr>
              <w:jc w:val="right"/>
              <w:ind w:right="1680"/>
              <w:spacing w:after="0"/>
              <w:rPr>
                <w:sz w:val="20"/>
                <w:szCs w:val="20"/>
                <w:color w:val="auto"/>
              </w:rPr>
            </w:pPr>
            <w:r>
              <w:rPr>
                <w:rFonts w:ascii="Arial" w:cs="Arial" w:eastAsia="Arial" w:hAnsi="Arial"/>
                <w:sz w:val="13"/>
                <w:szCs w:val="13"/>
                <w:color w:val="auto"/>
              </w:rPr>
              <w:t>0.83</w:t>
            </w:r>
          </w:p>
        </w:tc>
        <w:tc>
          <w:tcPr>
            <w:tcW w:w="60" w:type="dxa"/>
            <w:vAlign w:val="bottom"/>
          </w:tcPr>
          <w:p>
            <w:pPr>
              <w:spacing w:after="0"/>
              <w:rPr>
                <w:sz w:val="19"/>
                <w:szCs w:val="19"/>
                <w:color w:val="auto"/>
              </w:rPr>
            </w:pPr>
          </w:p>
        </w:tc>
        <w:tc>
          <w:tcPr>
            <w:tcW w:w="1960" w:type="dxa"/>
            <w:vAlign w:val="bottom"/>
            <w:gridSpan w:val="2"/>
          </w:tcPr>
          <w:p>
            <w:pPr>
              <w:jc w:val="right"/>
              <w:ind w:right="160"/>
              <w:spacing w:after="0"/>
              <w:rPr>
                <w:sz w:val="20"/>
                <w:szCs w:val="20"/>
                <w:color w:val="auto"/>
              </w:rPr>
            </w:pPr>
            <w:r>
              <w:rPr>
                <w:rFonts w:ascii="Arial" w:cs="Arial" w:eastAsia="Arial" w:hAnsi="Arial"/>
                <w:sz w:val="13"/>
                <w:szCs w:val="13"/>
                <w:color w:val="auto"/>
              </w:rPr>
              <w:t>(0.56)</w:t>
            </w:r>
          </w:p>
        </w:tc>
      </w:tr>
      <w:tr>
        <w:trPr>
          <w:trHeight w:val="54"/>
        </w:trPr>
        <w:tc>
          <w:tcPr>
            <w:tcW w:w="668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76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148"/>
        </w:trPr>
        <w:tc>
          <w:tcPr>
            <w:tcW w:w="6680" w:type="dxa"/>
            <w:vAlign w:val="bottom"/>
            <w:shd w:val="clear" w:color="auto" w:fill="CCEEFF"/>
          </w:tcPr>
          <w:p>
            <w:pPr>
              <w:spacing w:after="0"/>
              <w:rPr>
                <w:sz w:val="20"/>
                <w:szCs w:val="20"/>
                <w:color w:val="auto"/>
              </w:rPr>
            </w:pPr>
            <w:r>
              <w:rPr>
                <w:rFonts w:ascii="Arial" w:cs="Arial" w:eastAsia="Arial" w:hAnsi="Arial"/>
                <w:sz w:val="13"/>
                <w:szCs w:val="13"/>
                <w:color w:val="auto"/>
              </w:rPr>
              <w:t>Net increase (decrease) in net assets resulting from operations</w:t>
            </w:r>
          </w:p>
        </w:tc>
        <w:tc>
          <w:tcPr>
            <w:tcW w:w="80" w:type="dxa"/>
            <w:vAlign w:val="bottom"/>
            <w:shd w:val="clear" w:color="auto" w:fill="CCEEFF"/>
          </w:tcPr>
          <w:p>
            <w:pPr>
              <w:spacing w:after="0"/>
              <w:rPr>
                <w:sz w:val="12"/>
                <w:szCs w:val="12"/>
                <w:color w:val="auto"/>
              </w:rPr>
            </w:pPr>
          </w:p>
        </w:tc>
        <w:tc>
          <w:tcPr>
            <w:tcW w:w="2460" w:type="dxa"/>
            <w:vAlign w:val="bottom"/>
            <w:gridSpan w:val="2"/>
            <w:shd w:val="clear" w:color="auto" w:fill="CCEEFF"/>
          </w:tcPr>
          <w:p>
            <w:pPr>
              <w:jc w:val="right"/>
              <w:ind w:right="1680"/>
              <w:spacing w:after="0"/>
              <w:rPr>
                <w:sz w:val="20"/>
                <w:szCs w:val="20"/>
                <w:color w:val="auto"/>
              </w:rPr>
            </w:pPr>
            <w:r>
              <w:rPr>
                <w:rFonts w:ascii="Arial" w:cs="Arial" w:eastAsia="Arial" w:hAnsi="Arial"/>
                <w:sz w:val="13"/>
                <w:szCs w:val="13"/>
                <w:color w:val="auto"/>
              </w:rPr>
              <w:t>1.75</w:t>
            </w:r>
          </w:p>
        </w:tc>
        <w:tc>
          <w:tcPr>
            <w:tcW w:w="6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(0.51)</w:t>
            </w:r>
          </w:p>
        </w:tc>
      </w:tr>
      <w:tr>
        <w:trPr>
          <w:trHeight w:val="284"/>
        </w:trPr>
        <w:tc>
          <w:tcPr>
            <w:tcW w:w="6680" w:type="dxa"/>
            <w:vAlign w:val="bottom"/>
          </w:tcPr>
          <w:p>
            <w:pPr>
              <w:spacing w:after="0"/>
              <w:rPr>
                <w:sz w:val="20"/>
                <w:szCs w:val="20"/>
                <w:color w:val="auto"/>
              </w:rPr>
            </w:pPr>
            <w:r>
              <w:rPr>
                <w:rFonts w:ascii="Arial" w:cs="Arial" w:eastAsia="Arial" w:hAnsi="Arial"/>
                <w:sz w:val="13"/>
                <w:szCs w:val="13"/>
                <w:color w:val="auto"/>
              </w:rPr>
              <w:t>Distributions declared</w:t>
            </w:r>
            <w:r>
              <w:rPr>
                <w:rFonts w:ascii="Arial" w:cs="Arial" w:eastAsia="Arial" w:hAnsi="Arial"/>
                <w:sz w:val="22"/>
                <w:szCs w:val="22"/>
                <w:color w:val="auto"/>
                <w:vertAlign w:val="superscript"/>
              </w:rPr>
              <w:t>(2)</w:t>
            </w:r>
          </w:p>
        </w:tc>
        <w:tc>
          <w:tcPr>
            <w:tcW w:w="80" w:type="dxa"/>
            <w:vAlign w:val="bottom"/>
          </w:tcPr>
          <w:p>
            <w:pPr>
              <w:spacing w:after="0"/>
              <w:rPr>
                <w:sz w:val="24"/>
                <w:szCs w:val="24"/>
                <w:color w:val="auto"/>
              </w:rPr>
            </w:pPr>
          </w:p>
        </w:tc>
        <w:tc>
          <w:tcPr>
            <w:tcW w:w="2460" w:type="dxa"/>
            <w:vAlign w:val="bottom"/>
            <w:gridSpan w:val="2"/>
          </w:tcPr>
          <w:p>
            <w:pPr>
              <w:jc w:val="right"/>
              <w:ind w:right="1680"/>
              <w:spacing w:after="0"/>
              <w:rPr>
                <w:sz w:val="20"/>
                <w:szCs w:val="20"/>
                <w:color w:val="auto"/>
              </w:rPr>
            </w:pPr>
            <w:r>
              <w:rPr>
                <w:rFonts w:ascii="Arial" w:cs="Arial" w:eastAsia="Arial" w:hAnsi="Arial"/>
                <w:sz w:val="13"/>
                <w:szCs w:val="13"/>
                <w:color w:val="auto"/>
              </w:rPr>
              <w:t>0.91</w:t>
            </w:r>
          </w:p>
        </w:tc>
        <w:tc>
          <w:tcPr>
            <w:tcW w:w="6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3"/>
                <w:szCs w:val="13"/>
                <w:color w:val="auto"/>
              </w:rPr>
              <w:t>0.25</w:t>
            </w:r>
          </w:p>
        </w:tc>
        <w:tc>
          <w:tcPr>
            <w:tcW w:w="200" w:type="dxa"/>
            <w:vAlign w:val="bottom"/>
          </w:tcPr>
          <w:p>
            <w:pPr>
              <w:spacing w:after="0"/>
              <w:rPr>
                <w:sz w:val="24"/>
                <w:szCs w:val="24"/>
                <w:color w:val="auto"/>
              </w:rPr>
            </w:pPr>
          </w:p>
        </w:tc>
      </w:tr>
      <w:tr>
        <w:trPr>
          <w:trHeight w:val="148"/>
        </w:trPr>
        <w:tc>
          <w:tcPr>
            <w:tcW w:w="66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Statement of Assets and Liabilities data (at period end):</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48"/>
        </w:trPr>
        <w:tc>
          <w:tcPr>
            <w:tcW w:w="6680" w:type="dxa"/>
            <w:vAlign w:val="bottom"/>
          </w:tcPr>
          <w:p>
            <w:pPr>
              <w:spacing w:after="0"/>
              <w:rPr>
                <w:sz w:val="20"/>
                <w:szCs w:val="20"/>
                <w:color w:val="auto"/>
              </w:rPr>
            </w:pPr>
            <w:r>
              <w:rPr>
                <w:rFonts w:ascii="Arial" w:cs="Arial" w:eastAsia="Arial" w:hAnsi="Arial"/>
                <w:sz w:val="13"/>
                <w:szCs w:val="13"/>
                <w:color w:val="auto"/>
              </w:rPr>
              <w:t>Total assets</w:t>
            </w:r>
          </w:p>
        </w:tc>
        <w:tc>
          <w:tcPr>
            <w:tcW w:w="80" w:type="dxa"/>
            <w:vAlign w:val="bottom"/>
          </w:tcPr>
          <w:p>
            <w:pPr>
              <w:spacing w:after="0"/>
              <w:rPr>
                <w:sz w:val="12"/>
                <w:szCs w:val="12"/>
                <w:color w:val="auto"/>
              </w:rPr>
            </w:pPr>
          </w:p>
        </w:tc>
        <w:tc>
          <w:tcPr>
            <w:tcW w:w="2460" w:type="dxa"/>
            <w:vAlign w:val="bottom"/>
            <w:gridSpan w:val="2"/>
          </w:tcPr>
          <w:p>
            <w:pPr>
              <w:jc w:val="right"/>
              <w:ind w:right="1680"/>
              <w:spacing w:after="0"/>
              <w:rPr>
                <w:sz w:val="20"/>
                <w:szCs w:val="20"/>
                <w:color w:val="auto"/>
              </w:rPr>
            </w:pPr>
            <w:r>
              <w:rPr>
                <w:rFonts w:ascii="Arial" w:cs="Arial" w:eastAsia="Arial" w:hAnsi="Arial"/>
                <w:sz w:val="13"/>
                <w:szCs w:val="13"/>
                <w:color w:val="auto"/>
              </w:rPr>
              <w:t>178,367</w:t>
            </w:r>
          </w:p>
        </w:tc>
        <w:tc>
          <w:tcPr>
            <w:tcW w:w="60" w:type="dxa"/>
            <w:vAlign w:val="bottom"/>
          </w:tcPr>
          <w:p>
            <w:pPr>
              <w:spacing w:after="0"/>
              <w:rPr>
                <w:sz w:val="12"/>
                <w:szCs w:val="12"/>
                <w:color w:val="auto"/>
              </w:rPr>
            </w:pPr>
          </w:p>
        </w:tc>
        <w:tc>
          <w:tcPr>
            <w:tcW w:w="1760" w:type="dxa"/>
            <w:vAlign w:val="bottom"/>
          </w:tcPr>
          <w:p>
            <w:pPr>
              <w:jc w:val="right"/>
              <w:spacing w:after="0"/>
              <w:rPr>
                <w:sz w:val="20"/>
                <w:szCs w:val="20"/>
                <w:color w:val="auto"/>
              </w:rPr>
            </w:pPr>
            <w:r>
              <w:rPr>
                <w:rFonts w:ascii="Arial" w:cs="Arial" w:eastAsia="Arial" w:hAnsi="Arial"/>
                <w:sz w:val="13"/>
                <w:szCs w:val="13"/>
                <w:color w:val="auto"/>
              </w:rPr>
              <w:t>121,075</w:t>
            </w:r>
          </w:p>
        </w:tc>
        <w:tc>
          <w:tcPr>
            <w:tcW w:w="200" w:type="dxa"/>
            <w:vAlign w:val="bottom"/>
          </w:tcPr>
          <w:p>
            <w:pPr>
              <w:spacing w:after="0"/>
              <w:rPr>
                <w:sz w:val="12"/>
                <w:szCs w:val="12"/>
                <w:color w:val="auto"/>
              </w:rPr>
            </w:pPr>
          </w:p>
        </w:tc>
      </w:tr>
      <w:tr>
        <w:trPr>
          <w:trHeight w:val="148"/>
        </w:trPr>
        <w:tc>
          <w:tcPr>
            <w:tcW w:w="6680" w:type="dxa"/>
            <w:vAlign w:val="bottom"/>
            <w:shd w:val="clear" w:color="auto" w:fill="CCEEFF"/>
          </w:tcPr>
          <w:p>
            <w:pPr>
              <w:spacing w:after="0"/>
              <w:rPr>
                <w:sz w:val="20"/>
                <w:szCs w:val="20"/>
                <w:color w:val="auto"/>
              </w:rPr>
            </w:pPr>
            <w:r>
              <w:rPr>
                <w:rFonts w:ascii="Arial" w:cs="Arial" w:eastAsia="Arial" w:hAnsi="Arial"/>
                <w:sz w:val="13"/>
                <w:szCs w:val="13"/>
                <w:color w:val="auto"/>
              </w:rPr>
              <w:t>Total investment portfolio</w:t>
            </w:r>
          </w:p>
        </w:tc>
        <w:tc>
          <w:tcPr>
            <w:tcW w:w="80" w:type="dxa"/>
            <w:vAlign w:val="bottom"/>
            <w:shd w:val="clear" w:color="auto" w:fill="CCEEFF"/>
          </w:tcPr>
          <w:p>
            <w:pPr>
              <w:spacing w:after="0"/>
              <w:rPr>
                <w:sz w:val="12"/>
                <w:szCs w:val="12"/>
                <w:color w:val="auto"/>
              </w:rPr>
            </w:pPr>
          </w:p>
        </w:tc>
        <w:tc>
          <w:tcPr>
            <w:tcW w:w="2460" w:type="dxa"/>
            <w:vAlign w:val="bottom"/>
            <w:gridSpan w:val="2"/>
            <w:shd w:val="clear" w:color="auto" w:fill="CCEEFF"/>
          </w:tcPr>
          <w:p>
            <w:pPr>
              <w:jc w:val="right"/>
              <w:ind w:right="1680"/>
              <w:spacing w:after="0"/>
              <w:rPr>
                <w:sz w:val="20"/>
                <w:szCs w:val="20"/>
                <w:color w:val="auto"/>
              </w:rPr>
            </w:pPr>
            <w:r>
              <w:rPr>
                <w:rFonts w:ascii="Arial" w:cs="Arial" w:eastAsia="Arial" w:hAnsi="Arial"/>
                <w:sz w:val="13"/>
                <w:szCs w:val="13"/>
                <w:color w:val="auto"/>
              </w:rPr>
              <w:t>171,834</w:t>
            </w:r>
          </w:p>
        </w:tc>
        <w:tc>
          <w:tcPr>
            <w:tcW w:w="6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110,724</w:t>
            </w:r>
          </w:p>
        </w:tc>
      </w:tr>
      <w:tr>
        <w:trPr>
          <w:trHeight w:val="148"/>
        </w:trPr>
        <w:tc>
          <w:tcPr>
            <w:tcW w:w="6680" w:type="dxa"/>
            <w:vAlign w:val="bottom"/>
          </w:tcPr>
          <w:p>
            <w:pPr>
              <w:spacing w:after="0"/>
              <w:rPr>
                <w:sz w:val="20"/>
                <w:szCs w:val="20"/>
                <w:color w:val="auto"/>
              </w:rPr>
            </w:pPr>
            <w:r>
              <w:rPr>
                <w:rFonts w:ascii="Arial" w:cs="Arial" w:eastAsia="Arial" w:hAnsi="Arial"/>
                <w:sz w:val="13"/>
                <w:szCs w:val="13"/>
                <w:color w:val="auto"/>
              </w:rPr>
              <w:t>Credit Facility payable, at fair value</w:t>
            </w:r>
          </w:p>
        </w:tc>
        <w:tc>
          <w:tcPr>
            <w:tcW w:w="80" w:type="dxa"/>
            <w:vAlign w:val="bottom"/>
          </w:tcPr>
          <w:p>
            <w:pPr>
              <w:spacing w:after="0"/>
              <w:rPr>
                <w:sz w:val="12"/>
                <w:szCs w:val="12"/>
                <w:color w:val="auto"/>
              </w:rPr>
            </w:pPr>
          </w:p>
        </w:tc>
        <w:tc>
          <w:tcPr>
            <w:tcW w:w="2460" w:type="dxa"/>
            <w:vAlign w:val="bottom"/>
            <w:gridSpan w:val="2"/>
          </w:tcPr>
          <w:p>
            <w:pPr>
              <w:jc w:val="right"/>
              <w:ind w:right="1680"/>
              <w:spacing w:after="0"/>
              <w:rPr>
                <w:sz w:val="20"/>
                <w:szCs w:val="20"/>
                <w:color w:val="auto"/>
              </w:rPr>
            </w:pPr>
            <w:r>
              <w:rPr>
                <w:rFonts w:ascii="Arial" w:cs="Arial" w:eastAsia="Arial" w:hAnsi="Arial"/>
                <w:sz w:val="13"/>
                <w:szCs w:val="13"/>
                <w:color w:val="auto"/>
              </w:rPr>
              <w:t>75,123</w:t>
            </w:r>
          </w:p>
        </w:tc>
        <w:tc>
          <w:tcPr>
            <w:tcW w:w="60" w:type="dxa"/>
            <w:vAlign w:val="bottom"/>
          </w:tcPr>
          <w:p>
            <w:pPr>
              <w:spacing w:after="0"/>
              <w:rPr>
                <w:sz w:val="12"/>
                <w:szCs w:val="12"/>
                <w:color w:val="auto"/>
              </w:rPr>
            </w:pPr>
          </w:p>
        </w:tc>
        <w:tc>
          <w:tcPr>
            <w:tcW w:w="1760" w:type="dxa"/>
            <w:vAlign w:val="bottom"/>
          </w:tcPr>
          <w:p>
            <w:pPr>
              <w:jc w:val="right"/>
              <w:spacing w:after="0"/>
              <w:rPr>
                <w:sz w:val="20"/>
                <w:szCs w:val="20"/>
                <w:color w:val="auto"/>
              </w:rPr>
            </w:pPr>
            <w:r>
              <w:rPr>
                <w:rFonts w:ascii="Arial" w:cs="Arial" w:eastAsia="Arial" w:hAnsi="Arial"/>
                <w:sz w:val="13"/>
                <w:szCs w:val="13"/>
                <w:color w:val="auto"/>
              </w:rPr>
              <w:t>24,650</w:t>
            </w:r>
          </w:p>
        </w:tc>
        <w:tc>
          <w:tcPr>
            <w:tcW w:w="200" w:type="dxa"/>
            <w:vAlign w:val="bottom"/>
          </w:tcPr>
          <w:p>
            <w:pPr>
              <w:spacing w:after="0"/>
              <w:rPr>
                <w:sz w:val="12"/>
                <w:szCs w:val="12"/>
                <w:color w:val="auto"/>
              </w:rPr>
            </w:pPr>
          </w:p>
        </w:tc>
      </w:tr>
      <w:tr>
        <w:trPr>
          <w:trHeight w:val="148"/>
        </w:trPr>
        <w:tc>
          <w:tcPr>
            <w:tcW w:w="6680" w:type="dxa"/>
            <w:vAlign w:val="bottom"/>
            <w:shd w:val="clear" w:color="auto" w:fill="CCEEFF"/>
          </w:tcPr>
          <w:p>
            <w:pPr>
              <w:spacing w:after="0"/>
              <w:rPr>
                <w:sz w:val="20"/>
                <w:szCs w:val="20"/>
                <w:color w:val="auto"/>
              </w:rPr>
            </w:pPr>
            <w:r>
              <w:rPr>
                <w:rFonts w:ascii="Arial" w:cs="Arial" w:eastAsia="Arial" w:hAnsi="Arial"/>
                <w:sz w:val="13"/>
                <w:szCs w:val="13"/>
                <w:color w:val="auto"/>
              </w:rPr>
              <w:t>Payable for investments and unfunded investments</w:t>
            </w:r>
          </w:p>
        </w:tc>
        <w:tc>
          <w:tcPr>
            <w:tcW w:w="80" w:type="dxa"/>
            <w:vAlign w:val="bottom"/>
            <w:shd w:val="clear" w:color="auto" w:fill="CCEEFF"/>
          </w:tcPr>
          <w:p>
            <w:pPr>
              <w:spacing w:after="0"/>
              <w:rPr>
                <w:sz w:val="12"/>
                <w:szCs w:val="12"/>
                <w:color w:val="auto"/>
              </w:rPr>
            </w:pPr>
          </w:p>
        </w:tc>
        <w:tc>
          <w:tcPr>
            <w:tcW w:w="2460" w:type="dxa"/>
            <w:vAlign w:val="bottom"/>
            <w:gridSpan w:val="2"/>
            <w:shd w:val="clear" w:color="auto" w:fill="CCEEFF"/>
          </w:tcPr>
          <w:p>
            <w:pPr>
              <w:jc w:val="right"/>
              <w:ind w:right="1680"/>
              <w:spacing w:after="0"/>
              <w:rPr>
                <w:sz w:val="20"/>
                <w:szCs w:val="20"/>
                <w:color w:val="auto"/>
              </w:rPr>
            </w:pPr>
            <w:r>
              <w:rPr>
                <w:rFonts w:ascii="Arial" w:cs="Arial" w:eastAsia="Arial" w:hAnsi="Arial"/>
                <w:sz w:val="13"/>
                <w:szCs w:val="13"/>
                <w:color w:val="auto"/>
              </w:rPr>
              <w:t>3,358</w:t>
            </w:r>
          </w:p>
        </w:tc>
        <w:tc>
          <w:tcPr>
            <w:tcW w:w="60" w:type="dxa"/>
            <w:vAlign w:val="bottom"/>
            <w:shd w:val="clear" w:color="auto" w:fill="CCEEFF"/>
          </w:tcPr>
          <w:p>
            <w:pPr>
              <w:spacing w:after="0"/>
              <w:rPr>
                <w:sz w:val="12"/>
                <w:szCs w:val="12"/>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3,313</w:t>
            </w:r>
          </w:p>
        </w:tc>
        <w:tc>
          <w:tcPr>
            <w:tcW w:w="200" w:type="dxa"/>
            <w:vAlign w:val="bottom"/>
            <w:shd w:val="clear" w:color="auto" w:fill="CCEEFF"/>
          </w:tcPr>
          <w:p>
            <w:pPr>
              <w:spacing w:after="0"/>
              <w:rPr>
                <w:sz w:val="12"/>
                <w:szCs w:val="12"/>
                <w:color w:val="auto"/>
              </w:rPr>
            </w:pPr>
          </w:p>
        </w:tc>
      </w:tr>
      <w:tr>
        <w:trPr>
          <w:trHeight w:val="149"/>
        </w:trPr>
        <w:tc>
          <w:tcPr>
            <w:tcW w:w="6680" w:type="dxa"/>
            <w:vAlign w:val="bottom"/>
          </w:tcPr>
          <w:p>
            <w:pPr>
              <w:spacing w:after="0"/>
              <w:rPr>
                <w:sz w:val="20"/>
                <w:szCs w:val="20"/>
                <w:color w:val="auto"/>
              </w:rPr>
            </w:pPr>
            <w:r>
              <w:rPr>
                <w:rFonts w:ascii="Arial" w:cs="Arial" w:eastAsia="Arial" w:hAnsi="Arial"/>
                <w:sz w:val="13"/>
                <w:szCs w:val="13"/>
                <w:color w:val="auto"/>
              </w:rPr>
              <w:t>Total net asset value</w:t>
            </w:r>
          </w:p>
        </w:tc>
        <w:tc>
          <w:tcPr>
            <w:tcW w:w="80" w:type="dxa"/>
            <w:vAlign w:val="bottom"/>
          </w:tcPr>
          <w:p>
            <w:pPr>
              <w:spacing w:after="0"/>
              <w:rPr>
                <w:sz w:val="12"/>
                <w:szCs w:val="12"/>
                <w:color w:val="auto"/>
              </w:rPr>
            </w:pPr>
          </w:p>
        </w:tc>
        <w:tc>
          <w:tcPr>
            <w:tcW w:w="2460" w:type="dxa"/>
            <w:vAlign w:val="bottom"/>
            <w:gridSpan w:val="2"/>
          </w:tcPr>
          <w:p>
            <w:pPr>
              <w:jc w:val="right"/>
              <w:ind w:right="1680"/>
              <w:spacing w:after="0"/>
              <w:rPr>
                <w:sz w:val="20"/>
                <w:szCs w:val="20"/>
                <w:color w:val="auto"/>
              </w:rPr>
            </w:pPr>
            <w:r>
              <w:rPr>
                <w:rFonts w:ascii="Arial" w:cs="Arial" w:eastAsia="Arial" w:hAnsi="Arial"/>
                <w:sz w:val="13"/>
                <w:szCs w:val="13"/>
                <w:color w:val="auto"/>
              </w:rPr>
              <w:t>95,744</w:t>
            </w:r>
          </w:p>
        </w:tc>
        <w:tc>
          <w:tcPr>
            <w:tcW w:w="60" w:type="dxa"/>
            <w:vAlign w:val="bottom"/>
          </w:tcPr>
          <w:p>
            <w:pPr>
              <w:spacing w:after="0"/>
              <w:rPr>
                <w:sz w:val="12"/>
                <w:szCs w:val="12"/>
                <w:color w:val="auto"/>
              </w:rPr>
            </w:pPr>
          </w:p>
        </w:tc>
        <w:tc>
          <w:tcPr>
            <w:tcW w:w="1760" w:type="dxa"/>
            <w:vAlign w:val="bottom"/>
          </w:tcPr>
          <w:p>
            <w:pPr>
              <w:jc w:val="right"/>
              <w:spacing w:after="0"/>
              <w:rPr>
                <w:sz w:val="20"/>
                <w:szCs w:val="20"/>
                <w:color w:val="auto"/>
              </w:rPr>
            </w:pPr>
            <w:r>
              <w:rPr>
                <w:rFonts w:ascii="Arial" w:cs="Arial" w:eastAsia="Arial" w:hAnsi="Arial"/>
                <w:sz w:val="13"/>
                <w:szCs w:val="13"/>
                <w:color w:val="auto"/>
              </w:rPr>
              <w:t>92,072</w:t>
            </w:r>
          </w:p>
        </w:tc>
        <w:tc>
          <w:tcPr>
            <w:tcW w:w="200" w:type="dxa"/>
            <w:vAlign w:val="bottom"/>
          </w:tcPr>
          <w:p>
            <w:pPr>
              <w:spacing w:after="0"/>
              <w:rPr>
                <w:sz w:val="12"/>
                <w:szCs w:val="12"/>
                <w:color w:val="auto"/>
              </w:rPr>
            </w:pPr>
          </w:p>
        </w:tc>
      </w:tr>
      <w:tr>
        <w:trPr>
          <w:trHeight w:val="148"/>
        </w:trPr>
        <w:tc>
          <w:tcPr>
            <w:tcW w:w="66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Other data:</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283"/>
        </w:trPr>
        <w:tc>
          <w:tcPr>
            <w:tcW w:w="6680" w:type="dxa"/>
            <w:vAlign w:val="bottom"/>
          </w:tcPr>
          <w:p>
            <w:pPr>
              <w:spacing w:after="0"/>
              <w:rPr>
                <w:sz w:val="20"/>
                <w:szCs w:val="20"/>
                <w:color w:val="auto"/>
              </w:rPr>
            </w:pPr>
            <w:r>
              <w:rPr>
                <w:rFonts w:ascii="Arial" w:cs="Arial" w:eastAsia="Arial" w:hAnsi="Arial"/>
                <w:sz w:val="13"/>
                <w:szCs w:val="13"/>
                <w:color w:val="auto"/>
              </w:rPr>
              <w:t xml:space="preserve">Total return * </w:t>
            </w:r>
            <w:r>
              <w:rPr>
                <w:rFonts w:ascii="Arial" w:cs="Arial" w:eastAsia="Arial" w:hAnsi="Arial"/>
                <w:sz w:val="22"/>
                <w:szCs w:val="22"/>
                <w:color w:val="auto"/>
                <w:vertAlign w:val="superscript"/>
              </w:rPr>
              <w:t>(3)</w:t>
            </w:r>
          </w:p>
        </w:tc>
        <w:tc>
          <w:tcPr>
            <w:tcW w:w="80" w:type="dxa"/>
            <w:vAlign w:val="bottom"/>
          </w:tcPr>
          <w:p>
            <w:pPr>
              <w:spacing w:after="0"/>
              <w:rPr>
                <w:sz w:val="24"/>
                <w:szCs w:val="24"/>
                <w:color w:val="auto"/>
              </w:rPr>
            </w:pPr>
          </w:p>
        </w:tc>
        <w:tc>
          <w:tcPr>
            <w:tcW w:w="2460" w:type="dxa"/>
            <w:vAlign w:val="bottom"/>
            <w:gridSpan w:val="2"/>
          </w:tcPr>
          <w:p>
            <w:pPr>
              <w:jc w:val="right"/>
              <w:ind w:right="1560"/>
              <w:spacing w:after="0"/>
              <w:rPr>
                <w:sz w:val="20"/>
                <w:szCs w:val="20"/>
                <w:color w:val="auto"/>
              </w:rPr>
            </w:pPr>
            <w:r>
              <w:rPr>
                <w:rFonts w:ascii="Arial" w:cs="Arial" w:eastAsia="Arial" w:hAnsi="Arial"/>
                <w:sz w:val="13"/>
                <w:szCs w:val="13"/>
                <w:color w:val="auto"/>
              </w:rPr>
              <w:t>29.43%</w:t>
            </w:r>
          </w:p>
        </w:tc>
        <w:tc>
          <w:tcPr>
            <w:tcW w:w="60" w:type="dxa"/>
            <w:vAlign w:val="bottom"/>
          </w:tcPr>
          <w:p>
            <w:pPr>
              <w:spacing w:after="0"/>
              <w:rPr>
                <w:sz w:val="24"/>
                <w:szCs w:val="24"/>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3"/>
                <w:szCs w:val="13"/>
                <w:color w:val="auto"/>
              </w:rPr>
              <w:t>(28.13)%</w:t>
            </w:r>
          </w:p>
        </w:tc>
      </w:tr>
      <w:tr>
        <w:trPr>
          <w:trHeight w:val="148"/>
        </w:trPr>
        <w:tc>
          <w:tcPr>
            <w:tcW w:w="66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Number of portfolio companies (at period end) </w:t>
            </w:r>
            <w:r>
              <w:rPr>
                <w:rFonts w:ascii="Arial" w:cs="Arial" w:eastAsia="Arial" w:hAnsi="Arial"/>
                <w:sz w:val="17"/>
                <w:szCs w:val="17"/>
                <w:color w:val="auto"/>
                <w:vertAlign w:val="superscript"/>
              </w:rPr>
              <w:t>(4)</w:t>
            </w:r>
          </w:p>
        </w:tc>
        <w:tc>
          <w:tcPr>
            <w:tcW w:w="80" w:type="dxa"/>
            <w:vAlign w:val="bottom"/>
            <w:shd w:val="clear" w:color="auto" w:fill="CCEEFF"/>
          </w:tcPr>
          <w:p>
            <w:pPr>
              <w:spacing w:after="0"/>
              <w:rPr>
                <w:sz w:val="12"/>
                <w:szCs w:val="12"/>
                <w:color w:val="auto"/>
              </w:rPr>
            </w:pPr>
          </w:p>
        </w:tc>
        <w:tc>
          <w:tcPr>
            <w:tcW w:w="2460" w:type="dxa"/>
            <w:vAlign w:val="bottom"/>
            <w:gridSpan w:val="2"/>
            <w:shd w:val="clear" w:color="auto" w:fill="CCEEFF"/>
          </w:tcPr>
          <w:p>
            <w:pPr>
              <w:jc w:val="right"/>
              <w:ind w:right="1680"/>
              <w:spacing w:after="0"/>
              <w:rPr>
                <w:sz w:val="20"/>
                <w:szCs w:val="20"/>
                <w:color w:val="auto"/>
              </w:rPr>
            </w:pPr>
            <w:r>
              <w:rPr>
                <w:rFonts w:ascii="Arial" w:cs="Arial" w:eastAsia="Arial" w:hAnsi="Arial"/>
                <w:sz w:val="13"/>
                <w:szCs w:val="13"/>
                <w:color w:val="auto"/>
              </w:rPr>
              <w:t>61</w:t>
            </w:r>
          </w:p>
        </w:tc>
        <w:tc>
          <w:tcPr>
            <w:tcW w:w="60" w:type="dxa"/>
            <w:vAlign w:val="bottom"/>
            <w:shd w:val="clear" w:color="auto" w:fill="CCEEFF"/>
          </w:tcPr>
          <w:p>
            <w:pPr>
              <w:spacing w:after="0"/>
              <w:rPr>
                <w:sz w:val="12"/>
                <w:szCs w:val="12"/>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200" w:type="dxa"/>
            <w:vAlign w:val="bottom"/>
            <w:shd w:val="clear" w:color="auto" w:fill="CCEEFF"/>
          </w:tcPr>
          <w:p>
            <w:pPr>
              <w:spacing w:after="0"/>
              <w:rPr>
                <w:sz w:val="12"/>
                <w:szCs w:val="12"/>
                <w:color w:val="auto"/>
              </w:rPr>
            </w:pPr>
          </w:p>
        </w:tc>
      </w:tr>
      <w:tr>
        <w:trPr>
          <w:trHeight w:val="331"/>
        </w:trPr>
        <w:tc>
          <w:tcPr>
            <w:tcW w:w="6680" w:type="dxa"/>
            <w:vAlign w:val="bottom"/>
          </w:tcPr>
          <w:p>
            <w:pPr>
              <w:spacing w:after="0"/>
              <w:rPr>
                <w:sz w:val="20"/>
                <w:szCs w:val="20"/>
                <w:color w:val="auto"/>
              </w:rPr>
            </w:pPr>
            <w:r>
              <w:rPr>
                <w:rFonts w:ascii="Arial" w:cs="Arial" w:eastAsia="Arial" w:hAnsi="Arial"/>
                <w:sz w:val="13"/>
                <w:szCs w:val="13"/>
                <w:color w:val="auto"/>
              </w:rPr>
              <w:t xml:space="preserve">Yield on debt portfolio (at period end) </w:t>
            </w:r>
            <w:r>
              <w:rPr>
                <w:rFonts w:ascii="Arial" w:cs="Arial" w:eastAsia="Arial" w:hAnsi="Arial"/>
                <w:sz w:val="22"/>
                <w:szCs w:val="22"/>
                <w:color w:val="auto"/>
                <w:vertAlign w:val="superscript"/>
              </w:rPr>
              <w:t>(4)</w:t>
            </w:r>
          </w:p>
        </w:tc>
        <w:tc>
          <w:tcPr>
            <w:tcW w:w="80" w:type="dxa"/>
            <w:vAlign w:val="bottom"/>
          </w:tcPr>
          <w:p>
            <w:pPr>
              <w:spacing w:after="0"/>
              <w:rPr>
                <w:sz w:val="24"/>
                <w:szCs w:val="24"/>
                <w:color w:val="auto"/>
              </w:rPr>
            </w:pPr>
          </w:p>
        </w:tc>
        <w:tc>
          <w:tcPr>
            <w:tcW w:w="2460" w:type="dxa"/>
            <w:vAlign w:val="bottom"/>
            <w:gridSpan w:val="2"/>
          </w:tcPr>
          <w:p>
            <w:pPr>
              <w:jc w:val="right"/>
              <w:ind w:right="1560"/>
              <w:spacing w:after="0"/>
              <w:rPr>
                <w:sz w:val="20"/>
                <w:szCs w:val="20"/>
                <w:color w:val="auto"/>
              </w:rPr>
            </w:pPr>
            <w:r>
              <w:rPr>
                <w:rFonts w:ascii="Arial" w:cs="Arial" w:eastAsia="Arial" w:hAnsi="Arial"/>
                <w:sz w:val="13"/>
                <w:szCs w:val="13"/>
                <w:color w:val="auto"/>
              </w:rPr>
              <w:t>8.6%</w:t>
            </w:r>
          </w:p>
        </w:tc>
        <w:tc>
          <w:tcPr>
            <w:tcW w:w="60" w:type="dxa"/>
            <w:vAlign w:val="bottom"/>
          </w:tcPr>
          <w:p>
            <w:pPr>
              <w:spacing w:after="0"/>
              <w:rPr>
                <w:sz w:val="24"/>
                <w:szCs w:val="24"/>
                <w:color w:val="auto"/>
              </w:rPr>
            </w:pPr>
          </w:p>
        </w:tc>
        <w:tc>
          <w:tcPr>
            <w:tcW w:w="1960" w:type="dxa"/>
            <w:vAlign w:val="bottom"/>
            <w:gridSpan w:val="2"/>
          </w:tcPr>
          <w:p>
            <w:pPr>
              <w:jc w:val="right"/>
              <w:ind w:right="80"/>
              <w:spacing w:after="0"/>
              <w:rPr>
                <w:sz w:val="20"/>
                <w:szCs w:val="20"/>
                <w:color w:val="auto"/>
              </w:rPr>
            </w:pPr>
            <w:r>
              <w:rPr>
                <w:rFonts w:ascii="Arial" w:cs="Arial" w:eastAsia="Arial" w:hAnsi="Arial"/>
                <w:sz w:val="13"/>
                <w:szCs w:val="13"/>
                <w:color w:val="auto"/>
              </w:rPr>
              <w:t>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163703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3"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3"/>
          <w:szCs w:val="13"/>
          <w:color w:val="auto"/>
        </w:rPr>
      </w:pPr>
      <w:r>
        <w:rPr>
          <w:rFonts w:ascii="Arial" w:cs="Arial" w:eastAsia="Arial" w:hAnsi="Arial"/>
          <w:sz w:val="13"/>
          <w:szCs w:val="13"/>
          <w:color w:val="auto"/>
        </w:rPr>
        <w:t>Not annualized for a period of less than a year.</w:t>
      </w:r>
    </w:p>
    <w:p>
      <w:pPr>
        <w:spacing w:after="0" w:line="10"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3"/>
          <w:szCs w:val="13"/>
          <w:color w:val="auto"/>
        </w:rPr>
      </w:pPr>
      <w:r>
        <w:rPr>
          <w:rFonts w:ascii="Arial" w:cs="Arial" w:eastAsia="Arial" w:hAnsi="Arial"/>
          <w:sz w:val="13"/>
          <w:szCs w:val="13"/>
          <w:color w:val="auto"/>
        </w:rPr>
        <w:t>Based on the weighted average shares outstanding for the respective periods.</w:t>
      </w:r>
    </w:p>
    <w:p>
      <w:pPr>
        <w:ind w:left="460" w:hanging="452"/>
        <w:spacing w:after="0"/>
        <w:tabs>
          <w:tab w:leader="none" w:pos="460" w:val="left"/>
        </w:tabs>
        <w:numPr>
          <w:ilvl w:val="0"/>
          <w:numId w:val="34"/>
        </w:numPr>
        <w:rPr>
          <w:rFonts w:ascii="Arial" w:cs="Arial" w:eastAsia="Arial" w:hAnsi="Arial"/>
          <w:sz w:val="13"/>
          <w:szCs w:val="13"/>
          <w:color w:val="auto"/>
        </w:rPr>
      </w:pPr>
      <w:r>
        <w:rPr>
          <w:rFonts w:ascii="Arial" w:cs="Arial" w:eastAsia="Arial" w:hAnsi="Arial"/>
          <w:sz w:val="13"/>
          <w:szCs w:val="13"/>
          <w:color w:val="auto"/>
        </w:rPr>
        <w:t>Determined based on taxable income calculated in accordance with income tax regulations which may differ from amounts determined under GAAP.</w:t>
      </w:r>
    </w:p>
    <w:p>
      <w:pPr>
        <w:ind w:left="460" w:hanging="452"/>
        <w:spacing w:after="0"/>
        <w:tabs>
          <w:tab w:leader="none" w:pos="460" w:val="left"/>
        </w:tabs>
        <w:numPr>
          <w:ilvl w:val="0"/>
          <w:numId w:val="34"/>
        </w:numPr>
        <w:rPr>
          <w:rFonts w:ascii="Arial" w:cs="Arial" w:eastAsia="Arial" w:hAnsi="Arial"/>
          <w:sz w:val="13"/>
          <w:szCs w:val="13"/>
          <w:color w:val="auto"/>
        </w:rPr>
      </w:pPr>
      <w:r>
        <w:rPr>
          <w:rFonts w:ascii="Arial" w:cs="Arial" w:eastAsia="Arial" w:hAnsi="Arial"/>
          <w:sz w:val="13"/>
          <w:szCs w:val="13"/>
          <w:color w:val="auto"/>
        </w:rPr>
        <w:t>Based on the change in market price per share during the periods and takes into account distributions, if any, reinvested in accordance with our dividend reinvestment plan.</w:t>
      </w:r>
    </w:p>
    <w:p>
      <w:pPr>
        <w:ind w:left="460" w:hanging="452"/>
        <w:spacing w:after="0"/>
        <w:tabs>
          <w:tab w:leader="none" w:pos="460" w:val="left"/>
        </w:tabs>
        <w:numPr>
          <w:ilvl w:val="0"/>
          <w:numId w:val="34"/>
        </w:numPr>
        <w:rPr>
          <w:rFonts w:ascii="Arial" w:cs="Arial" w:eastAsia="Arial" w:hAnsi="Arial"/>
          <w:sz w:val="13"/>
          <w:szCs w:val="13"/>
          <w:color w:val="auto"/>
        </w:rPr>
      </w:pPr>
      <w:r>
        <w:rPr>
          <w:rFonts w:ascii="Arial" w:cs="Arial" w:eastAsia="Arial" w:hAnsi="Arial"/>
          <w:sz w:val="13"/>
          <w:szCs w:val="13"/>
          <w:color w:val="auto"/>
        </w:rPr>
        <w:t>Unaudited.</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41</w:t>
      </w:r>
    </w:p>
    <w:p>
      <w:pPr>
        <w:sectPr>
          <w:pgSz w:w="11900" w:h="16838" w:orient="portrait"/>
          <w:cols w:equalWidth="0" w:num="1">
            <w:col w:w="11240"/>
          </w:cols>
          <w:pgMar w:left="320" w:top="459"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00" w:val="left"/>
        </w:tabs>
        <w:rPr>
          <w:sz w:val="20"/>
          <w:szCs w:val="20"/>
          <w:color w:val="auto"/>
        </w:rPr>
      </w:pPr>
      <w:r>
        <w:rPr>
          <w:rFonts w:ascii="Arial" w:cs="Arial" w:eastAsia="Arial" w:hAnsi="Arial"/>
          <w:sz w:val="13"/>
          <w:szCs w:val="13"/>
          <w:b w:val="1"/>
          <w:bCs w:val="1"/>
          <w:color w:val="auto"/>
        </w:rPr>
        <w:t>Item 7.</w:t>
      </w:r>
      <w:r>
        <w:rPr>
          <w:sz w:val="20"/>
          <w:szCs w:val="20"/>
          <w:color w:val="auto"/>
        </w:rPr>
        <w:tab/>
      </w:r>
      <w:r>
        <w:rPr>
          <w:rFonts w:ascii="Arial" w:cs="Arial" w:eastAsia="Arial" w:hAnsi="Arial"/>
          <w:sz w:val="13"/>
          <w:szCs w:val="13"/>
          <w:b w:val="1"/>
          <w:bCs w:val="1"/>
          <w:color w:val="auto"/>
        </w:rPr>
        <w:t>MANAGEMENT’S DISCUSSION AND ANALYSIS OF FINANCIAL CONDITION AND RESULTS OF OPERATIONS</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FORWARD-LOOKING STATEMENTS</w:t>
      </w:r>
    </w:p>
    <w:p>
      <w:pPr>
        <w:spacing w:after="0" w:line="82" w:lineRule="exact"/>
        <w:rPr>
          <w:sz w:val="20"/>
          <w:szCs w:val="20"/>
          <w:color w:val="auto"/>
        </w:rPr>
      </w:pPr>
    </w:p>
    <w:p>
      <w:pPr>
        <w:ind w:right="140" w:firstLine="337"/>
        <w:spacing w:after="0" w:line="288" w:lineRule="auto"/>
        <w:rPr>
          <w:sz w:val="20"/>
          <w:szCs w:val="20"/>
          <w:color w:val="auto"/>
        </w:rPr>
      </w:pPr>
      <w:r>
        <w:rPr>
          <w:rFonts w:ascii="Arial" w:cs="Arial" w:eastAsia="Arial" w:hAnsi="Arial"/>
          <w:sz w:val="12"/>
          <w:szCs w:val="12"/>
          <w:color w:val="auto"/>
        </w:rPr>
        <w:t>This Report, including Management’s Discussion and Analysis of Financial Condition and Results of Operations, contains statements that constitute forward-looking statements, which relate to future events or our future performance or future financial condition. These forward-looking statements are not historical facts, but rather are based on current expectations, estimates and projections about our Company, industry, our beliefs and our assumptions. The forward-looking statements contained in this Report involve risks and uncertainties, including statements as to:</w:t>
      </w:r>
    </w:p>
    <w:p>
      <w:pPr>
        <w:spacing w:after="0" w:line="97" w:lineRule="exact"/>
        <w:rPr>
          <w:sz w:val="20"/>
          <w:szCs w:val="20"/>
          <w:color w:val="auto"/>
        </w:rPr>
      </w:pPr>
    </w:p>
    <w:p>
      <w:pPr>
        <w:ind w:left="1900" w:hanging="772"/>
        <w:spacing w:after="0"/>
        <w:tabs>
          <w:tab w:leader="none" w:pos="19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our future operating results;</w:t>
      </w:r>
    </w:p>
    <w:p>
      <w:pPr>
        <w:spacing w:after="0" w:line="147" w:lineRule="exact"/>
        <w:rPr>
          <w:rFonts w:ascii="Arial" w:cs="Arial" w:eastAsia="Arial" w:hAnsi="Arial"/>
          <w:sz w:val="13"/>
          <w:szCs w:val="13"/>
          <w:color w:val="auto"/>
        </w:rPr>
      </w:pPr>
    </w:p>
    <w:p>
      <w:pPr>
        <w:ind w:left="1900" w:hanging="772"/>
        <w:spacing w:after="0"/>
        <w:tabs>
          <w:tab w:leader="none" w:pos="19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our business prospects and the prospects of our prospective portfolio companies;</w:t>
      </w:r>
    </w:p>
    <w:p>
      <w:pPr>
        <w:spacing w:after="0" w:line="147" w:lineRule="exact"/>
        <w:rPr>
          <w:rFonts w:ascii="Arial" w:cs="Arial" w:eastAsia="Arial" w:hAnsi="Arial"/>
          <w:sz w:val="13"/>
          <w:szCs w:val="13"/>
          <w:color w:val="auto"/>
        </w:rPr>
      </w:pPr>
    </w:p>
    <w:p>
      <w:pPr>
        <w:ind w:left="1900" w:hanging="772"/>
        <w:spacing w:after="0"/>
        <w:tabs>
          <w:tab w:leader="none" w:pos="19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dependence of our future success on the general economy and its impact on the industries in which we invest;</w:t>
      </w:r>
    </w:p>
    <w:p>
      <w:pPr>
        <w:spacing w:after="0" w:line="147" w:lineRule="exact"/>
        <w:rPr>
          <w:rFonts w:ascii="Arial" w:cs="Arial" w:eastAsia="Arial" w:hAnsi="Arial"/>
          <w:sz w:val="13"/>
          <w:szCs w:val="13"/>
          <w:color w:val="auto"/>
        </w:rPr>
      </w:pPr>
    </w:p>
    <w:p>
      <w:pPr>
        <w:ind w:left="1900" w:hanging="772"/>
        <w:spacing w:after="0"/>
        <w:tabs>
          <w:tab w:leader="none" w:pos="19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impact of a protracted decline in the liquidity of credit markets on our business;</w:t>
      </w:r>
    </w:p>
    <w:p>
      <w:pPr>
        <w:spacing w:after="0" w:line="147" w:lineRule="exact"/>
        <w:rPr>
          <w:rFonts w:ascii="Arial" w:cs="Arial" w:eastAsia="Arial" w:hAnsi="Arial"/>
          <w:sz w:val="13"/>
          <w:szCs w:val="13"/>
          <w:color w:val="auto"/>
        </w:rPr>
      </w:pPr>
    </w:p>
    <w:p>
      <w:pPr>
        <w:ind w:left="1900" w:hanging="772"/>
        <w:spacing w:after="0"/>
        <w:tabs>
          <w:tab w:leader="none" w:pos="19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impact of investments that we expect to make;</w:t>
      </w:r>
    </w:p>
    <w:p>
      <w:pPr>
        <w:spacing w:after="0" w:line="147" w:lineRule="exact"/>
        <w:rPr>
          <w:rFonts w:ascii="Arial" w:cs="Arial" w:eastAsia="Arial" w:hAnsi="Arial"/>
          <w:sz w:val="13"/>
          <w:szCs w:val="13"/>
          <w:color w:val="auto"/>
        </w:rPr>
      </w:pPr>
    </w:p>
    <w:p>
      <w:pPr>
        <w:ind w:left="1900" w:hanging="772"/>
        <w:spacing w:after="0"/>
        <w:tabs>
          <w:tab w:leader="none" w:pos="19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impact of fluctuations in interest rates on our business and our portfolio companies;</w:t>
      </w:r>
    </w:p>
    <w:p>
      <w:pPr>
        <w:spacing w:after="0" w:line="147" w:lineRule="exact"/>
        <w:rPr>
          <w:rFonts w:ascii="Arial" w:cs="Arial" w:eastAsia="Arial" w:hAnsi="Arial"/>
          <w:sz w:val="13"/>
          <w:szCs w:val="13"/>
          <w:color w:val="auto"/>
        </w:rPr>
      </w:pPr>
    </w:p>
    <w:p>
      <w:pPr>
        <w:ind w:left="1900" w:hanging="772"/>
        <w:spacing w:after="0"/>
        <w:tabs>
          <w:tab w:leader="none" w:pos="19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our contractual arrangements and relationships with third parties;</w:t>
      </w:r>
    </w:p>
    <w:p>
      <w:pPr>
        <w:spacing w:after="0" w:line="147" w:lineRule="exact"/>
        <w:rPr>
          <w:rFonts w:ascii="Arial" w:cs="Arial" w:eastAsia="Arial" w:hAnsi="Arial"/>
          <w:sz w:val="13"/>
          <w:szCs w:val="13"/>
          <w:color w:val="auto"/>
        </w:rPr>
      </w:pPr>
    </w:p>
    <w:p>
      <w:pPr>
        <w:ind w:left="1900" w:hanging="772"/>
        <w:spacing w:after="0"/>
        <w:tabs>
          <w:tab w:leader="none" w:pos="19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valuation of our investments in portfolio companies, particularly those having no liquid trading market;</w:t>
      </w:r>
    </w:p>
    <w:p>
      <w:pPr>
        <w:spacing w:after="0" w:line="147" w:lineRule="exact"/>
        <w:rPr>
          <w:rFonts w:ascii="Arial" w:cs="Arial" w:eastAsia="Arial" w:hAnsi="Arial"/>
          <w:sz w:val="13"/>
          <w:szCs w:val="13"/>
          <w:color w:val="auto"/>
        </w:rPr>
      </w:pPr>
    </w:p>
    <w:p>
      <w:pPr>
        <w:ind w:left="1900" w:hanging="772"/>
        <w:spacing w:after="0"/>
        <w:tabs>
          <w:tab w:leader="none" w:pos="19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ability of our prospective portfolio companies to achieve their objectives;</w:t>
      </w:r>
    </w:p>
    <w:p>
      <w:pPr>
        <w:spacing w:after="0" w:line="147" w:lineRule="exact"/>
        <w:rPr>
          <w:rFonts w:ascii="Arial" w:cs="Arial" w:eastAsia="Arial" w:hAnsi="Arial"/>
          <w:sz w:val="13"/>
          <w:szCs w:val="13"/>
          <w:color w:val="auto"/>
        </w:rPr>
      </w:pPr>
    </w:p>
    <w:p>
      <w:pPr>
        <w:ind w:left="1900" w:hanging="772"/>
        <w:spacing w:after="0"/>
        <w:tabs>
          <w:tab w:leader="none" w:pos="19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our expected financings and investments;</w:t>
      </w:r>
    </w:p>
    <w:p>
      <w:pPr>
        <w:spacing w:after="0" w:line="147" w:lineRule="exact"/>
        <w:rPr>
          <w:rFonts w:ascii="Arial" w:cs="Arial" w:eastAsia="Arial" w:hAnsi="Arial"/>
          <w:sz w:val="13"/>
          <w:szCs w:val="13"/>
          <w:color w:val="auto"/>
        </w:rPr>
      </w:pPr>
    </w:p>
    <w:p>
      <w:pPr>
        <w:ind w:left="1900" w:hanging="772"/>
        <w:spacing w:after="0"/>
        <w:tabs>
          <w:tab w:leader="none" w:pos="19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adequacy of our cash resources and working capital;</w:t>
      </w:r>
    </w:p>
    <w:p>
      <w:pPr>
        <w:spacing w:after="0" w:line="147" w:lineRule="exact"/>
        <w:rPr>
          <w:rFonts w:ascii="Arial" w:cs="Arial" w:eastAsia="Arial" w:hAnsi="Arial"/>
          <w:sz w:val="13"/>
          <w:szCs w:val="13"/>
          <w:color w:val="auto"/>
        </w:rPr>
      </w:pPr>
    </w:p>
    <w:p>
      <w:pPr>
        <w:ind w:left="1900" w:hanging="772"/>
        <w:spacing w:after="0"/>
        <w:tabs>
          <w:tab w:leader="none" w:pos="19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timing of cash flows, if any, from the operations of our prospective portfolio companies;</w:t>
      </w:r>
    </w:p>
    <w:p>
      <w:pPr>
        <w:spacing w:after="0" w:line="147" w:lineRule="exact"/>
        <w:rPr>
          <w:rFonts w:ascii="Arial" w:cs="Arial" w:eastAsia="Arial" w:hAnsi="Arial"/>
          <w:sz w:val="13"/>
          <w:szCs w:val="13"/>
          <w:color w:val="auto"/>
        </w:rPr>
      </w:pPr>
    </w:p>
    <w:p>
      <w:pPr>
        <w:ind w:left="1900" w:hanging="772"/>
        <w:spacing w:after="0"/>
        <w:tabs>
          <w:tab w:leader="none" w:pos="19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ability of the Investment Adviser to locate suitable investments for us and to monitor and administer our investments; and</w:t>
      </w:r>
    </w:p>
    <w:p>
      <w:pPr>
        <w:spacing w:after="0" w:line="147" w:lineRule="exact"/>
        <w:rPr>
          <w:rFonts w:ascii="Arial" w:cs="Arial" w:eastAsia="Arial" w:hAnsi="Arial"/>
          <w:sz w:val="13"/>
          <w:szCs w:val="13"/>
          <w:color w:val="auto"/>
        </w:rPr>
      </w:pPr>
    </w:p>
    <w:p>
      <w:pPr>
        <w:ind w:left="1900" w:hanging="772"/>
        <w:spacing w:after="0"/>
        <w:tabs>
          <w:tab w:leader="none" w:pos="19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impact of future legislation and regulation on our business and our portfolio companies.</w:t>
      </w:r>
    </w:p>
    <w:p>
      <w:pPr>
        <w:spacing w:after="0" w:line="134" w:lineRule="exact"/>
        <w:rPr>
          <w:sz w:val="20"/>
          <w:szCs w:val="20"/>
          <w:color w:val="auto"/>
        </w:rPr>
      </w:pPr>
    </w:p>
    <w:p>
      <w:pPr>
        <w:jc w:val="both"/>
        <w:ind w:right="300" w:firstLine="562"/>
        <w:spacing w:after="0" w:line="256" w:lineRule="auto"/>
        <w:rPr>
          <w:sz w:val="20"/>
          <w:szCs w:val="20"/>
          <w:color w:val="auto"/>
        </w:rPr>
      </w:pPr>
      <w:r>
        <w:rPr>
          <w:rFonts w:ascii="Arial" w:cs="Arial" w:eastAsia="Arial" w:hAnsi="Arial"/>
          <w:sz w:val="13"/>
          <w:szCs w:val="13"/>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 including the factors in “Risk Factors” and elsewhere in this Report.</w:t>
      </w:r>
    </w:p>
    <w:p>
      <w:pPr>
        <w:spacing w:after="0" w:line="102" w:lineRule="exact"/>
        <w:rPr>
          <w:sz w:val="20"/>
          <w:szCs w:val="20"/>
          <w:color w:val="auto"/>
        </w:rPr>
      </w:pPr>
    </w:p>
    <w:p>
      <w:pPr>
        <w:ind w:right="120" w:firstLine="562"/>
        <w:spacing w:after="0" w:line="250" w:lineRule="auto"/>
        <w:rPr>
          <w:sz w:val="20"/>
          <w:szCs w:val="20"/>
          <w:color w:val="auto"/>
        </w:rPr>
      </w:pPr>
      <w:r>
        <w:rPr>
          <w:rFonts w:ascii="Arial" w:cs="Arial" w:eastAsia="Arial" w:hAnsi="Arial"/>
          <w:sz w:val="13"/>
          <w:szCs w:val="13"/>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106" w:lineRule="exact"/>
        <w:rPr>
          <w:sz w:val="20"/>
          <w:szCs w:val="20"/>
          <w:color w:val="auto"/>
        </w:rPr>
      </w:pPr>
    </w:p>
    <w:p>
      <w:pPr>
        <w:ind w:right="220" w:firstLine="562"/>
        <w:spacing w:after="0" w:line="288" w:lineRule="auto"/>
        <w:rPr>
          <w:sz w:val="20"/>
          <w:szCs w:val="20"/>
          <w:color w:val="auto"/>
        </w:rPr>
      </w:pPr>
      <w:r>
        <w:rPr>
          <w:rFonts w:ascii="Arial" w:cs="Arial" w:eastAsia="Arial" w:hAnsi="Arial"/>
          <w:sz w:val="12"/>
          <w:szCs w:val="12"/>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84" w:lineRule="exact"/>
        <w:rPr>
          <w:sz w:val="20"/>
          <w:szCs w:val="20"/>
          <w:color w:val="auto"/>
        </w:rPr>
      </w:pPr>
    </w:p>
    <w:p>
      <w:pPr>
        <w:ind w:firstLine="562"/>
        <w:spacing w:after="0" w:line="274" w:lineRule="auto"/>
        <w:rPr>
          <w:sz w:val="20"/>
          <w:szCs w:val="20"/>
          <w:color w:val="auto"/>
        </w:rPr>
      </w:pPr>
      <w:r>
        <w:rPr>
          <w:rFonts w:ascii="Arial" w:cs="Arial" w:eastAsia="Arial" w:hAnsi="Arial"/>
          <w:sz w:val="13"/>
          <w:szCs w:val="13"/>
          <w:color w:val="auto"/>
        </w:rPr>
        <w:t>You should understand that under Section 27A(b)(2)(B) of the Securities Act, and Section 21E(b)(2)(B) of the Exchange Act, the “safe harbor” provisions of the Private Securities Litigation Reform Act of 1995 do not apply to statements made in periodic reports we file under the Exchange Act.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42</w:t>
      </w:r>
    </w:p>
    <w:p>
      <w:pPr>
        <w:sectPr>
          <w:pgSz w:w="11900" w:h="16838" w:orient="portrait"/>
          <w:cols w:equalWidth="0" w:num="1">
            <w:col w:w="11240"/>
          </w:cols>
          <w:pgMar w:left="320" w:top="459"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520" w:firstLine="562"/>
        <w:spacing w:after="0" w:line="274" w:lineRule="auto"/>
        <w:rPr>
          <w:sz w:val="20"/>
          <w:szCs w:val="20"/>
          <w:color w:val="auto"/>
        </w:rPr>
      </w:pPr>
      <w:r>
        <w:rPr>
          <w:rFonts w:ascii="Arial" w:cs="Arial" w:eastAsia="Arial" w:hAnsi="Arial"/>
          <w:sz w:val="13"/>
          <w:szCs w:val="13"/>
          <w:color w:val="auto"/>
        </w:rPr>
        <w:t>The following analysis of our financial condition and results of operations should be read in conjunction with our Consolidated Financial Statements and the related notes thereto contained elsewhere in this Report.</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Overview</w:t>
      </w:r>
    </w:p>
    <w:p>
      <w:pPr>
        <w:spacing w:after="0" w:line="80" w:lineRule="exact"/>
        <w:rPr>
          <w:sz w:val="20"/>
          <w:szCs w:val="20"/>
          <w:color w:val="auto"/>
        </w:rPr>
      </w:pPr>
    </w:p>
    <w:p>
      <w:pPr>
        <w:ind w:right="220" w:firstLine="562"/>
        <w:spacing w:after="0" w:line="274" w:lineRule="auto"/>
        <w:rPr>
          <w:sz w:val="20"/>
          <w:szCs w:val="20"/>
          <w:color w:val="auto"/>
        </w:rPr>
      </w:pPr>
      <w:r>
        <w:rPr>
          <w:rFonts w:ascii="Arial" w:cs="Arial" w:eastAsia="Arial" w:hAnsi="Arial"/>
          <w:sz w:val="13"/>
          <w:szCs w:val="13"/>
          <w:color w:val="auto"/>
        </w:rPr>
        <w:t>PennantPark Floating Rate Capital Ltd. is a BDC whose objectives are to generate current income and capital appreciation. We seek to achieve our investment objective by investing primarily in Floating Rate Loans, and other instruments made to U.S. middle-market private companies whose debt is rated below investment grade.</w:t>
      </w:r>
    </w:p>
    <w:p>
      <w:pPr>
        <w:spacing w:after="0" w:line="91" w:lineRule="exact"/>
        <w:rPr>
          <w:sz w:val="20"/>
          <w:szCs w:val="20"/>
          <w:color w:val="auto"/>
        </w:rPr>
      </w:pPr>
    </w:p>
    <w:p>
      <w:pPr>
        <w:ind w:right="20" w:firstLine="562"/>
        <w:spacing w:after="0" w:line="244" w:lineRule="auto"/>
        <w:rPr>
          <w:sz w:val="20"/>
          <w:szCs w:val="20"/>
          <w:color w:val="auto"/>
        </w:rPr>
      </w:pPr>
      <w:r>
        <w:rPr>
          <w:rFonts w:ascii="Arial" w:cs="Arial" w:eastAsia="Arial" w:hAnsi="Arial"/>
          <w:sz w:val="13"/>
          <w:szCs w:val="13"/>
          <w:color w:val="auto"/>
        </w:rPr>
        <w:t>We believe that Floating Rate Loans to U.S. middle-market private companies offer attractive risk adjusted returns due to a limited amount of capital available for such companies and the potential for rising interest rates. We use the term “middle-market” to refer to companies with annual revenues between $50 million and $1 billion. We may also invest in public middle-market U.S. companies that are thinly traded or have a small market-capitalization. Our investments are typically rated below investment grade. Securities rated below investment grade are often referred to as “leverage loans” or “high yield” securities or “junk bonds” and are often higher risk compared to debt instruments that are rated above investment grade and have speculative characteristics. However, when compared to junk bonds and other non-investment grade debt, Floating Rate Loans typically have more robust capital-preserving qualities, such as historically lower default rates than junk bonds, represent the senior source of capital in a borrower’s capital structure and often have certain of the borrower’s assets pledged as collateral. Our investments may have terms of three to ten years and are made to U.S. and, to a limited extent, non-U.S. corporations, partnerships and other business entities which operate in various industries and geographical regions.</w:t>
      </w:r>
    </w:p>
    <w:p>
      <w:pPr>
        <w:spacing w:after="0" w:line="111"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Under normal market conditions, we generally expect that at least 80% of the value of our Managed Assets, will be invested in Floating Rate Loans and other investments bearing a variable-rate of interest which may, from time to time, include variable rate derivative instruments. We generally expect that senior secured loans, or first lien loans, will represent at least 65% of our overall portfolio. We also generally expect to invest up to 35% of our overall portfolio opportunistically in other types of investments, including second-lien, high yield, mezzanine and distressed debt securities and to a lesser extent equity investments. Our investment size may generally range between $1 million and $10 million, on average, although we expect that this investment size will vary proportionately with the size of our capital base.</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Organization and Structure of PennantPark Floating Rate Capital, Ltd.</w:t>
      </w:r>
    </w:p>
    <w:p>
      <w:pPr>
        <w:spacing w:after="0" w:line="80" w:lineRule="exact"/>
        <w:rPr>
          <w:sz w:val="20"/>
          <w:szCs w:val="20"/>
          <w:color w:val="auto"/>
        </w:rPr>
      </w:pPr>
    </w:p>
    <w:p>
      <w:pPr>
        <w:ind w:right="20" w:firstLine="562"/>
        <w:spacing w:after="0" w:line="278" w:lineRule="auto"/>
        <w:rPr>
          <w:sz w:val="20"/>
          <w:szCs w:val="20"/>
          <w:color w:val="auto"/>
        </w:rPr>
      </w:pPr>
      <w:r>
        <w:rPr>
          <w:rFonts w:ascii="Arial" w:cs="Arial" w:eastAsia="Arial" w:hAnsi="Arial"/>
          <w:sz w:val="12"/>
          <w:szCs w:val="12"/>
          <w:color w:val="auto"/>
        </w:rPr>
        <w:t>PennantPark Floating Rate Capital Ltd., a Maryland corporation organized in October 2010, is a closed-end, externally managed, non-diversified investment company that has elected to be treated as a BDC under the 1940 Act. As such, we are required to comply with certain regulatory requirements. For instance, we generally have to hold at least 70% of our total assets in “qualifying assets,” including securities of U.S. private companies or thinly traded public companies, public companies with a market capitalization of less than $250 million, cash, cash equivalents, U.S. government securities and high quality debt investments that mature in one year or less. In addition, for tax purposes we elected to be treated, and intend to qualify annually, as a RIC, under the Code.</w:t>
      </w:r>
    </w:p>
    <w:p>
      <w:pPr>
        <w:spacing w:after="0" w:line="90" w:lineRule="exact"/>
        <w:rPr>
          <w:sz w:val="20"/>
          <w:szCs w:val="20"/>
          <w:color w:val="auto"/>
        </w:rPr>
      </w:pPr>
    </w:p>
    <w:p>
      <w:pPr>
        <w:ind w:right="40" w:firstLine="562"/>
        <w:spacing w:after="0" w:line="247" w:lineRule="auto"/>
        <w:rPr>
          <w:sz w:val="20"/>
          <w:szCs w:val="20"/>
          <w:color w:val="auto"/>
        </w:rPr>
      </w:pPr>
      <w:r>
        <w:rPr>
          <w:rFonts w:ascii="Arial" w:cs="Arial" w:eastAsia="Arial" w:hAnsi="Arial"/>
          <w:sz w:val="13"/>
          <w:szCs w:val="13"/>
          <w:color w:val="auto"/>
        </w:rPr>
        <w:t>Our investment activities are managed by the Investment Adviser. Under our Investment Management Agreement, we have agreed to pay our Investment Adviser an annual base management fee based on our average adjusted gross total assets as well as an incentive fee based on our investment performance.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and the Investment Adviser supervise our activities.</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Revenues</w:t>
      </w:r>
    </w:p>
    <w:p>
      <w:pPr>
        <w:spacing w:after="0" w:line="80" w:lineRule="exact"/>
        <w:rPr>
          <w:sz w:val="20"/>
          <w:szCs w:val="20"/>
          <w:color w:val="auto"/>
        </w:rPr>
      </w:pPr>
    </w:p>
    <w:p>
      <w:pPr>
        <w:ind w:right="80" w:firstLine="562"/>
        <w:spacing w:after="0" w:line="278" w:lineRule="auto"/>
        <w:rPr>
          <w:sz w:val="20"/>
          <w:szCs w:val="20"/>
          <w:color w:val="auto"/>
        </w:rPr>
      </w:pPr>
      <w:r>
        <w:rPr>
          <w:rFonts w:ascii="Arial" w:cs="Arial" w:eastAsia="Arial" w:hAnsi="Arial"/>
          <w:sz w:val="12"/>
          <w:szCs w:val="12"/>
          <w:color w:val="auto"/>
        </w:rPr>
        <w:t>We generate revenue in the form of interest income on the debt securities we hold. Capital gains if any, are recorded on a trade date basis on investments. Our debt investments, whether in the form of senior secured loans or mezzanine debt, typically have a term of three to ten years and bear interest at a fixed or floating rate. Interest on debt securities is generally payable quarterly or semiannually. In some cases, some of our investments provide for deferred interest payments or PIK interest. The principal amount of the debt securities and any accrued but unpaid interest generally becomes due at the maturity date. In addition, we may generate revenue in the form of commitment, OID, origination, structuring or diligence fees, fees for providing managerial assistance and possibly consulting fees.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Expenses</w:t>
      </w:r>
    </w:p>
    <w:p>
      <w:pPr>
        <w:spacing w:after="0" w:line="80" w:lineRule="exact"/>
        <w:rPr>
          <w:sz w:val="20"/>
          <w:szCs w:val="20"/>
          <w:color w:val="auto"/>
        </w:rPr>
      </w:pPr>
    </w:p>
    <w:p>
      <w:pPr>
        <w:jc w:val="both"/>
        <w:ind w:right="40" w:firstLine="562"/>
        <w:spacing w:after="0" w:line="288" w:lineRule="auto"/>
        <w:rPr>
          <w:sz w:val="20"/>
          <w:szCs w:val="20"/>
          <w:color w:val="auto"/>
        </w:rPr>
      </w:pPr>
      <w:r>
        <w:rPr>
          <w:rFonts w:ascii="Arial" w:cs="Arial" w:eastAsia="Arial" w:hAnsi="Arial"/>
          <w:sz w:val="12"/>
          <w:szCs w:val="12"/>
          <w:color w:val="auto"/>
        </w:rPr>
        <w:t>Our primary operating expenses include the payment of management and incentive fees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we accrue under our Credit Facility. We bear all other direct or indirect costs and expenses of our operations and transactions, including:</w:t>
      </w:r>
    </w:p>
    <w:p>
      <w:pPr>
        <w:spacing w:after="0" w:line="97" w:lineRule="exact"/>
        <w:rPr>
          <w:sz w:val="20"/>
          <w:szCs w:val="20"/>
          <w:color w:val="auto"/>
        </w:rPr>
      </w:pPr>
    </w:p>
    <w:p>
      <w:pPr>
        <w:ind w:left="1900" w:hanging="772"/>
        <w:spacing w:after="0"/>
        <w:tabs>
          <w:tab w:leader="none" w:pos="19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cost of calculating our net asset value, including the cost of any third-party valuation services;</w:t>
      </w:r>
    </w:p>
    <w:p>
      <w:pPr>
        <w:spacing w:after="0" w:line="147" w:lineRule="exact"/>
        <w:rPr>
          <w:rFonts w:ascii="Arial" w:cs="Arial" w:eastAsia="Arial" w:hAnsi="Arial"/>
          <w:sz w:val="13"/>
          <w:szCs w:val="13"/>
          <w:color w:val="auto"/>
        </w:rPr>
      </w:pPr>
    </w:p>
    <w:p>
      <w:pPr>
        <w:ind w:left="5560" w:right="4240" w:hanging="4432"/>
        <w:spacing w:after="0" w:line="513" w:lineRule="auto"/>
        <w:tabs>
          <w:tab w:leader="none" w:pos="1902"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cost of effecting sales and repurchases of shares of our common stock and other securities; 43</w:t>
      </w:r>
    </w:p>
    <w:p>
      <w:pPr>
        <w:sectPr>
          <w:pgSz w:w="11900" w:h="16838" w:orient="portrait"/>
          <w:cols w:equalWidth="0" w:num="1">
            <w:col w:w="11240"/>
          </w:cols>
          <w:pgMar w:left="320" w:top="459"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900" w:right="300" w:hanging="772"/>
        <w:spacing w:after="0" w:line="274" w:lineRule="auto"/>
        <w:tabs>
          <w:tab w:leader="none" w:pos="19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fees payable to third parties relating to, or associated with, making investments, including fees and expenses associated with performing due diligence and reviews of prospective investments or complimentary businesses;</w:t>
      </w:r>
    </w:p>
    <w:p>
      <w:pPr>
        <w:spacing w:after="0" w:line="104" w:lineRule="exact"/>
        <w:rPr>
          <w:rFonts w:ascii="Arial" w:cs="Arial" w:eastAsia="Arial" w:hAnsi="Arial"/>
          <w:sz w:val="13"/>
          <w:szCs w:val="13"/>
          <w:color w:val="auto"/>
        </w:rPr>
      </w:pPr>
    </w:p>
    <w:p>
      <w:pPr>
        <w:ind w:left="1900" w:hanging="772"/>
        <w:spacing w:after="0"/>
        <w:tabs>
          <w:tab w:leader="none" w:pos="19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expenses incurred by the Investment Adviser in performing due diligence and reviews of investments;</w:t>
      </w:r>
    </w:p>
    <w:p>
      <w:pPr>
        <w:spacing w:after="0" w:line="147" w:lineRule="exact"/>
        <w:rPr>
          <w:rFonts w:ascii="Arial" w:cs="Arial" w:eastAsia="Arial" w:hAnsi="Arial"/>
          <w:sz w:val="13"/>
          <w:szCs w:val="13"/>
          <w:color w:val="auto"/>
        </w:rPr>
      </w:pPr>
    </w:p>
    <w:p>
      <w:pPr>
        <w:ind w:left="1900" w:hanging="772"/>
        <w:spacing w:after="0"/>
        <w:tabs>
          <w:tab w:leader="none" w:pos="19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transfer agent and custodial fees;</w:t>
      </w:r>
    </w:p>
    <w:p>
      <w:pPr>
        <w:spacing w:after="0" w:line="147" w:lineRule="exact"/>
        <w:rPr>
          <w:rFonts w:ascii="Arial" w:cs="Arial" w:eastAsia="Arial" w:hAnsi="Arial"/>
          <w:sz w:val="13"/>
          <w:szCs w:val="13"/>
          <w:color w:val="auto"/>
        </w:rPr>
      </w:pPr>
    </w:p>
    <w:p>
      <w:pPr>
        <w:ind w:left="1900" w:hanging="772"/>
        <w:spacing w:after="0"/>
        <w:tabs>
          <w:tab w:leader="none" w:pos="19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fees and expenses associated with marketing efforts;</w:t>
      </w:r>
    </w:p>
    <w:p>
      <w:pPr>
        <w:spacing w:after="0" w:line="147" w:lineRule="exact"/>
        <w:rPr>
          <w:rFonts w:ascii="Arial" w:cs="Arial" w:eastAsia="Arial" w:hAnsi="Arial"/>
          <w:sz w:val="13"/>
          <w:szCs w:val="13"/>
          <w:color w:val="auto"/>
        </w:rPr>
      </w:pPr>
    </w:p>
    <w:p>
      <w:pPr>
        <w:ind w:left="1900" w:hanging="772"/>
        <w:spacing w:after="0"/>
        <w:tabs>
          <w:tab w:leader="none" w:pos="19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federal and state registration fees and any stock exchange listing fees;</w:t>
      </w:r>
    </w:p>
    <w:p>
      <w:pPr>
        <w:spacing w:after="0" w:line="147" w:lineRule="exact"/>
        <w:rPr>
          <w:rFonts w:ascii="Arial" w:cs="Arial" w:eastAsia="Arial" w:hAnsi="Arial"/>
          <w:sz w:val="13"/>
          <w:szCs w:val="13"/>
          <w:color w:val="auto"/>
        </w:rPr>
      </w:pPr>
    </w:p>
    <w:p>
      <w:pPr>
        <w:ind w:left="1900" w:hanging="772"/>
        <w:spacing w:after="0"/>
        <w:tabs>
          <w:tab w:leader="none" w:pos="19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fees and expenses associated with independent audits and outside legal costs;</w:t>
      </w:r>
    </w:p>
    <w:p>
      <w:pPr>
        <w:spacing w:after="0" w:line="147" w:lineRule="exact"/>
        <w:rPr>
          <w:rFonts w:ascii="Arial" w:cs="Arial" w:eastAsia="Arial" w:hAnsi="Arial"/>
          <w:sz w:val="13"/>
          <w:szCs w:val="13"/>
          <w:color w:val="auto"/>
        </w:rPr>
      </w:pPr>
    </w:p>
    <w:p>
      <w:pPr>
        <w:ind w:left="1900" w:hanging="772"/>
        <w:spacing w:after="0"/>
        <w:tabs>
          <w:tab w:leader="none" w:pos="19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federal, state and local taxes;</w:t>
      </w:r>
    </w:p>
    <w:p>
      <w:pPr>
        <w:spacing w:after="0" w:line="147" w:lineRule="exact"/>
        <w:rPr>
          <w:rFonts w:ascii="Arial" w:cs="Arial" w:eastAsia="Arial" w:hAnsi="Arial"/>
          <w:sz w:val="13"/>
          <w:szCs w:val="13"/>
          <w:color w:val="auto"/>
        </w:rPr>
      </w:pPr>
    </w:p>
    <w:p>
      <w:pPr>
        <w:ind w:left="1900" w:hanging="772"/>
        <w:spacing w:after="0"/>
        <w:tabs>
          <w:tab w:leader="none" w:pos="19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independent directors’ fees and expenses;</w:t>
      </w:r>
    </w:p>
    <w:p>
      <w:pPr>
        <w:spacing w:after="0" w:line="147" w:lineRule="exact"/>
        <w:rPr>
          <w:rFonts w:ascii="Arial" w:cs="Arial" w:eastAsia="Arial" w:hAnsi="Arial"/>
          <w:sz w:val="13"/>
          <w:szCs w:val="13"/>
          <w:color w:val="auto"/>
        </w:rPr>
      </w:pPr>
    </w:p>
    <w:p>
      <w:pPr>
        <w:ind w:left="1900" w:hanging="772"/>
        <w:spacing w:after="0"/>
        <w:tabs>
          <w:tab w:leader="none" w:pos="19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brokerage commissions;</w:t>
      </w:r>
    </w:p>
    <w:p>
      <w:pPr>
        <w:spacing w:after="0" w:line="147" w:lineRule="exact"/>
        <w:rPr>
          <w:rFonts w:ascii="Arial" w:cs="Arial" w:eastAsia="Arial" w:hAnsi="Arial"/>
          <w:sz w:val="13"/>
          <w:szCs w:val="13"/>
          <w:color w:val="auto"/>
        </w:rPr>
      </w:pPr>
    </w:p>
    <w:p>
      <w:pPr>
        <w:ind w:left="1900" w:hanging="772"/>
        <w:spacing w:after="0"/>
        <w:tabs>
          <w:tab w:leader="none" w:pos="19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fidelity bond, directors and officers/errors and omissions liability insurance and other insurance premiums;</w:t>
      </w:r>
    </w:p>
    <w:p>
      <w:pPr>
        <w:spacing w:after="0" w:line="147" w:lineRule="exact"/>
        <w:rPr>
          <w:rFonts w:ascii="Arial" w:cs="Arial" w:eastAsia="Arial" w:hAnsi="Arial"/>
          <w:sz w:val="13"/>
          <w:szCs w:val="13"/>
          <w:color w:val="auto"/>
        </w:rPr>
      </w:pPr>
    </w:p>
    <w:p>
      <w:pPr>
        <w:ind w:left="1900" w:hanging="772"/>
        <w:spacing w:after="0"/>
        <w:tabs>
          <w:tab w:leader="none" w:pos="19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direct costs such as printing, mailing, long distance telephone and staff;</w:t>
      </w:r>
    </w:p>
    <w:p>
      <w:pPr>
        <w:spacing w:after="0" w:line="147" w:lineRule="exact"/>
        <w:rPr>
          <w:rFonts w:ascii="Arial" w:cs="Arial" w:eastAsia="Arial" w:hAnsi="Arial"/>
          <w:sz w:val="13"/>
          <w:szCs w:val="13"/>
          <w:color w:val="auto"/>
        </w:rPr>
      </w:pPr>
    </w:p>
    <w:p>
      <w:pPr>
        <w:ind w:left="1900" w:hanging="772"/>
        <w:spacing w:after="0"/>
        <w:tabs>
          <w:tab w:leader="none" w:pos="19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costs associated with our reporting and compliance obligations under the 1940 Act, and applicable federal and state securities laws; and</w:t>
      </w:r>
    </w:p>
    <w:p>
      <w:pPr>
        <w:spacing w:after="0" w:line="147" w:lineRule="exact"/>
        <w:rPr>
          <w:rFonts w:ascii="Arial" w:cs="Arial" w:eastAsia="Arial" w:hAnsi="Arial"/>
          <w:sz w:val="13"/>
          <w:szCs w:val="13"/>
          <w:color w:val="auto"/>
        </w:rPr>
      </w:pPr>
    </w:p>
    <w:p>
      <w:pPr>
        <w:ind w:left="1900" w:hanging="772"/>
        <w:spacing w:after="0" w:line="250" w:lineRule="auto"/>
        <w:tabs>
          <w:tab w:leader="none" w:pos="19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12"/>
          <w:szCs w:val="12"/>
          <w:color w:val="auto"/>
        </w:rPr>
        <w:t>During periods of asset growth, we expect our general and administrative expenses to be relatively stable or to decline as a percentage of total assets and increase during periods of asset declines.</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Incentive fees, interest expense and costs relating to future offerings of securities would be additive to the expenses described above.</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PORTFOLIO AND INVESTMENT ACTIVITY</w:t>
      </w:r>
    </w:p>
    <w:p>
      <w:pPr>
        <w:spacing w:after="0" w:line="82" w:lineRule="exact"/>
        <w:rPr>
          <w:sz w:val="20"/>
          <w:szCs w:val="20"/>
          <w:color w:val="auto"/>
        </w:rPr>
      </w:pPr>
    </w:p>
    <w:p>
      <w:pPr>
        <w:ind w:right="60" w:firstLine="562"/>
        <w:spacing w:after="0" w:line="278" w:lineRule="auto"/>
        <w:rPr>
          <w:sz w:val="20"/>
          <w:szCs w:val="20"/>
          <w:color w:val="auto"/>
        </w:rPr>
      </w:pPr>
      <w:r>
        <w:rPr>
          <w:rFonts w:ascii="Arial" w:cs="Arial" w:eastAsia="Arial" w:hAnsi="Arial"/>
          <w:sz w:val="12"/>
          <w:szCs w:val="12"/>
          <w:color w:val="auto"/>
        </w:rPr>
        <w:t>As of September 30, 2012, our portfolio totaled $171.8 million and consisted of $150.2 million of senior secured loans, $12.0 million of second lien secured debt and $9.6 million of subordinated debt, preferred and common equity investments. Our debt portfolio consisted of 85% variable-rate investments (including 81% with a LIBOR or prime floor) and 15% fixed-rate investments. Overall, the portfolio had net unrealized depreciation of $0.3 million. Our overall portfolio consisted of 61 companies with an average investment size of $2.8 million, a weighted average yield on debt investments of 8.6%, and was invested 87% in senior secured loans, 7% in second lien secured debt and 6% in subordinated debt and preferred and common equity investments.</w:t>
      </w:r>
    </w:p>
    <w:p>
      <w:pPr>
        <w:spacing w:after="0" w:line="90" w:lineRule="exact"/>
        <w:rPr>
          <w:sz w:val="20"/>
          <w:szCs w:val="20"/>
          <w:color w:val="auto"/>
        </w:rPr>
      </w:pPr>
    </w:p>
    <w:p>
      <w:pPr>
        <w:ind w:right="60" w:firstLine="562"/>
        <w:spacing w:after="0" w:line="278" w:lineRule="auto"/>
        <w:rPr>
          <w:sz w:val="20"/>
          <w:szCs w:val="20"/>
          <w:color w:val="auto"/>
        </w:rPr>
      </w:pPr>
      <w:r>
        <w:rPr>
          <w:rFonts w:ascii="Arial" w:cs="Arial" w:eastAsia="Arial" w:hAnsi="Arial"/>
          <w:sz w:val="12"/>
          <w:szCs w:val="12"/>
          <w:color w:val="auto"/>
        </w:rPr>
        <w:t>As of September 30, 2011, our portfolio totaled $110.7 million and consisted of $91.4 million of senior secured loans, $12.2 million of second lien secured debt, $7.1 million of subordinated debt and preferred and common equity investments. Our debt portfolio consisted of 84% variable-rate investments (including 78% with a LIBOR or prime floor) and 16% fixed-rate investments. Overall, the portfolio had net unrealized depreciation of $4.1 million. Our overall portfolio consisted of 38 companies with an average investment size of $2.9 million, a weighted average yield on debt investments of 8.0%, and was invested 83% in senior secured loans, 11% in second lien secured debt, 6% in subordinated debt and in preferred and common equity investments.</w:t>
      </w:r>
    </w:p>
    <w:p>
      <w:pPr>
        <w:spacing w:after="0" w:line="90" w:lineRule="exact"/>
        <w:rPr>
          <w:sz w:val="20"/>
          <w:szCs w:val="20"/>
          <w:color w:val="auto"/>
        </w:rPr>
      </w:pPr>
    </w:p>
    <w:p>
      <w:pPr>
        <w:ind w:firstLine="562"/>
        <w:spacing w:after="0" w:line="274" w:lineRule="auto"/>
        <w:rPr>
          <w:sz w:val="20"/>
          <w:szCs w:val="20"/>
          <w:color w:val="auto"/>
        </w:rPr>
      </w:pPr>
      <w:r>
        <w:rPr>
          <w:rFonts w:ascii="Arial" w:cs="Arial" w:eastAsia="Arial" w:hAnsi="Arial"/>
          <w:sz w:val="13"/>
          <w:szCs w:val="13"/>
          <w:color w:val="auto"/>
        </w:rPr>
        <w:t>For the fiscal year ended September 30, 2012, we purchased $128.7 million of investments issued by 47 new and seven existing portfolio companies with a weighted average yield of 8.9% on debt investments. For the same period sales and repayments of investments generated proceeds of $71.5 million.</w:t>
      </w:r>
    </w:p>
    <w:p>
      <w:pPr>
        <w:spacing w:after="0" w:line="91" w:lineRule="exact"/>
        <w:rPr>
          <w:sz w:val="20"/>
          <w:szCs w:val="20"/>
          <w:color w:val="auto"/>
        </w:rPr>
      </w:pPr>
    </w:p>
    <w:p>
      <w:pPr>
        <w:ind w:right="80" w:firstLine="562"/>
        <w:spacing w:after="0" w:line="274" w:lineRule="auto"/>
        <w:rPr>
          <w:sz w:val="20"/>
          <w:szCs w:val="20"/>
          <w:color w:val="auto"/>
        </w:rPr>
      </w:pPr>
      <w:r>
        <w:rPr>
          <w:rFonts w:ascii="Arial" w:cs="Arial" w:eastAsia="Arial" w:hAnsi="Arial"/>
          <w:sz w:val="13"/>
          <w:szCs w:val="13"/>
          <w:color w:val="auto"/>
        </w:rPr>
        <w:t>For the period from March 4, 2011 (commencement of operations) to September 30, 2011, we purchased $147.5 million of investments issued by 50 portfolio companies with a weighted average yield of 7.6% on debt investments. For the same period sales and repayments of investments generated proceeds of $33.2 million.</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44</w:t>
      </w:r>
    </w:p>
    <w:p>
      <w:pPr>
        <w:sectPr>
          <w:pgSz w:w="11900" w:h="16838" w:orient="portrait"/>
          <w:cols w:equalWidth="0" w:num="1">
            <w:col w:w="11140"/>
          </w:cols>
          <w:pgMar w:left="32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CRITICAL ACCOUNTING POLICIES</w:t>
      </w:r>
    </w:p>
    <w:p>
      <w:pPr>
        <w:spacing w:after="0" w:line="82" w:lineRule="exact"/>
        <w:rPr>
          <w:sz w:val="20"/>
          <w:szCs w:val="20"/>
          <w:color w:val="auto"/>
        </w:rPr>
      </w:pPr>
    </w:p>
    <w:p>
      <w:pPr>
        <w:ind w:firstLine="562"/>
        <w:spacing w:after="0" w:line="245" w:lineRule="auto"/>
        <w:rPr>
          <w:sz w:val="20"/>
          <w:szCs w:val="20"/>
          <w:color w:val="auto"/>
        </w:rPr>
      </w:pPr>
      <w:r>
        <w:rPr>
          <w:rFonts w:ascii="Arial" w:cs="Arial" w:eastAsia="Arial" w:hAnsi="Arial"/>
          <w:sz w:val="13"/>
          <w:szCs w:val="13"/>
          <w:color w:val="auto"/>
        </w:rPr>
        <w:t>The discussion of our financial condition and results of operations are based upon our Consolidated Financial Statements, which have been prepared in accordance with GAAP. The preparation of these Consolidated Financial Statements requires management to make estimates and assumptions that affect the reported amounts of assets, liabilities, revenues and expenses during the reporting period. Actual results could differ from these estimates. We have eliminated all intercompany balances and transactions. References to the Accounting Standards Codification, or ASC, serve as a single source of literature. Subsequent events are evaluated and disclosed as appropriate for events occurring through the date the Consolidated Financial Statements are issued. Changes in the economic and regulatory environment, financial markets and any other parameters used in determining such estimates could cause actual results to differ. In addition to the discussion below, we describe our critical accounting policies in the notes to our Consolidated Financial Statements.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Valuation of Portfolio Investments</w:t>
      </w:r>
    </w:p>
    <w:p>
      <w:pPr>
        <w:spacing w:after="0" w:line="80" w:lineRule="exact"/>
        <w:rPr>
          <w:sz w:val="20"/>
          <w:szCs w:val="20"/>
          <w:color w:val="auto"/>
        </w:rPr>
      </w:pPr>
    </w:p>
    <w:p>
      <w:pPr>
        <w:ind w:right="20" w:firstLine="562"/>
        <w:spacing w:after="0" w:line="247" w:lineRule="auto"/>
        <w:rPr>
          <w:sz w:val="20"/>
          <w:szCs w:val="20"/>
          <w:color w:val="auto"/>
        </w:rPr>
      </w:pPr>
      <w:r>
        <w:rPr>
          <w:rFonts w:ascii="Arial" w:cs="Arial" w:eastAsia="Arial" w:hAnsi="Arial"/>
          <w:sz w:val="13"/>
          <w:szCs w:val="13"/>
          <w:color w:val="auto"/>
        </w:rPr>
        <w:t>Our investments generally consist of illiquid securities including debt and equity investments. Our board of directors generally uses market quotations to assess the value of our investments for which market quotations are readily available. We obtain these market values from independent pricing services or at the bid prices obtained from at least two brokers/dealers, if available, or otherwise from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08" w:lineRule="exact"/>
        <w:rPr>
          <w:sz w:val="20"/>
          <w:szCs w:val="20"/>
          <w:color w:val="auto"/>
        </w:rPr>
      </w:pPr>
    </w:p>
    <w:p>
      <w:pPr>
        <w:ind w:right="40" w:firstLine="562"/>
        <w:spacing w:after="0" w:line="244" w:lineRule="auto"/>
        <w:rPr>
          <w:sz w:val="20"/>
          <w:szCs w:val="20"/>
          <w:color w:val="auto"/>
        </w:rPr>
      </w:pPr>
      <w:r>
        <w:rPr>
          <w:rFonts w:ascii="Arial" w:cs="Arial" w:eastAsia="Arial" w:hAnsi="Arial"/>
          <w:sz w:val="13"/>
          <w:szCs w:val="13"/>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from our valuations and the differences may be material.</w:t>
      </w:r>
    </w:p>
    <w:p>
      <w:pPr>
        <w:spacing w:after="0" w:line="111" w:lineRule="exact"/>
        <w:rPr>
          <w:sz w:val="20"/>
          <w:szCs w:val="20"/>
          <w:color w:val="auto"/>
        </w:rPr>
      </w:pPr>
    </w:p>
    <w:p>
      <w:pPr>
        <w:ind w:right="300" w:firstLine="562"/>
        <w:spacing w:after="0" w:line="274" w:lineRule="auto"/>
        <w:rPr>
          <w:sz w:val="20"/>
          <w:szCs w:val="20"/>
          <w:color w:val="auto"/>
        </w:rPr>
      </w:pPr>
      <w:r>
        <w:rPr>
          <w:rFonts w:ascii="Arial" w:cs="Arial" w:eastAsia="Arial" w:hAnsi="Arial"/>
          <w:sz w:val="13"/>
          <w:szCs w:val="13"/>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04" w:lineRule="exact"/>
        <w:rPr>
          <w:sz w:val="20"/>
          <w:szCs w:val="20"/>
          <w:color w:val="auto"/>
        </w:rPr>
      </w:pPr>
    </w:p>
    <w:p>
      <w:pPr>
        <w:ind w:left="1660" w:right="100" w:hanging="653"/>
        <w:spacing w:after="0" w:line="274" w:lineRule="auto"/>
        <w:tabs>
          <w:tab w:leader="none" w:pos="16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Our quarterly valuation process begins with each portfolio company or investment being initially valued by the investment professionals of our Investment Adviser responsible for the portfolio investment;</w:t>
      </w:r>
    </w:p>
    <w:p>
      <w:pPr>
        <w:spacing w:after="0" w:line="104" w:lineRule="exact"/>
        <w:rPr>
          <w:rFonts w:ascii="Arial" w:cs="Arial" w:eastAsia="Arial" w:hAnsi="Arial"/>
          <w:sz w:val="13"/>
          <w:szCs w:val="13"/>
          <w:color w:val="auto"/>
        </w:rPr>
      </w:pPr>
    </w:p>
    <w:p>
      <w:pPr>
        <w:ind w:left="1660" w:hanging="653"/>
        <w:spacing w:after="0"/>
        <w:tabs>
          <w:tab w:leader="none" w:pos="16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Preliminary valuation conclusions are then documented and discussed with the management of our Investment Adviser;</w:t>
      </w:r>
    </w:p>
    <w:p>
      <w:pPr>
        <w:spacing w:after="0" w:line="147" w:lineRule="exact"/>
        <w:rPr>
          <w:rFonts w:ascii="Arial" w:cs="Arial" w:eastAsia="Arial" w:hAnsi="Arial"/>
          <w:sz w:val="13"/>
          <w:szCs w:val="13"/>
          <w:color w:val="auto"/>
        </w:rPr>
      </w:pPr>
    </w:p>
    <w:p>
      <w:pPr>
        <w:ind w:left="1660" w:right="160" w:hanging="653"/>
        <w:spacing w:after="0" w:line="288" w:lineRule="auto"/>
        <w:tabs>
          <w:tab w:leader="none" w:pos="1660" w:val="left"/>
        </w:tabs>
        <w:numPr>
          <w:ilvl w:val="0"/>
          <w:numId w:val="38"/>
        </w:numPr>
        <w:rPr>
          <w:rFonts w:ascii="Arial" w:cs="Arial" w:eastAsia="Arial" w:hAnsi="Arial"/>
          <w:sz w:val="12"/>
          <w:szCs w:val="12"/>
          <w:color w:val="auto"/>
        </w:rPr>
      </w:pPr>
      <w:r>
        <w:rPr>
          <w:rFonts w:ascii="Arial" w:cs="Arial" w:eastAsia="Arial" w:hAnsi="Arial"/>
          <w:sz w:val="12"/>
          <w:szCs w:val="12"/>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97" w:lineRule="exact"/>
        <w:rPr>
          <w:rFonts w:ascii="Arial" w:cs="Arial" w:eastAsia="Arial" w:hAnsi="Arial"/>
          <w:sz w:val="12"/>
          <w:szCs w:val="12"/>
          <w:color w:val="auto"/>
        </w:rPr>
      </w:pPr>
    </w:p>
    <w:p>
      <w:pPr>
        <w:ind w:left="1660" w:right="320" w:hanging="653"/>
        <w:spacing w:after="0" w:line="274" w:lineRule="auto"/>
        <w:tabs>
          <w:tab w:leader="none" w:pos="16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audit committee of our board of directors reviews the preliminary valuations of our Investment Adviser and those of the independent valuation firms and responds and supplements the valuation recommendations of the independent valuation firms to reflect any comments; and</w:t>
      </w:r>
    </w:p>
    <w:p>
      <w:pPr>
        <w:spacing w:after="0" w:line="104" w:lineRule="exact"/>
        <w:rPr>
          <w:rFonts w:ascii="Arial" w:cs="Arial" w:eastAsia="Arial" w:hAnsi="Arial"/>
          <w:sz w:val="13"/>
          <w:szCs w:val="13"/>
          <w:color w:val="auto"/>
        </w:rPr>
      </w:pPr>
    </w:p>
    <w:p>
      <w:pPr>
        <w:ind w:left="1660" w:right="80" w:hanging="653"/>
        <w:spacing w:after="0" w:line="274" w:lineRule="auto"/>
        <w:tabs>
          <w:tab w:leader="none" w:pos="16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Our board of directors discusses the valuations and determines the fair value of each investment in our portfolio in good faith, based on the input of our Investment Adviser, the independent valuation firms and the audit committee.</w:t>
      </w:r>
    </w:p>
    <w:p>
      <w:pPr>
        <w:spacing w:after="0" w:line="91" w:lineRule="exact"/>
        <w:rPr>
          <w:sz w:val="20"/>
          <w:szCs w:val="20"/>
          <w:color w:val="auto"/>
        </w:rPr>
      </w:pPr>
    </w:p>
    <w:p>
      <w:pPr>
        <w:ind w:right="160" w:firstLine="562"/>
        <w:spacing w:after="0" w:line="247"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45</w:t>
      </w:r>
    </w:p>
    <w:p>
      <w:pPr>
        <w:sectPr>
          <w:pgSz w:w="11900" w:h="16838" w:orient="portrait"/>
          <w:cols w:equalWidth="0" w:num="1">
            <w:col w:w="11240"/>
          </w:cols>
          <w:pgMar w:left="320" w:top="459" w:right="3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ASC 820 classifies the inputs used to measure these fair values into the following hierarchies:</w:t>
      </w:r>
    </w:p>
    <w:p>
      <w:pPr>
        <w:spacing w:after="0" w:line="148" w:lineRule="exact"/>
        <w:rPr>
          <w:sz w:val="20"/>
          <w:szCs w:val="20"/>
          <w:color w:val="auto"/>
        </w:rPr>
      </w:pPr>
    </w:p>
    <w:p>
      <w:pPr>
        <w:ind w:left="900"/>
        <w:spacing w:after="0"/>
        <w:tabs>
          <w:tab w:leader="none" w:pos="1780" w:val="left"/>
        </w:tabs>
        <w:rPr>
          <w:sz w:val="20"/>
          <w:szCs w:val="20"/>
          <w:color w:val="auto"/>
        </w:rPr>
      </w:pPr>
      <w:r>
        <w:rPr>
          <w:rFonts w:ascii="Arial" w:cs="Arial" w:eastAsia="Arial" w:hAnsi="Arial"/>
          <w:sz w:val="13"/>
          <w:szCs w:val="13"/>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48" w:lineRule="exact"/>
        <w:rPr>
          <w:sz w:val="20"/>
          <w:szCs w:val="20"/>
          <w:color w:val="auto"/>
        </w:rPr>
      </w:pPr>
    </w:p>
    <w:p>
      <w:pPr>
        <w:ind w:left="1800" w:right="80" w:hanging="890"/>
        <w:spacing w:after="0" w:line="274" w:lineRule="auto"/>
        <w:tabs>
          <w:tab w:leader="none" w:pos="1780" w:val="left"/>
        </w:tabs>
        <w:rPr>
          <w:sz w:val="20"/>
          <w:szCs w:val="20"/>
          <w:color w:val="auto"/>
        </w:rPr>
      </w:pPr>
      <w:r>
        <w:rPr>
          <w:rFonts w:ascii="Arial" w:cs="Arial" w:eastAsia="Arial" w:hAnsi="Arial"/>
          <w:sz w:val="13"/>
          <w:szCs w:val="13"/>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04" w:lineRule="exact"/>
        <w:rPr>
          <w:sz w:val="20"/>
          <w:szCs w:val="20"/>
          <w:color w:val="auto"/>
        </w:rPr>
      </w:pPr>
    </w:p>
    <w:p>
      <w:pPr>
        <w:ind w:left="900"/>
        <w:spacing w:after="0"/>
        <w:tabs>
          <w:tab w:leader="none" w:pos="1780" w:val="left"/>
        </w:tabs>
        <w:rPr>
          <w:sz w:val="20"/>
          <w:szCs w:val="20"/>
          <w:color w:val="auto"/>
        </w:rPr>
      </w:pPr>
      <w:r>
        <w:rPr>
          <w:rFonts w:ascii="Arial" w:cs="Arial" w:eastAsia="Arial" w:hAnsi="Arial"/>
          <w:sz w:val="13"/>
          <w:szCs w:val="13"/>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34" w:lineRule="exact"/>
        <w:rPr>
          <w:sz w:val="20"/>
          <w:szCs w:val="20"/>
          <w:color w:val="auto"/>
        </w:rPr>
      </w:pPr>
    </w:p>
    <w:p>
      <w:pPr>
        <w:ind w:right="20" w:firstLine="562"/>
        <w:spacing w:after="0" w:line="256" w:lineRule="auto"/>
        <w:rPr>
          <w:sz w:val="20"/>
          <w:szCs w:val="20"/>
          <w:color w:val="auto"/>
        </w:rPr>
      </w:pPr>
      <w:r>
        <w:rPr>
          <w:rFonts w:ascii="Arial" w:cs="Arial" w:eastAsia="Arial" w:hAnsi="Arial"/>
          <w:sz w:val="13"/>
          <w:szCs w:val="13"/>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 A review of fair value hierarchy classifications in conducted on a quarterly basis.</w:t>
      </w:r>
    </w:p>
    <w:p>
      <w:pPr>
        <w:spacing w:after="0" w:line="102" w:lineRule="exact"/>
        <w:rPr>
          <w:sz w:val="20"/>
          <w:szCs w:val="20"/>
          <w:color w:val="auto"/>
        </w:rPr>
      </w:pPr>
    </w:p>
    <w:p>
      <w:pPr>
        <w:ind w:right="180" w:firstLine="562"/>
        <w:spacing w:after="0" w:line="274" w:lineRule="auto"/>
        <w:rPr>
          <w:sz w:val="20"/>
          <w:szCs w:val="20"/>
          <w:color w:val="auto"/>
        </w:rPr>
      </w:pPr>
      <w:r>
        <w:rPr>
          <w:rFonts w:ascii="Arial" w:cs="Arial" w:eastAsia="Arial" w:hAnsi="Arial"/>
          <w:sz w:val="13"/>
          <w:szCs w:val="13"/>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91" w:lineRule="exact"/>
        <w:rPr>
          <w:sz w:val="20"/>
          <w:szCs w:val="20"/>
          <w:color w:val="auto"/>
        </w:rPr>
      </w:pPr>
    </w:p>
    <w:p>
      <w:pPr>
        <w:ind w:right="180" w:firstLine="562"/>
        <w:spacing w:after="0" w:line="264" w:lineRule="auto"/>
        <w:rPr>
          <w:sz w:val="20"/>
          <w:szCs w:val="20"/>
          <w:color w:val="auto"/>
        </w:rPr>
      </w:pPr>
      <w:r>
        <w:rPr>
          <w:rFonts w:ascii="Arial" w:cs="Arial" w:eastAsia="Arial" w:hAnsi="Arial"/>
          <w:sz w:val="12"/>
          <w:szCs w:val="12"/>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long-term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for the year ended September 30, 2012 we incurred and expensed up-front fees of $0.3 million which represents transaction costs and expenses related to the amendment of the Credit Facility.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are reported in our Consolidated Statement of Operations. For the year ended September 30, 2012 and for the period from March 4, 2011 (commencement of operations) to September 30, 2011, the Credit Facility had a net change in unrealized appreciation of $0.4 million and zero, respectively. As of September 30, 2012 and 2011, the Credit Facility had unrealized appreciation of $0.4 million and zero, respectively. We use a nationally recognized independent valuation service to measure the fair value of the Credit Facility in a manner consistent with the valuation process that the board of directors uses to value investments.</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80" w:lineRule="exact"/>
        <w:rPr>
          <w:sz w:val="20"/>
          <w:szCs w:val="20"/>
          <w:color w:val="auto"/>
        </w:rPr>
      </w:pPr>
    </w:p>
    <w:p>
      <w:pPr>
        <w:ind w:firstLine="562"/>
        <w:spacing w:after="0" w:line="273" w:lineRule="auto"/>
        <w:rPr>
          <w:sz w:val="20"/>
          <w:szCs w:val="20"/>
          <w:color w:val="auto"/>
        </w:rPr>
      </w:pPr>
      <w:r>
        <w:rPr>
          <w:rFonts w:ascii="Arial" w:cs="Arial" w:eastAsia="Arial" w:hAnsi="Arial"/>
          <w:sz w:val="12"/>
          <w:szCs w:val="12"/>
          <w:color w:val="auto"/>
        </w:rPr>
        <w:t>We record interest income on an accrual basis to the extent that we expect to collect such amounts. For loans and debt investments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investments if we determine that it is probable that we will not be able to collect such interest. Loan origination fees, original issue discount, and market discount or premium are capitalized, and we then amortize such amounts as interest income or expense, as applicable, using the effective interest method. We record contractual prepayment premiums on loans and debt investments as income. Dividend income, if any, is recognized on an accrual basis on the ex-dividend date to the extent that we expect to collect such amounts.</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Net Realized Gains or Losses and Net Change in Unrealized Appreciation or Depreciation</w:t>
      </w:r>
    </w:p>
    <w:p>
      <w:pPr>
        <w:spacing w:after="0" w:line="80" w:lineRule="exact"/>
        <w:rPr>
          <w:sz w:val="20"/>
          <w:szCs w:val="20"/>
          <w:color w:val="auto"/>
        </w:rPr>
      </w:pPr>
    </w:p>
    <w:p>
      <w:pPr>
        <w:ind w:right="140" w:firstLine="562"/>
        <w:spacing w:after="0" w:line="288" w:lineRule="auto"/>
        <w:rPr>
          <w:sz w:val="20"/>
          <w:szCs w:val="20"/>
          <w:color w:val="auto"/>
        </w:rPr>
      </w:pPr>
      <w:r>
        <w:rPr>
          <w:rFonts w:ascii="Arial" w:cs="Arial" w:eastAsia="Arial" w:hAnsi="Arial"/>
          <w:sz w:val="12"/>
          <w:szCs w:val="12"/>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138"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Payment-in-Kind Interest</w:t>
      </w:r>
    </w:p>
    <w:p>
      <w:pPr>
        <w:spacing w:after="0" w:line="80" w:lineRule="exact"/>
        <w:rPr>
          <w:sz w:val="20"/>
          <w:szCs w:val="20"/>
          <w:color w:val="auto"/>
        </w:rPr>
      </w:pPr>
    </w:p>
    <w:p>
      <w:pPr>
        <w:ind w:right="40" w:firstLine="562"/>
        <w:spacing w:after="0" w:line="274" w:lineRule="auto"/>
        <w:rPr>
          <w:sz w:val="20"/>
          <w:szCs w:val="20"/>
          <w:color w:val="auto"/>
        </w:rPr>
      </w:pPr>
      <w:r>
        <w:rPr>
          <w:rFonts w:ascii="Arial" w:cs="Arial" w:eastAsia="Arial" w:hAnsi="Arial"/>
          <w:sz w:val="13"/>
          <w:szCs w:val="13"/>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dividends, even though we have not collected any cash with respect to PIK securities.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46</w:t>
      </w:r>
    </w:p>
    <w:p>
      <w:pPr>
        <w:sectPr>
          <w:pgSz w:w="11900" w:h="16838" w:orient="portrait"/>
          <w:cols w:equalWidth="0" w:num="1">
            <w:col w:w="11240"/>
          </w:cols>
          <w:pgMar w:left="320" w:top="459" w:right="3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Federal Income Taxes</w:t>
      </w:r>
    </w:p>
    <w:p>
      <w:pPr>
        <w:spacing w:after="0" w:line="80" w:lineRule="exact"/>
        <w:rPr>
          <w:sz w:val="20"/>
          <w:szCs w:val="20"/>
          <w:color w:val="auto"/>
        </w:rPr>
      </w:pPr>
    </w:p>
    <w:p>
      <w:pPr>
        <w:ind w:firstLine="562"/>
        <w:spacing w:after="0" w:line="243" w:lineRule="auto"/>
        <w:rPr>
          <w:sz w:val="20"/>
          <w:szCs w:val="20"/>
          <w:color w:val="auto"/>
        </w:rPr>
      </w:pPr>
      <w:r>
        <w:rPr>
          <w:rFonts w:ascii="Arial" w:cs="Arial" w:eastAsia="Arial" w:hAnsi="Arial"/>
          <w:sz w:val="13"/>
          <w:szCs w:val="13"/>
          <w:color w:val="auto"/>
        </w:rPr>
        <w:t>We have elected to be taxed, and intend to qualify annually to maintain our election to be taxed, as a RIC under Subchapter M of the Code. To maintain our RIC tax election, we must, among other requirements, meet certain source-of-income and quarterly asset diversification requirements. We also must annually distribute dividends of at least 90% of the sum of our net ordinary income and realized net short-term capital gains in excess of net realized net long-term capital losses, if any, out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 (1) 98% of our net ordinary income for the calendar year, (2) 98.2% of the sum of our realized net capital gains for the one-year period ending on October 31 of the calendar year and (3) the sum of any net ordinary income plus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net ordinary income to provide us with additional liquidity.</w:t>
      </w:r>
    </w:p>
    <w:p>
      <w:pPr>
        <w:spacing w:after="0" w:line="112" w:lineRule="exact"/>
        <w:rPr>
          <w:sz w:val="20"/>
          <w:szCs w:val="20"/>
          <w:color w:val="auto"/>
        </w:rPr>
      </w:pPr>
    </w:p>
    <w:p>
      <w:pPr>
        <w:ind w:right="420" w:firstLine="562"/>
        <w:spacing w:after="0" w:line="256" w:lineRule="auto"/>
        <w:rPr>
          <w:sz w:val="20"/>
          <w:szCs w:val="20"/>
          <w:color w:val="auto"/>
        </w:rPr>
      </w:pPr>
      <w:r>
        <w:rPr>
          <w:rFonts w:ascii="Arial" w:cs="Arial" w:eastAsia="Arial" w:hAnsi="Arial"/>
          <w:sz w:val="13"/>
          <w:szCs w:val="13"/>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Recent Tax Developments</w:t>
      </w:r>
    </w:p>
    <w:p>
      <w:pPr>
        <w:spacing w:after="0" w:line="80" w:lineRule="exact"/>
        <w:rPr>
          <w:sz w:val="20"/>
          <w:szCs w:val="20"/>
          <w:color w:val="auto"/>
        </w:rPr>
      </w:pPr>
    </w:p>
    <w:p>
      <w:pPr>
        <w:ind w:right="60" w:firstLine="562"/>
        <w:spacing w:after="0" w:line="256" w:lineRule="auto"/>
        <w:rPr>
          <w:sz w:val="20"/>
          <w:szCs w:val="20"/>
          <w:color w:val="auto"/>
        </w:rPr>
      </w:pPr>
      <w:r>
        <w:rPr>
          <w:rFonts w:ascii="Arial" w:cs="Arial" w:eastAsia="Arial" w:hAnsi="Arial"/>
          <w:sz w:val="13"/>
          <w:szCs w:val="13"/>
          <w:color w:val="auto"/>
        </w:rPr>
        <w:t>Recently enacted legislation may require certain non-corporate U.S. holders to pay a 3.8% Medicare tax on, among other things, interest on and capital gains from the sale, exchange, redemption or retirement of our common stock. This legislation would apply for taxable years beginning after December 31, 2012. U.S. holders should consult their own tax advisors regarding the effect, if any, of this legislation.</w:t>
      </w:r>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RESULTS OF OPERATIONS</w:t>
      </w:r>
    </w:p>
    <w:p>
      <w:pPr>
        <w:spacing w:after="0" w:line="8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Set forth below are the results of operations for the year ended September 30, 2012 and the period from March 4, 2011 (commencement of operations) to September 30, 2011.</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Investment Income</w:t>
      </w:r>
    </w:p>
    <w:p>
      <w:pPr>
        <w:spacing w:after="0" w:line="80" w:lineRule="exact"/>
        <w:rPr>
          <w:sz w:val="20"/>
          <w:szCs w:val="20"/>
          <w:color w:val="auto"/>
        </w:rPr>
      </w:pPr>
    </w:p>
    <w:p>
      <w:pPr>
        <w:ind w:right="60" w:firstLine="562"/>
        <w:spacing w:after="0" w:line="250" w:lineRule="auto"/>
        <w:rPr>
          <w:sz w:val="20"/>
          <w:szCs w:val="20"/>
          <w:color w:val="auto"/>
        </w:rPr>
      </w:pPr>
      <w:r>
        <w:rPr>
          <w:rFonts w:ascii="Arial" w:cs="Arial" w:eastAsia="Arial" w:hAnsi="Arial"/>
          <w:sz w:val="13"/>
          <w:szCs w:val="13"/>
          <w:color w:val="auto"/>
        </w:rPr>
        <w:t>Investment income for the year ended September 30, 2012 was $12.1 million and was primarily attributable to $9.9 million from senior secured loans, $1.0 million from second lien secured debt investments and $1.2 million from subordinated debt investments. This compares to investment income for the period March 4, 2011 (commencement of operations) to September 30, 2011, which was $2.9 million, and was attributable to $2.3 million from senior secured loan investments, $0.5 million from second lien secured debt investments, and $0.1 million from subordinated debt investments. The increase in interest income over the prior year was due to both a full year of operation and the increased size of our portfolio.</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Expenses</w:t>
      </w:r>
    </w:p>
    <w:p>
      <w:pPr>
        <w:spacing w:after="0" w:line="80" w:lineRule="exact"/>
        <w:rPr>
          <w:sz w:val="20"/>
          <w:szCs w:val="20"/>
          <w:color w:val="auto"/>
        </w:rPr>
      </w:pPr>
    </w:p>
    <w:p>
      <w:pPr>
        <w:ind w:right="60" w:firstLine="562"/>
        <w:spacing w:after="0" w:line="250" w:lineRule="auto"/>
        <w:rPr>
          <w:sz w:val="20"/>
          <w:szCs w:val="20"/>
          <w:color w:val="auto"/>
        </w:rPr>
      </w:pPr>
      <w:r>
        <w:rPr>
          <w:rFonts w:ascii="Arial" w:cs="Arial" w:eastAsia="Arial" w:hAnsi="Arial"/>
          <w:sz w:val="13"/>
          <w:szCs w:val="13"/>
          <w:color w:val="auto"/>
        </w:rPr>
        <w:t>Expenses for the year ended September 30, 2012 totaled $5.8 million. Base management fees for the same period totaled $1.5 million, performance-based incentive fees totaled $0.6 million (including $0.3 million accrued but not to be paid under GAAP unless the net unrealized gains are realized), Credit Facility expenses totaled $1.8 million (including $0.3 million of amendment expenses) and general and administrative expenses totaled $1.9 million. We expect our Credit Facility expenses and management fees to continue to increase as a result of growth in our portfolio. Additionally, general and administrative costs increased over the prior year due to a full year of operations.</w:t>
      </w:r>
    </w:p>
    <w:p>
      <w:pPr>
        <w:spacing w:after="0" w:line="106" w:lineRule="exact"/>
        <w:rPr>
          <w:sz w:val="20"/>
          <w:szCs w:val="20"/>
          <w:color w:val="auto"/>
        </w:rPr>
      </w:pPr>
    </w:p>
    <w:p>
      <w:pPr>
        <w:ind w:right="240" w:firstLine="562"/>
        <w:spacing w:after="0" w:line="256" w:lineRule="auto"/>
        <w:rPr>
          <w:sz w:val="20"/>
          <w:szCs w:val="20"/>
          <w:color w:val="auto"/>
        </w:rPr>
      </w:pPr>
      <w:r>
        <w:rPr>
          <w:rFonts w:ascii="Arial" w:cs="Arial" w:eastAsia="Arial" w:hAnsi="Arial"/>
          <w:sz w:val="13"/>
          <w:szCs w:val="13"/>
          <w:color w:val="auto"/>
        </w:rPr>
        <w:t>Expenses for the period March 4, 2011 (commencement of operations) to September 30, 2011, totaled $2.6 million. Base management fee for the same period totaled $0.4 million, debt-issuance cost (non-recurring) totaled $1.4 million, credit facility expenses totaled $0.1 million and general and administrative expenses totaled $0.7 million. Expenses include organizational cost associated with starting up our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Net Investment Income</w:t>
      </w:r>
    </w:p>
    <w:p>
      <w:pPr>
        <w:spacing w:after="0" w:line="80" w:lineRule="exact"/>
        <w:rPr>
          <w:sz w:val="20"/>
          <w:szCs w:val="20"/>
          <w:color w:val="auto"/>
        </w:rPr>
      </w:pPr>
    </w:p>
    <w:p>
      <w:pPr>
        <w:ind w:firstLine="562"/>
        <w:spacing w:after="0" w:line="274" w:lineRule="auto"/>
        <w:rPr>
          <w:sz w:val="20"/>
          <w:szCs w:val="20"/>
          <w:color w:val="auto"/>
        </w:rPr>
      </w:pPr>
      <w:r>
        <w:rPr>
          <w:rFonts w:ascii="Arial" w:cs="Arial" w:eastAsia="Arial" w:hAnsi="Arial"/>
          <w:sz w:val="13"/>
          <w:szCs w:val="13"/>
          <w:color w:val="auto"/>
        </w:rPr>
        <w:t>Net investment income totaled $6.3 million, or $0.92 per share, for the year ended September 30, 2012. This compares to net investment income which totaled $0.3 million or $0.05 per share for the period March 4, 2011 (commencement of operations) to September 30, 2011.</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Net Realized Gains or Losses</w:t>
      </w:r>
    </w:p>
    <w:p>
      <w:pPr>
        <w:spacing w:after="0" w:line="80" w:lineRule="exact"/>
        <w:rPr>
          <w:sz w:val="20"/>
          <w:szCs w:val="20"/>
          <w:color w:val="auto"/>
        </w:rPr>
      </w:pPr>
    </w:p>
    <w:p>
      <w:pPr>
        <w:ind w:right="80" w:firstLine="562"/>
        <w:spacing w:after="0" w:line="256" w:lineRule="auto"/>
        <w:rPr>
          <w:sz w:val="20"/>
          <w:szCs w:val="20"/>
          <w:color w:val="auto"/>
        </w:rPr>
      </w:pPr>
      <w:r>
        <w:rPr>
          <w:rFonts w:ascii="Arial" w:cs="Arial" w:eastAsia="Arial" w:hAnsi="Arial"/>
          <w:sz w:val="13"/>
          <w:szCs w:val="13"/>
          <w:color w:val="auto"/>
        </w:rPr>
        <w:t>Sales and repayments of investments for the year ended September 30, 2012 totaled $71.5 million and realized gains totaled $0.9 million, due to sales and repayments of our debt investments. This compares to sales and repayments of long-term investments for the period March 4, 2011 (commencement of operations) to September 30, 2011 which totaled $33.2 million and net realized gains which totaled $0.3 million. The increase in sales and repayments of investments was due to shorter-term investment opportunities.</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Unrealized Appreciation or Depreciation on Investments and Credit Facility</w:t>
      </w:r>
    </w:p>
    <w:p>
      <w:pPr>
        <w:spacing w:after="0" w:line="80" w:lineRule="exact"/>
        <w:rPr>
          <w:sz w:val="20"/>
          <w:szCs w:val="20"/>
          <w:color w:val="auto"/>
        </w:rPr>
      </w:pPr>
    </w:p>
    <w:p>
      <w:pPr>
        <w:ind w:right="120" w:firstLine="562"/>
        <w:spacing w:after="0" w:line="256" w:lineRule="auto"/>
        <w:rPr>
          <w:sz w:val="20"/>
          <w:szCs w:val="20"/>
          <w:color w:val="auto"/>
        </w:rPr>
      </w:pPr>
      <w:r>
        <w:rPr>
          <w:rFonts w:ascii="Arial" w:cs="Arial" w:eastAsia="Arial" w:hAnsi="Arial"/>
          <w:sz w:val="13"/>
          <w:szCs w:val="13"/>
          <w:color w:val="auto"/>
        </w:rPr>
        <w:t>For the year ended September 30, 2012 and for the period March 4, 2011 (commencement of operations) to September 30, 2011, we reported unrealized appreciation (depreciation) on investments of $4.4 million and $(4.1) million, respectively. As of September 30, 2012 and September 30, 2011, net unrealized appreciation (depreciation) on investments totaled $0.3 million and $(4.1) million, respectively. Net change in unrealized appreciation on investments over the prior year was the result of changes in the overall leveraged finance markets.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47</w:t>
      </w:r>
    </w:p>
    <w:p>
      <w:pPr>
        <w:sectPr>
          <w:pgSz w:w="11900" w:h="16838" w:orient="portrait"/>
          <w:cols w:equalWidth="0" w:num="1">
            <w:col w:w="11240"/>
          </w:cols>
          <w:pgMar w:left="320" w:top="459" w:right="3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jc w:val="center"/>
        <w:ind w:right="100"/>
        <w:spacing w:after="0"/>
        <w:rPr>
          <w:sz w:val="20"/>
          <w:szCs w:val="20"/>
          <w:color w:val="auto"/>
        </w:rPr>
      </w:pPr>
      <w:r>
        <w:rPr>
          <w:rFonts w:ascii="Arial" w:cs="Arial" w:eastAsia="Arial" w:hAnsi="Arial"/>
          <w:sz w:val="13"/>
          <w:szCs w:val="13"/>
          <w:color w:val="auto"/>
        </w:rPr>
        <w:t>For the year ended September 30, 2012 and for the period March 4, 2011 (commencement of operations) to September 30, 2011, our long-term Credit Facility had a change in unrealized</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depreciation of $0.4 million and zero, respectively. As of September 30, 2012 and September 30, 2011, net unrealized depreciation on our long-term Credit Facility totaled $0.4 million and zero, respectively.</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The net change in unrealized appreciation on the Credit Facility over the prior year was due to amending the terms and changes in the leveraged finance markets.</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Net Increase or Decrease in Net Assets Resulting from Operations</w:t>
      </w:r>
    </w:p>
    <w:p>
      <w:pPr>
        <w:spacing w:after="0" w:line="80" w:lineRule="exact"/>
        <w:rPr>
          <w:sz w:val="20"/>
          <w:szCs w:val="20"/>
          <w:color w:val="auto"/>
        </w:rPr>
      </w:pPr>
    </w:p>
    <w:p>
      <w:pPr>
        <w:jc w:val="both"/>
        <w:ind w:firstLine="562"/>
        <w:spacing w:after="0" w:line="256" w:lineRule="auto"/>
        <w:rPr>
          <w:sz w:val="20"/>
          <w:szCs w:val="20"/>
          <w:color w:val="auto"/>
        </w:rPr>
      </w:pPr>
      <w:r>
        <w:rPr>
          <w:rFonts w:ascii="Arial" w:cs="Arial" w:eastAsia="Arial" w:hAnsi="Arial"/>
          <w:sz w:val="13"/>
          <w:szCs w:val="13"/>
          <w:color w:val="auto"/>
        </w:rPr>
        <w:t>Net increase in net assets resulting from operations totaled $12.0 million, or $1.75 per share, respectively, for the year ended September 30, 2012. This increase in net assets from operations was due to the continued growth in net investment income and both realized and unrealized appreciation on investments. We continue to find both long-term and short-term investment opportunities to grow net assets from operations.</w:t>
      </w:r>
    </w:p>
    <w:p>
      <w:pPr>
        <w:spacing w:after="0" w:line="10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Net decrease in net assets resulting from operations totaled $3.5 million, or $0.51 per share for the period March 4, 2011 (commencement of operations) to September 30, 2011.</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LIQUIDITY AND CAPITAL RESOURCES</w:t>
      </w:r>
    </w:p>
    <w:p>
      <w:pPr>
        <w:spacing w:after="0" w:line="82" w:lineRule="exact"/>
        <w:rPr>
          <w:sz w:val="20"/>
          <w:szCs w:val="20"/>
          <w:color w:val="auto"/>
        </w:rPr>
      </w:pPr>
    </w:p>
    <w:p>
      <w:pPr>
        <w:jc w:val="both"/>
        <w:ind w:firstLine="562"/>
        <w:spacing w:after="0" w:line="256" w:lineRule="auto"/>
        <w:rPr>
          <w:sz w:val="20"/>
          <w:szCs w:val="20"/>
          <w:color w:val="auto"/>
        </w:rPr>
      </w:pPr>
      <w:r>
        <w:rPr>
          <w:rFonts w:ascii="Arial" w:cs="Arial" w:eastAsia="Arial" w:hAnsi="Arial"/>
          <w:sz w:val="13"/>
          <w:szCs w:val="13"/>
          <w:color w:val="auto"/>
        </w:rPr>
        <w:t>Our liquidity and capital resources are derived from public offerings, Credit Facility,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rotation of our portfolio and proceeds from public and private offerings of securities to finance our investment objectives.</w:t>
      </w:r>
    </w:p>
    <w:p>
      <w:pPr>
        <w:spacing w:after="0" w:line="102"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In May 2012, Funding I amended and restated its Credit Facility with affiliates of SunTrust Bank, or the Lender, to extend the maturity date to May 2017 and reinvestment period to May 2015 while increasing our investment flexibility under the Credit Facility. The Credit Facility allows Funding I to borrow up to $100.0 million and contains an accordion feature whereby the Credit Facility can be expanded to $600.0 million, subject to satisfaction of certain conditions and the regulatory restrictions that the 1940 Act imposes on us as a BDC. As of September 30, 2012 and September 30, 2011, Funding I had $75.5 million and $24.7 million of outstanding borrowings under the Credit Facility, and carried an interest rate of 2.47% and 2.53%, exclusive of the 0.375% and 0.500% undrawn commitment fee, respectively.</w:t>
      </w:r>
    </w:p>
    <w:p>
      <w:pPr>
        <w:spacing w:after="0" w:line="108" w:lineRule="exact"/>
        <w:rPr>
          <w:sz w:val="20"/>
          <w:szCs w:val="20"/>
          <w:color w:val="auto"/>
        </w:rPr>
      </w:pPr>
    </w:p>
    <w:p>
      <w:pPr>
        <w:ind w:right="20" w:firstLine="562"/>
        <w:spacing w:after="0" w:line="288" w:lineRule="auto"/>
        <w:rPr>
          <w:sz w:val="20"/>
          <w:szCs w:val="20"/>
          <w:color w:val="auto"/>
        </w:rPr>
      </w:pPr>
      <w:r>
        <w:rPr>
          <w:rFonts w:ascii="Arial" w:cs="Arial" w:eastAsia="Arial" w:hAnsi="Arial"/>
          <w:sz w:val="12"/>
          <w:szCs w:val="12"/>
          <w:color w:val="auto"/>
        </w:rPr>
        <w:t>During the Credit Facility’s first three years beginning in May 2012, or the revolving period, the Credit Facility bears interest at LIBOR plus 225 basis points and, after the revolving period, the rate sets to LIBOR plus 425 basis points for the remaining two years, maturing in May 2017.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84" w:lineRule="exact"/>
        <w:rPr>
          <w:sz w:val="20"/>
          <w:szCs w:val="20"/>
          <w:color w:val="auto"/>
        </w:rPr>
      </w:pPr>
    </w:p>
    <w:p>
      <w:pPr>
        <w:ind w:right="40" w:firstLine="562"/>
        <w:spacing w:after="0" w:line="245" w:lineRule="auto"/>
        <w:rPr>
          <w:sz w:val="20"/>
          <w:szCs w:val="20"/>
          <w:color w:val="auto"/>
        </w:rPr>
      </w:pPr>
      <w:r>
        <w:rPr>
          <w:rFonts w:ascii="Arial" w:cs="Arial" w:eastAsia="Arial" w:hAnsi="Arial"/>
          <w:sz w:val="13"/>
          <w:szCs w:val="13"/>
          <w:color w:val="auto"/>
        </w:rPr>
        <w:t>The Credit Facility, as amended,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(for example, fair value, as defined under ASC 820, is not permitted to be used for assets or liabilities for such compliance reporting). For a complete list of such covenants see the amended and restated revolving credit and security agreement included as an exhibit to form 10-Q filed on August 9, 2012. As of September 30, 2012, we were in compliance with the covenants relating to our Credit Facility.</w:t>
      </w:r>
    </w:p>
    <w:p>
      <w:pPr>
        <w:spacing w:after="0" w:line="110" w:lineRule="exact"/>
        <w:rPr>
          <w:sz w:val="20"/>
          <w:szCs w:val="20"/>
          <w:color w:val="auto"/>
        </w:rPr>
      </w:pPr>
    </w:p>
    <w:p>
      <w:pPr>
        <w:jc w:val="both"/>
        <w:ind w:right="80" w:firstLine="562"/>
        <w:spacing w:after="0" w:line="256" w:lineRule="auto"/>
        <w:rPr>
          <w:sz w:val="20"/>
          <w:szCs w:val="20"/>
          <w:color w:val="auto"/>
        </w:rPr>
      </w:pPr>
      <w:r>
        <w:rPr>
          <w:rFonts w:ascii="Arial" w:cs="Arial" w:eastAsia="Arial" w:hAnsi="Arial"/>
          <w:sz w:val="13"/>
          <w:szCs w:val="13"/>
          <w:color w:val="auto"/>
        </w:rPr>
        <w:t>We own 100% of the equity interest in Funding I and will treat the indebtedness of Funding I as our leverage. In accordance with the 1940 Act, with certain limited exceptions, we are only allowed to borrow amounts such that our Asset Coverage Ratio is in compliance. Our Investment Adviser serves as collateral manager to Funding I under the Credit Facility. As of September 30, 2012 and 2011, our asset coverage ratios were 227% and 474%, respectively.</w:t>
      </w:r>
    </w:p>
    <w:p>
      <w:pPr>
        <w:spacing w:after="0" w:line="102" w:lineRule="exact"/>
        <w:rPr>
          <w:sz w:val="20"/>
          <w:szCs w:val="20"/>
          <w:color w:val="auto"/>
        </w:rPr>
      </w:pPr>
    </w:p>
    <w:p>
      <w:pPr>
        <w:ind w:right="120" w:firstLine="562"/>
        <w:spacing w:after="0" w:line="247" w:lineRule="auto"/>
        <w:rPr>
          <w:sz w:val="20"/>
          <w:szCs w:val="20"/>
          <w:color w:val="auto"/>
        </w:rPr>
      </w:pPr>
      <w:r>
        <w:rPr>
          <w:rFonts w:ascii="Arial" w:cs="Arial" w:eastAsia="Arial" w:hAnsi="Arial"/>
          <w:sz w:val="13"/>
          <w:szCs w:val="13"/>
          <w:color w:val="auto"/>
        </w:rPr>
        <w:t>Our interest in Funding I (other than the management fees)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 (2) required administrative expenses and (3) claims of other unsecured creditors of Funding I. We cannot assure you that there will be sufficient funds available to make any distributions to us or that such distributions will meet our expectations from Funding I. The Investment Adviser has irrevocably directed that all management fees owing with respect to such services are to be paid to the Company so long as the Investment Adviser remains the collateral manager.</w:t>
      </w:r>
    </w:p>
    <w:p>
      <w:pPr>
        <w:spacing w:after="0" w:line="108" w:lineRule="exact"/>
        <w:rPr>
          <w:sz w:val="20"/>
          <w:szCs w:val="20"/>
          <w:color w:val="auto"/>
        </w:rPr>
      </w:pPr>
    </w:p>
    <w:p>
      <w:pPr>
        <w:jc w:val="both"/>
        <w:ind w:right="160" w:firstLine="562"/>
        <w:spacing w:after="0" w:line="256" w:lineRule="auto"/>
        <w:rPr>
          <w:sz w:val="20"/>
          <w:szCs w:val="20"/>
          <w:color w:val="auto"/>
        </w:rPr>
      </w:pPr>
      <w:r>
        <w:rPr>
          <w:rFonts w:ascii="Arial" w:cs="Arial" w:eastAsia="Arial" w:hAnsi="Arial"/>
          <w:sz w:val="13"/>
          <w:szCs w:val="13"/>
          <w:color w:val="auto"/>
        </w:rPr>
        <w:t>We may raise equity or debt capital through both registered offerings and private offerings of securities and by securitizing a portion of our investments among, other considerations. Furthermore, our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shareholders or for other general corporate purposes.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48</w:t>
      </w:r>
    </w:p>
    <w:p>
      <w:pPr>
        <w:sectPr>
          <w:pgSz w:w="11900" w:h="16838" w:orient="portrait"/>
          <w:cols w:equalWidth="0" w:num="1">
            <w:col w:w="11240"/>
          </w:cols>
          <w:pgMar w:left="320" w:top="459" w:right="3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60" w:firstLine="562"/>
        <w:spacing w:after="0" w:line="274" w:lineRule="auto"/>
        <w:rPr>
          <w:sz w:val="20"/>
          <w:szCs w:val="20"/>
          <w:color w:val="auto"/>
        </w:rPr>
      </w:pPr>
      <w:r>
        <w:rPr>
          <w:rFonts w:ascii="Arial" w:cs="Arial" w:eastAsia="Arial" w:hAnsi="Arial"/>
          <w:sz w:val="13"/>
          <w:szCs w:val="13"/>
          <w:color w:val="auto"/>
        </w:rPr>
        <w:t>At September 30, 2012 and 2011, we had cash equivalents of $3.8 million and $7.0 million, respectively, available for investing and general corporate purposes. We believe our liquidity and capital resources are sufficient to take advantage of market opportunities.</w:t>
      </w:r>
    </w:p>
    <w:p>
      <w:pPr>
        <w:spacing w:after="0" w:line="91" w:lineRule="exact"/>
        <w:rPr>
          <w:sz w:val="20"/>
          <w:szCs w:val="20"/>
          <w:color w:val="auto"/>
        </w:rPr>
      </w:pPr>
    </w:p>
    <w:p>
      <w:pPr>
        <w:ind w:right="500" w:firstLine="562"/>
        <w:spacing w:after="0" w:line="274" w:lineRule="auto"/>
        <w:rPr>
          <w:sz w:val="20"/>
          <w:szCs w:val="20"/>
          <w:color w:val="auto"/>
        </w:rPr>
      </w:pPr>
      <w:r>
        <w:rPr>
          <w:rFonts w:ascii="Arial" w:cs="Arial" w:eastAsia="Arial" w:hAnsi="Arial"/>
          <w:sz w:val="13"/>
          <w:szCs w:val="13"/>
          <w:color w:val="auto"/>
        </w:rPr>
        <w:t>Our operating activities used cash of $47.8 million for the year ended September 30, 2012, and our financing activities provided net cash proceeds of $44.7 million for the same period. Our operating activities used cash primarily for net investing that was provided from net draws under the Credit Facility.</w:t>
      </w:r>
    </w:p>
    <w:p>
      <w:pPr>
        <w:spacing w:after="0" w:line="91" w:lineRule="exact"/>
        <w:rPr>
          <w:sz w:val="20"/>
          <w:szCs w:val="20"/>
          <w:color w:val="auto"/>
        </w:rPr>
      </w:pPr>
    </w:p>
    <w:p>
      <w:pPr>
        <w:ind w:firstLine="562"/>
        <w:spacing w:after="0" w:line="256" w:lineRule="auto"/>
        <w:rPr>
          <w:sz w:val="20"/>
          <w:szCs w:val="20"/>
          <w:color w:val="auto"/>
        </w:rPr>
      </w:pPr>
      <w:r>
        <w:rPr>
          <w:rFonts w:ascii="Arial" w:cs="Arial" w:eastAsia="Arial" w:hAnsi="Arial"/>
          <w:sz w:val="13"/>
          <w:szCs w:val="13"/>
          <w:color w:val="auto"/>
        </w:rPr>
        <w:t>Our operating activities used cash of $113.7 million for the period March 4, 2011 (commencement of operations) to September 30, 2011, and our financing activities provided net cash proceeds of $120.7 million for the same period. Our operating activities used cash primarily for investing that was provided from, primarily, proceeds from our initial public offering of common stock and draws under our Credit Facility.</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Contractual Obligations</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A summary of our significant contractual payment obligations as of September 30, 2012 including, borrowings under our Credit Facility and other contractual obligations, is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rPr>
              <w:t>Payments due by period (millions)</w:t>
            </w:r>
          </w:p>
        </w:tc>
        <w:tc>
          <w:tcPr>
            <w:tcW w:w="5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Less than</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ind w:right="333"/>
              <w:spacing w:after="0" w:line="129" w:lineRule="exact"/>
              <w:rPr>
                <w:sz w:val="20"/>
                <w:szCs w:val="20"/>
                <w:color w:val="auto"/>
              </w:rPr>
            </w:pPr>
            <w:r>
              <w:rPr>
                <w:rFonts w:ascii="Arial" w:cs="Arial" w:eastAsia="Arial" w:hAnsi="Arial"/>
                <w:sz w:val="13"/>
                <w:szCs w:val="13"/>
                <w:b w:val="1"/>
                <w:bCs w:val="1"/>
                <w:color w:val="auto"/>
              </w:rPr>
              <w:t>1-3</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ind w:right="233"/>
              <w:spacing w:after="0" w:line="129" w:lineRule="exact"/>
              <w:rPr>
                <w:sz w:val="20"/>
                <w:szCs w:val="20"/>
                <w:color w:val="auto"/>
              </w:rPr>
            </w:pPr>
            <w:r>
              <w:rPr>
                <w:rFonts w:ascii="Arial" w:cs="Arial" w:eastAsia="Arial" w:hAnsi="Arial"/>
                <w:sz w:val="13"/>
                <w:szCs w:val="13"/>
                <w:b w:val="1"/>
                <w:bCs w:val="1"/>
                <w:color w:val="auto"/>
              </w:rPr>
              <w:t>3-5</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center"/>
              <w:ind w:right="113"/>
              <w:spacing w:after="0" w:line="129" w:lineRule="exact"/>
              <w:rPr>
                <w:sz w:val="20"/>
                <w:szCs w:val="20"/>
                <w:color w:val="auto"/>
              </w:rPr>
            </w:pPr>
            <w:r>
              <w:rPr>
                <w:rFonts w:ascii="Arial" w:cs="Arial" w:eastAsia="Arial" w:hAnsi="Arial"/>
                <w:sz w:val="13"/>
                <w:szCs w:val="13"/>
                <w:b w:val="1"/>
                <w:bCs w:val="1"/>
                <w:color w:val="auto"/>
                <w:w w:val="99"/>
              </w:rPr>
              <w:t>More than</w:t>
            </w:r>
          </w:p>
        </w:tc>
        <w:tc>
          <w:tcPr>
            <w:tcW w:w="100" w:type="dxa"/>
            <w:vAlign w:val="bottom"/>
          </w:tcPr>
          <w:p>
            <w:pPr>
              <w:spacing w:after="0"/>
              <w:rPr>
                <w:sz w:val="11"/>
                <w:szCs w:val="11"/>
                <w:color w:val="auto"/>
              </w:rPr>
            </w:pPr>
          </w:p>
        </w:tc>
      </w:tr>
      <w:tr>
        <w:trPr>
          <w:trHeight w:val="161"/>
        </w:trPr>
        <w:tc>
          <w:tcPr>
            <w:tcW w:w="4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ind w:right="153"/>
              <w:spacing w:after="0"/>
              <w:rPr>
                <w:sz w:val="20"/>
                <w:szCs w:val="20"/>
                <w:color w:val="auto"/>
              </w:rPr>
            </w:pPr>
            <w:r>
              <w:rPr>
                <w:rFonts w:ascii="Arial" w:cs="Arial" w:eastAsia="Arial" w:hAnsi="Arial"/>
                <w:sz w:val="13"/>
                <w:szCs w:val="13"/>
                <w:b w:val="1"/>
                <w:bCs w:val="1"/>
                <w:color w:val="auto"/>
              </w:rPr>
              <w:t>Total</w:t>
            </w:r>
          </w:p>
        </w:tc>
        <w:tc>
          <w:tcPr>
            <w:tcW w:w="400" w:type="dxa"/>
            <w:vAlign w:val="bottom"/>
          </w:tcPr>
          <w:p>
            <w:pPr>
              <w:spacing w:after="0"/>
              <w:rPr>
                <w:sz w:val="14"/>
                <w:szCs w:val="14"/>
                <w:color w:val="auto"/>
              </w:rPr>
            </w:pPr>
          </w:p>
        </w:tc>
        <w:tc>
          <w:tcPr>
            <w:tcW w:w="860" w:type="dxa"/>
            <w:vAlign w:val="bottom"/>
          </w:tcPr>
          <w:p>
            <w:pPr>
              <w:jc w:val="right"/>
              <w:ind w:right="81"/>
              <w:spacing w:after="0"/>
              <w:rPr>
                <w:sz w:val="20"/>
                <w:szCs w:val="20"/>
                <w:color w:val="auto"/>
              </w:rPr>
            </w:pPr>
            <w:r>
              <w:rPr>
                <w:rFonts w:ascii="Arial" w:cs="Arial" w:eastAsia="Arial" w:hAnsi="Arial"/>
                <w:sz w:val="13"/>
                <w:szCs w:val="13"/>
                <w:b w:val="1"/>
                <w:bCs w:val="1"/>
                <w:color w:val="auto"/>
              </w:rPr>
              <w:t>1 year</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center"/>
              <w:ind w:right="133"/>
              <w:spacing w:after="0"/>
              <w:rPr>
                <w:sz w:val="20"/>
                <w:szCs w:val="20"/>
                <w:color w:val="auto"/>
              </w:rPr>
            </w:pPr>
            <w:r>
              <w:rPr>
                <w:rFonts w:ascii="Arial" w:cs="Arial" w:eastAsia="Arial" w:hAnsi="Arial"/>
                <w:sz w:val="13"/>
                <w:szCs w:val="13"/>
                <w:b w:val="1"/>
                <w:bCs w:val="1"/>
                <w:color w:val="auto"/>
                <w:w w:val="88"/>
              </w:rPr>
              <w:t>years</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ind w:right="173"/>
              <w:spacing w:after="0"/>
              <w:rPr>
                <w:sz w:val="20"/>
                <w:szCs w:val="20"/>
                <w:color w:val="auto"/>
              </w:rPr>
            </w:pPr>
            <w:r>
              <w:rPr>
                <w:rFonts w:ascii="Arial" w:cs="Arial" w:eastAsia="Arial" w:hAnsi="Arial"/>
                <w:sz w:val="13"/>
                <w:szCs w:val="13"/>
                <w:b w:val="1"/>
                <w:bCs w:val="1"/>
                <w:color w:val="auto"/>
                <w:w w:val="88"/>
              </w:rPr>
              <w:t>years</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3"/>
              </w:rPr>
              <w:t>5 years</w:t>
            </w:r>
          </w:p>
        </w:tc>
      </w:tr>
      <w:tr>
        <w:trPr>
          <w:trHeight w:val="142"/>
        </w:trPr>
        <w:tc>
          <w:tcPr>
            <w:tcW w:w="48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3"/>
                <w:szCs w:val="13"/>
                <w:color w:val="auto"/>
              </w:rPr>
              <w:t>Credit Facility</w:t>
            </w: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75.5</w:t>
            </w:r>
          </w:p>
        </w:tc>
        <w:tc>
          <w:tcPr>
            <w:tcW w:w="4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ind w:right="741"/>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4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ind w:left="640"/>
              <w:spacing w:after="0" w:line="142" w:lineRule="exact"/>
              <w:rPr>
                <w:sz w:val="20"/>
                <w:szCs w:val="20"/>
                <w:color w:val="auto"/>
              </w:rPr>
            </w:pPr>
            <w:r>
              <w:rPr>
                <w:rFonts w:ascii="Arial" w:cs="Arial" w:eastAsia="Arial" w:hAnsi="Arial"/>
                <w:sz w:val="13"/>
                <w:szCs w:val="13"/>
                <w:color w:val="auto"/>
                <w:w w:val="91"/>
              </w:rPr>
              <w:t>—</w:t>
            </w:r>
          </w:p>
        </w:tc>
        <w:tc>
          <w:tcPr>
            <w:tcW w:w="4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75.5</w:t>
            </w:r>
          </w:p>
        </w:tc>
        <w:tc>
          <w:tcPr>
            <w:tcW w:w="4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ind w:left="880"/>
              <w:spacing w:after="0" w:line="142" w:lineRule="exact"/>
              <w:rPr>
                <w:sz w:val="20"/>
                <w:szCs w:val="20"/>
                <w:color w:val="auto"/>
              </w:rPr>
            </w:pPr>
            <w:r>
              <w:rPr>
                <w:rFonts w:ascii="Arial" w:cs="Arial" w:eastAsia="Arial" w:hAnsi="Arial"/>
                <w:sz w:val="13"/>
                <w:szCs w:val="13"/>
                <w:color w:val="auto"/>
                <w:w w:val="76"/>
              </w:rPr>
              <w:t>—</w:t>
            </w:r>
          </w:p>
        </w:tc>
        <w:tc>
          <w:tcPr>
            <w:tcW w:w="100" w:type="dxa"/>
            <w:vAlign w:val="bottom"/>
            <w:tcBorders>
              <w:top w:val="single" w:sz="8" w:color="CCEEFF"/>
            </w:tcBorders>
            <w:shd w:val="clear" w:color="auto" w:fill="CCEEFF"/>
          </w:tcPr>
          <w:p>
            <w:pPr>
              <w:spacing w:after="0"/>
              <w:rPr>
                <w:sz w:val="12"/>
                <w:szCs w:val="12"/>
                <w:color w:val="auto"/>
              </w:rPr>
            </w:pPr>
          </w:p>
        </w:tc>
      </w:tr>
      <w:tr>
        <w:trPr>
          <w:trHeight w:val="162"/>
        </w:trPr>
        <w:tc>
          <w:tcPr>
            <w:tcW w:w="4820" w:type="dxa"/>
            <w:vAlign w:val="bottom"/>
          </w:tcPr>
          <w:p>
            <w:pPr>
              <w:spacing w:after="0"/>
              <w:rPr>
                <w:sz w:val="20"/>
                <w:szCs w:val="20"/>
                <w:color w:val="auto"/>
              </w:rPr>
            </w:pPr>
            <w:r>
              <w:rPr>
                <w:rFonts w:ascii="Arial" w:cs="Arial" w:eastAsia="Arial" w:hAnsi="Arial"/>
                <w:sz w:val="13"/>
                <w:szCs w:val="13"/>
                <w:color w:val="auto"/>
              </w:rPr>
              <w:t>Accrued sales load charges</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2.1</w:t>
            </w: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gridSpan w:val="2"/>
          </w:tcPr>
          <w:p>
            <w:pPr>
              <w:jc w:val="right"/>
              <w:ind w:right="420"/>
              <w:spacing w:after="0"/>
              <w:rPr>
                <w:sz w:val="20"/>
                <w:szCs w:val="20"/>
                <w:color w:val="auto"/>
              </w:rPr>
            </w:pPr>
            <w:r>
              <w:rPr>
                <w:rFonts w:ascii="Arial" w:cs="Arial" w:eastAsia="Arial" w:hAnsi="Arial"/>
                <w:sz w:val="13"/>
                <w:szCs w:val="13"/>
                <w:color w:val="auto"/>
                <w:w w:val="99"/>
              </w:rPr>
              <w:t>2.1</w:t>
            </w:r>
          </w:p>
        </w:tc>
        <w:tc>
          <w:tcPr>
            <w:tcW w:w="180" w:type="dxa"/>
            <w:vAlign w:val="bottom"/>
          </w:tcPr>
          <w:p>
            <w:pPr>
              <w:spacing w:after="0"/>
              <w:rPr>
                <w:sz w:val="14"/>
                <w:szCs w:val="14"/>
                <w:color w:val="auto"/>
              </w:rPr>
            </w:pPr>
          </w:p>
        </w:tc>
        <w:tc>
          <w:tcPr>
            <w:tcW w:w="780" w:type="dxa"/>
            <w:vAlign w:val="bottom"/>
          </w:tcPr>
          <w:p>
            <w:pPr>
              <w:ind w:left="640"/>
              <w:spacing w:after="0"/>
              <w:rPr>
                <w:sz w:val="20"/>
                <w:szCs w:val="20"/>
                <w:color w:val="auto"/>
              </w:rPr>
            </w:pPr>
            <w:r>
              <w:rPr>
                <w:rFonts w:ascii="Arial" w:cs="Arial" w:eastAsia="Arial" w:hAnsi="Arial"/>
                <w:sz w:val="13"/>
                <w:szCs w:val="13"/>
                <w:color w:val="auto"/>
                <w:w w:val="91"/>
              </w:rPr>
              <w:t>—</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ind w:left="880"/>
              <w:spacing w:after="0"/>
              <w:rPr>
                <w:sz w:val="20"/>
                <w:szCs w:val="20"/>
                <w:color w:val="auto"/>
              </w:rPr>
            </w:pPr>
            <w:r>
              <w:rPr>
                <w:rFonts w:ascii="Arial" w:cs="Arial" w:eastAsia="Arial" w:hAnsi="Arial"/>
                <w:sz w:val="13"/>
                <w:szCs w:val="13"/>
                <w:color w:val="auto"/>
              </w:rPr>
              <w:t>—</w:t>
            </w:r>
          </w:p>
        </w:tc>
      </w:tr>
      <w:tr>
        <w:trPr>
          <w:trHeight w:val="27"/>
        </w:trPr>
        <w:tc>
          <w:tcPr>
            <w:tcW w:w="48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8"/>
        </w:trPr>
        <w:tc>
          <w:tcPr>
            <w:tcW w:w="4820" w:type="dxa"/>
            <w:vAlign w:val="bottom"/>
            <w:shd w:val="clear" w:color="auto" w:fill="CCEEFF"/>
          </w:tcPr>
          <w:p>
            <w:pPr>
              <w:spacing w:after="0"/>
              <w:rPr>
                <w:sz w:val="20"/>
                <w:szCs w:val="20"/>
                <w:color w:val="auto"/>
              </w:rPr>
            </w:pPr>
            <w:r>
              <w:rPr>
                <w:rFonts w:ascii="Arial" w:cs="Arial" w:eastAsia="Arial" w:hAnsi="Arial"/>
                <w:sz w:val="13"/>
                <w:szCs w:val="13"/>
                <w:color w:val="auto"/>
              </w:rPr>
              <w:t>Total contractual obligations</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77.6</w:t>
            </w:r>
          </w:p>
        </w:tc>
        <w:tc>
          <w:tcPr>
            <w:tcW w:w="4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74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w w:val="99"/>
              </w:rPr>
              <w:t>2.1</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ind w:left="640"/>
              <w:spacing w:after="0"/>
              <w:rPr>
                <w:sz w:val="20"/>
                <w:szCs w:val="20"/>
                <w:color w:val="auto"/>
              </w:rPr>
            </w:pPr>
            <w:r>
              <w:rPr>
                <w:rFonts w:ascii="Arial" w:cs="Arial" w:eastAsia="Arial" w:hAnsi="Arial"/>
                <w:sz w:val="13"/>
                <w:szCs w:val="13"/>
                <w:color w:val="auto"/>
                <w:w w:val="91"/>
              </w:rPr>
              <w:t>—</w:t>
            </w:r>
          </w:p>
        </w:tc>
        <w:tc>
          <w:tcPr>
            <w:tcW w:w="600" w:type="dxa"/>
            <w:vAlign w:val="bottom"/>
            <w:gridSpan w:val="2"/>
            <w:shd w:val="clear" w:color="auto" w:fill="CCEEFF"/>
          </w:tcPr>
          <w:p>
            <w:pPr>
              <w:jc w:val="right"/>
              <w:ind w:right="89"/>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75.5</w:t>
            </w:r>
          </w:p>
        </w:tc>
        <w:tc>
          <w:tcPr>
            <w:tcW w:w="580" w:type="dxa"/>
            <w:vAlign w:val="bottom"/>
            <w:gridSpan w:val="2"/>
            <w:shd w:val="clear" w:color="auto" w:fill="CCEEFF"/>
          </w:tcPr>
          <w:p>
            <w:pPr>
              <w:jc w:val="right"/>
              <w:ind w:right="69"/>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ind w:left="880"/>
              <w:spacing w:after="0"/>
              <w:rPr>
                <w:sz w:val="20"/>
                <w:szCs w:val="20"/>
                <w:color w:val="auto"/>
              </w:rPr>
            </w:pPr>
            <w:r>
              <w:rPr>
                <w:rFonts w:ascii="Arial" w:cs="Arial" w:eastAsia="Arial" w:hAnsi="Arial"/>
                <w:sz w:val="13"/>
                <w:szCs w:val="13"/>
                <w:color w:val="auto"/>
              </w:rPr>
              <w:t>—</w:t>
            </w:r>
          </w:p>
        </w:tc>
      </w:tr>
      <w:tr>
        <w:trPr>
          <w:trHeight w:val="20"/>
        </w:trPr>
        <w:tc>
          <w:tcPr>
            <w:tcW w:w="4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8" w:lineRule="exact"/>
        <w:rPr>
          <w:sz w:val="20"/>
          <w:szCs w:val="20"/>
          <w:color w:val="auto"/>
        </w:rPr>
      </w:pPr>
    </w:p>
    <w:p>
      <w:pPr>
        <w:jc w:val="both"/>
        <w:ind w:right="60" w:firstLine="562"/>
        <w:spacing w:after="0" w:line="256" w:lineRule="auto"/>
        <w:rPr>
          <w:sz w:val="20"/>
          <w:szCs w:val="20"/>
          <w:color w:val="auto"/>
        </w:rPr>
      </w:pPr>
      <w:r>
        <w:rPr>
          <w:rFonts w:ascii="Arial" w:cs="Arial" w:eastAsia="Arial" w:hAnsi="Arial"/>
          <w:sz w:val="13"/>
          <w:szCs w:val="13"/>
          <w:color w:val="auto"/>
        </w:rPr>
        <w:t>We have entered into certain contracts under which we have material future commitments. Under our Investment Management Agreement, which was approved by our board of directors, including a majority of our independent directors, in March 2011, PennantPark Investment Advisers serves as our Investment Adviser. Payments under our Investment Management Agreement in each reporting period are equal to (1) a management fee equal to a percentage of the value of our gross assets and (2) an incentive fee based on our performance.</w:t>
      </w:r>
    </w:p>
    <w:p>
      <w:pPr>
        <w:spacing w:after="0" w:line="102" w:lineRule="exact"/>
        <w:rPr>
          <w:sz w:val="20"/>
          <w:szCs w:val="20"/>
          <w:color w:val="auto"/>
        </w:rPr>
      </w:pPr>
    </w:p>
    <w:p>
      <w:pPr>
        <w:ind w:right="160" w:firstLine="562"/>
        <w:spacing w:after="0" w:line="278" w:lineRule="auto"/>
        <w:rPr>
          <w:sz w:val="20"/>
          <w:szCs w:val="20"/>
          <w:color w:val="auto"/>
        </w:rPr>
      </w:pPr>
      <w:r>
        <w:rPr>
          <w:rFonts w:ascii="Arial" w:cs="Arial" w:eastAsia="Arial" w:hAnsi="Arial"/>
          <w:sz w:val="12"/>
          <w:szCs w:val="12"/>
          <w:color w:val="auto"/>
        </w:rPr>
        <w:t>Under our Administration Agreement, which was approved by our board of directors, including a majority of our independent directors, in March 2011, the Administrator furnishes us with office facilities and administrative services necessary to conduct our day-to-day operations. If requested to provide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staffs.</w:t>
      </w:r>
    </w:p>
    <w:p>
      <w:pPr>
        <w:spacing w:after="0" w:line="90" w:lineRule="exact"/>
        <w:rPr>
          <w:sz w:val="20"/>
          <w:szCs w:val="20"/>
          <w:color w:val="auto"/>
        </w:rPr>
      </w:pPr>
    </w:p>
    <w:p>
      <w:pPr>
        <w:ind w:right="60" w:firstLine="562"/>
        <w:spacing w:after="0" w:line="270" w:lineRule="auto"/>
        <w:rPr>
          <w:sz w:val="20"/>
          <w:szCs w:val="20"/>
          <w:color w:val="auto"/>
        </w:rPr>
      </w:pPr>
      <w:r>
        <w:rPr>
          <w:rFonts w:ascii="Arial" w:cs="Arial" w:eastAsia="Arial" w:hAnsi="Arial"/>
          <w:sz w:val="12"/>
          <w:szCs w:val="12"/>
          <w:color w:val="auto"/>
        </w:rPr>
        <w:t>In connection with our initial public offering, the Investment Adviser paid to the underwriters 2% of the sales load, or $2.1 million in the aggregate, with respect to the offering of shares of our common stock. We (and indirectly our stockholders) will be obligated to repay this amount (a) if during any four consecutive calendar quarter-periods ending on or after April 13, 2012, our Pre-Incentive Fee Net Investment Income equals or exceeds 1.75% (7.0% annualized) of our net assets at the beginning of such period (as adjusted for any issuances or repurchases of shares of our common stock) or (b) upon our liquidation. If one or more of these events does not occur on or before April 7, 2014, we will not be obligated to repay this amount. We will repay such amount to the Investment Adviser in cash, and the Investment Adviser has agreed to use such payment to purchase shares of our common stock in the secondary market. Accordingly, for the fiscal year ended September 30, 2012, we have accrued such sales load as it is probable that we will meet the 1.75% Pre-Incentive Fee Net Investment Income hurdle for the fourth consecutive calendar quarter ending on December 31, 2012.</w:t>
      </w:r>
    </w:p>
    <w:p>
      <w:pPr>
        <w:spacing w:after="0" w:line="95" w:lineRule="exact"/>
        <w:rPr>
          <w:sz w:val="20"/>
          <w:szCs w:val="20"/>
          <w:color w:val="auto"/>
        </w:rPr>
      </w:pPr>
    </w:p>
    <w:p>
      <w:pPr>
        <w:jc w:val="both"/>
        <w:ind w:firstLine="562"/>
        <w:spacing w:after="0" w:line="256" w:lineRule="auto"/>
        <w:rPr>
          <w:sz w:val="20"/>
          <w:szCs w:val="20"/>
          <w:color w:val="auto"/>
        </w:rPr>
      </w:pPr>
      <w:r>
        <w:rPr>
          <w:rFonts w:ascii="Arial" w:cs="Arial" w:eastAsia="Arial" w:hAnsi="Arial"/>
          <w:sz w:val="13"/>
          <w:szCs w:val="13"/>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Off-Balance Sheet Arrangements</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We currently engage in no off-balance sheet arrangements, including any risk management of commodity pricing or other hedging practices.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Distributions</w:t>
      </w:r>
    </w:p>
    <w:p>
      <w:pPr>
        <w:spacing w:after="0" w:line="80" w:lineRule="exact"/>
        <w:rPr>
          <w:sz w:val="20"/>
          <w:szCs w:val="20"/>
          <w:color w:val="auto"/>
        </w:rPr>
      </w:pPr>
    </w:p>
    <w:p>
      <w:pPr>
        <w:ind w:right="140" w:firstLine="562"/>
        <w:spacing w:after="0" w:line="256" w:lineRule="auto"/>
        <w:rPr>
          <w:sz w:val="20"/>
          <w:szCs w:val="20"/>
          <w:color w:val="auto"/>
        </w:rPr>
      </w:pPr>
      <w:r>
        <w:rPr>
          <w:rFonts w:ascii="Arial" w:cs="Arial" w:eastAsia="Arial" w:hAnsi="Arial"/>
          <w:sz w:val="13"/>
          <w:szCs w:val="13"/>
          <w:color w:val="auto"/>
        </w:rPr>
        <w:t>In order to qualify as a RIC and to not be subject to corporate-level tax on income, we are required, under Subchapter M of the Code, to distribute annually dividends of at least 90% of the sum of our ordinary income and realized net short-term capital gains in excess of realized net long-term capital losses, if any, out of the assets legally available for distribution. Although not required for us to maintain our RIC tax status, in order to</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49</w:t>
      </w:r>
    </w:p>
    <w:p>
      <w:pPr>
        <w:sectPr>
          <w:pgSz w:w="11900" w:h="16838" w:orient="portrait"/>
          <w:cols w:equalWidth="0" w:num="1">
            <w:col w:w="11240"/>
          </w:cols>
          <w:pgMar w:left="320" w:top="459" w:right="3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20"/>
        <w:spacing w:after="0" w:line="250" w:lineRule="auto"/>
        <w:rPr>
          <w:sz w:val="20"/>
          <w:szCs w:val="20"/>
          <w:color w:val="auto"/>
        </w:rPr>
      </w:pPr>
      <w:r>
        <w:rPr>
          <w:rFonts w:ascii="Arial" w:cs="Arial" w:eastAsia="Arial" w:hAnsi="Arial"/>
          <w:sz w:val="13"/>
          <w:szCs w:val="13"/>
          <w:color w:val="auto"/>
        </w:rPr>
        <w:t>preclude the imposition of a 4% nondeductible federal excise tax imposed on RICs, we may distribute during each calendar year an amount at least equal to the sum of (1) 98% of our net ordinary income for the calendar year, (2) 98.2% of our realized net capital gains for the one-year period ending on October 31 of the calendar year and (3) any net ordinary income and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we may retain such net capital gains or ordinary income to provide us with additional liquidity.</w:t>
      </w:r>
    </w:p>
    <w:p>
      <w:pPr>
        <w:spacing w:after="0" w:line="106" w:lineRule="exact"/>
        <w:rPr>
          <w:sz w:val="20"/>
          <w:szCs w:val="20"/>
          <w:color w:val="auto"/>
        </w:rPr>
      </w:pPr>
    </w:p>
    <w:p>
      <w:pPr>
        <w:ind w:right="120" w:firstLine="562"/>
        <w:spacing w:after="0" w:line="278" w:lineRule="auto"/>
        <w:rPr>
          <w:sz w:val="20"/>
          <w:szCs w:val="20"/>
          <w:color w:val="auto"/>
        </w:rPr>
      </w:pPr>
      <w:r>
        <w:rPr>
          <w:rFonts w:ascii="Arial" w:cs="Arial" w:eastAsia="Arial" w:hAnsi="Arial"/>
          <w:sz w:val="12"/>
          <w:szCs w:val="12"/>
          <w:color w:val="auto"/>
        </w:rPr>
        <w:t>During the year ended September 30, 2012, we declared distributions of $0.91 per share for total distributions of $6.2 million. For the period March 4, 2011 (commencement of operations) to September 30, 2011, we declared distributions of $0.25 per share for a total distribution of $1.7 million.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Tax characteristics of all distributions will be reported to stockholders on Form 1099-DIV after the end of the calendar year and in our periodic reports filed with the SEC.</w:t>
      </w:r>
    </w:p>
    <w:p>
      <w:pPr>
        <w:spacing w:after="0" w:line="9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We intend to continue to distribute monthly distributions to our stockholders. Our monthly distributions, if any, are determined by our board of directors.</w:t>
      </w:r>
    </w:p>
    <w:p>
      <w:pPr>
        <w:spacing w:after="0" w:line="134" w:lineRule="exact"/>
        <w:rPr>
          <w:sz w:val="20"/>
          <w:szCs w:val="20"/>
          <w:color w:val="auto"/>
        </w:rPr>
      </w:pPr>
    </w:p>
    <w:p>
      <w:pPr>
        <w:ind w:firstLine="562"/>
        <w:spacing w:after="0" w:line="256" w:lineRule="auto"/>
        <w:rPr>
          <w:sz w:val="20"/>
          <w:szCs w:val="20"/>
          <w:color w:val="auto"/>
        </w:rPr>
      </w:pPr>
      <w:r>
        <w:rPr>
          <w:rFonts w:ascii="Arial" w:cs="Arial" w:eastAsia="Arial" w:hAnsi="Arial"/>
          <w:sz w:val="13"/>
          <w:szCs w:val="13"/>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 We cannot assure stockholders that they will receive any dividends and distributions at a particular level.</w:t>
      </w:r>
    </w:p>
    <w:p>
      <w:pPr>
        <w:spacing w:after="0" w:line="102" w:lineRule="exact"/>
        <w:rPr>
          <w:sz w:val="20"/>
          <w:szCs w:val="20"/>
          <w:color w:val="auto"/>
        </w:rPr>
      </w:pPr>
    </w:p>
    <w:p>
      <w:pPr>
        <w:ind w:right="60" w:firstLine="562"/>
        <w:spacing w:after="0" w:line="250" w:lineRule="auto"/>
        <w:rPr>
          <w:sz w:val="20"/>
          <w:szCs w:val="20"/>
          <w:color w:val="auto"/>
        </w:rPr>
      </w:pPr>
      <w:r>
        <w:rPr>
          <w:rFonts w:ascii="Arial" w:cs="Arial" w:eastAsia="Arial" w:hAnsi="Arial"/>
          <w:sz w:val="13"/>
          <w:szCs w:val="13"/>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applicable to us as a BDC under the 1940 Act and due to provisions in future credit facilities. If we do not distribute a certain percentage of our income annually, we will suffer adverse tax consequences, including possible loss of RIC status. We cannot assure stockholders that they will receive any dividends and distributions at a particular level.</w:t>
      </w:r>
    </w:p>
    <w:p>
      <w:pPr>
        <w:spacing w:after="0" w:line="106" w:lineRule="exact"/>
        <w:rPr>
          <w:sz w:val="20"/>
          <w:szCs w:val="20"/>
          <w:color w:val="auto"/>
        </w:rPr>
      </w:pPr>
    </w:p>
    <w:p>
      <w:pPr>
        <w:ind w:right="120" w:firstLine="562"/>
        <w:spacing w:after="0" w:line="256" w:lineRule="auto"/>
        <w:rPr>
          <w:sz w:val="20"/>
          <w:szCs w:val="20"/>
          <w:color w:val="auto"/>
        </w:rPr>
      </w:pPr>
      <w:r>
        <w:rPr>
          <w:rFonts w:ascii="Arial" w:cs="Arial" w:eastAsia="Arial" w:hAnsi="Arial"/>
          <w:sz w:val="13"/>
          <w:szCs w:val="13"/>
          <w:color w:val="auto"/>
        </w:rPr>
        <w:t>We may distribute our common stock as a dividend of our taxable income and a shareholder could receive a portion of the dividends declared and distributed by us in shares of our common stock with the remaining amount in cash. A shareholder will be considered to have recognized dividend income equal to the fair market value of the stock paid by us plus cash received with respect to such dividend. We have not elected to distribute stock as a dividend but reserve the right to do so.</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50</w:t>
      </w:r>
    </w:p>
    <w:p>
      <w:pPr>
        <w:sectPr>
          <w:pgSz w:w="11900" w:h="16838" w:orient="portrait"/>
          <w:cols w:equalWidth="0" w:num="1">
            <w:col w:w="11180"/>
          </w:cols>
          <w:pgMar w:left="320" w:top="459" w:right="3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00" w:val="left"/>
        </w:tabs>
        <w:rPr>
          <w:sz w:val="20"/>
          <w:szCs w:val="20"/>
          <w:color w:val="auto"/>
        </w:rPr>
      </w:pPr>
      <w:r>
        <w:rPr>
          <w:rFonts w:ascii="Arial" w:cs="Arial" w:eastAsia="Arial" w:hAnsi="Arial"/>
          <w:sz w:val="13"/>
          <w:szCs w:val="13"/>
          <w:b w:val="1"/>
          <w:bCs w:val="1"/>
          <w:color w:val="auto"/>
        </w:rPr>
        <w:t>Item 7A.</w:t>
      </w:r>
      <w:r>
        <w:rPr>
          <w:sz w:val="20"/>
          <w:szCs w:val="20"/>
          <w:color w:val="auto"/>
        </w:rPr>
        <w:tab/>
      </w:r>
      <w:r>
        <w:rPr>
          <w:rFonts w:ascii="Arial" w:cs="Arial" w:eastAsia="Arial" w:hAnsi="Arial"/>
          <w:sz w:val="12"/>
          <w:szCs w:val="12"/>
          <w:b w:val="1"/>
          <w:bCs w:val="1"/>
          <w:color w:val="auto"/>
        </w:rPr>
        <w:t>Quantitative And Qualitative Disclosures About Market Risk</w:t>
      </w:r>
    </w:p>
    <w:p>
      <w:pPr>
        <w:spacing w:after="0" w:line="82" w:lineRule="exact"/>
        <w:rPr>
          <w:sz w:val="20"/>
          <w:szCs w:val="20"/>
          <w:color w:val="auto"/>
        </w:rPr>
      </w:pPr>
    </w:p>
    <w:p>
      <w:pPr>
        <w:ind w:right="20" w:firstLine="562"/>
        <w:spacing w:after="0" w:line="247" w:lineRule="auto"/>
        <w:rPr>
          <w:sz w:val="20"/>
          <w:szCs w:val="20"/>
          <w:color w:val="auto"/>
        </w:rPr>
      </w:pPr>
      <w:r>
        <w:rPr>
          <w:rFonts w:ascii="Arial" w:cs="Arial" w:eastAsia="Arial" w:hAnsi="Arial"/>
          <w:sz w:val="13"/>
          <w:szCs w:val="13"/>
          <w:color w:val="auto"/>
        </w:rPr>
        <w:t>We are subject to financial market risks, including changes in interest rates. As of September 30, 2012, our debt portfolio consisted of 85% variable-rate investments (including 81% with a LIBOR or prime floor) and 15% fixed-rate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w:t>
      </w:r>
    </w:p>
    <w:p>
      <w:pPr>
        <w:spacing w:after="0" w:line="108" w:lineRule="exact"/>
        <w:rPr>
          <w:sz w:val="20"/>
          <w:szCs w:val="20"/>
          <w:color w:val="auto"/>
        </w:rPr>
      </w:pPr>
    </w:p>
    <w:p>
      <w:pPr>
        <w:jc w:val="both"/>
        <w:ind w:firstLine="562"/>
        <w:spacing w:after="0" w:line="278" w:lineRule="auto"/>
        <w:rPr>
          <w:sz w:val="20"/>
          <w:szCs w:val="20"/>
          <w:color w:val="auto"/>
        </w:rPr>
      </w:pPr>
      <w:r>
        <w:rPr>
          <w:rFonts w:ascii="Arial" w:cs="Arial" w:eastAsia="Arial" w:hAnsi="Arial"/>
          <w:sz w:val="12"/>
          <w:szCs w:val="12"/>
          <w:color w:val="auto"/>
        </w:rPr>
        <w:t>Assuming that the most recent statement of assets and liabilities were to remain constant, and no actions were taken to alter the existing interest rate sensitivity, a hypothetical immediate 1% change in interest rates may affect net income by more than 1% over a one-year horizon. Although management believes that this measure is indicative of our sensitivity to interest rate changes, it does not adjust for potential changes in the credit market, credit quality, size and composition of the assets on the Consolidated Statement of Assets and Liabilities and other business developments that could affect net increase in net assets resulting from operations, or net investment income. Accordingly, no assurances can be given that actual results would not differ materially from the statement above.</w:t>
      </w:r>
    </w:p>
    <w:p>
      <w:pPr>
        <w:spacing w:after="0" w:line="90" w:lineRule="exact"/>
        <w:rPr>
          <w:sz w:val="20"/>
          <w:szCs w:val="20"/>
          <w:color w:val="auto"/>
        </w:rPr>
      </w:pPr>
    </w:p>
    <w:p>
      <w:pPr>
        <w:jc w:val="both"/>
        <w:ind w:right="20" w:firstLine="562"/>
        <w:spacing w:after="0" w:line="317" w:lineRule="auto"/>
        <w:rPr>
          <w:sz w:val="20"/>
          <w:szCs w:val="20"/>
          <w:color w:val="auto"/>
        </w:rPr>
      </w:pPr>
      <w:r>
        <w:rPr>
          <w:rFonts w:ascii="Arial" w:cs="Arial" w:eastAsia="Arial" w:hAnsi="Arial"/>
          <w:sz w:val="12"/>
          <w:szCs w:val="12"/>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67" w:lineRule="exact"/>
        <w:rPr>
          <w:sz w:val="20"/>
          <w:szCs w:val="20"/>
          <w:color w:val="auto"/>
        </w:rPr>
      </w:pPr>
    </w:p>
    <w:p>
      <w:pPr>
        <w:ind w:firstLine="562"/>
        <w:spacing w:after="0" w:line="256" w:lineRule="auto"/>
        <w:rPr>
          <w:sz w:val="20"/>
          <w:szCs w:val="20"/>
          <w:color w:val="auto"/>
        </w:rPr>
      </w:pPr>
      <w:r>
        <w:rPr>
          <w:rFonts w:ascii="Arial" w:cs="Arial" w:eastAsia="Arial" w:hAnsi="Arial"/>
          <w:sz w:val="13"/>
          <w:szCs w:val="13"/>
          <w:color w:val="auto"/>
        </w:rPr>
        <w:t>We may hedge against interest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 During the periods covered by this Report, we did not engage in interest rate hedging activities.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51</w:t>
      </w:r>
    </w:p>
    <w:p>
      <w:pPr>
        <w:sectPr>
          <w:pgSz w:w="11900" w:h="16838" w:orient="portrait"/>
          <w:cols w:equalWidth="0" w:num="1">
            <w:col w:w="11200"/>
          </w:cols>
          <w:pgMar w:left="320" w:top="459" w:right="3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80" w:type="dxa"/>
            <w:vAlign w:val="bottom"/>
          </w:tcPr>
          <w:p>
            <w:pPr>
              <w:spacing w:after="0"/>
              <w:rPr>
                <w:sz w:val="20"/>
                <w:szCs w:val="20"/>
                <w:color w:val="auto"/>
              </w:rPr>
            </w:pPr>
            <w:r>
              <w:rPr>
                <w:rFonts w:ascii="Arial" w:cs="Arial" w:eastAsia="Arial" w:hAnsi="Arial"/>
                <w:sz w:val="13"/>
                <w:szCs w:val="13"/>
                <w:b w:val="1"/>
                <w:bCs w:val="1"/>
                <w:color w:val="auto"/>
              </w:rPr>
              <w:t>Item 8.</w:t>
            </w:r>
          </w:p>
        </w:tc>
        <w:tc>
          <w:tcPr>
            <w:tcW w:w="9520" w:type="dxa"/>
            <w:vAlign w:val="bottom"/>
          </w:tcPr>
          <w:p>
            <w:pPr>
              <w:jc w:val="right"/>
              <w:ind w:right="5613"/>
              <w:spacing w:after="0"/>
              <w:rPr>
                <w:sz w:val="20"/>
                <w:szCs w:val="20"/>
                <w:color w:val="auto"/>
              </w:rPr>
            </w:pPr>
            <w:r>
              <w:rPr>
                <w:rFonts w:ascii="Arial" w:cs="Arial" w:eastAsia="Arial" w:hAnsi="Arial"/>
                <w:sz w:val="13"/>
                <w:szCs w:val="13"/>
                <w:b w:val="1"/>
                <w:bCs w:val="1"/>
                <w:color w:val="auto"/>
              </w:rPr>
              <w:t>Consolidated Financial Statements and Supplementary Data</w:t>
            </w:r>
          </w:p>
        </w:tc>
        <w:tc>
          <w:tcPr>
            <w:tcW w:w="880" w:type="dxa"/>
            <w:vAlign w:val="bottom"/>
          </w:tcPr>
          <w:p>
            <w:pPr>
              <w:spacing w:after="0"/>
              <w:rPr>
                <w:sz w:val="15"/>
                <w:szCs w:val="15"/>
                <w:color w:val="auto"/>
              </w:rPr>
            </w:pPr>
          </w:p>
        </w:tc>
      </w:tr>
      <w:tr>
        <w:trPr>
          <w:trHeight w:val="325"/>
        </w:trPr>
        <w:tc>
          <w:tcPr>
            <w:tcW w:w="780" w:type="dxa"/>
            <w:vAlign w:val="bottom"/>
          </w:tcPr>
          <w:p>
            <w:pPr>
              <w:spacing w:after="0"/>
              <w:rPr>
                <w:sz w:val="24"/>
                <w:szCs w:val="24"/>
                <w:color w:val="auto"/>
              </w:rPr>
            </w:pPr>
          </w:p>
        </w:tc>
        <w:tc>
          <w:tcPr>
            <w:tcW w:w="95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Page</w:t>
            </w:r>
          </w:p>
        </w:tc>
      </w:tr>
      <w:tr>
        <w:trPr>
          <w:trHeight w:val="174"/>
        </w:trPr>
        <w:tc>
          <w:tcPr>
            <w:tcW w:w="10300" w:type="dxa"/>
            <w:vAlign w:val="bottom"/>
            <w:gridSpan w:val="2"/>
          </w:tcPr>
          <w:p>
            <w:pPr>
              <w:spacing w:after="0"/>
              <w:rPr>
                <w:rFonts w:ascii="Arial" w:cs="Arial" w:eastAsia="Arial" w:hAnsi="Arial"/>
                <w:sz w:val="13"/>
                <w:szCs w:val="13"/>
                <w:u w:val="single" w:color="auto"/>
                <w:color w:val="0000EE"/>
              </w:rPr>
            </w:pPr>
            <w:hyperlink w:anchor="page55">
              <w:r>
                <w:rPr>
                  <w:rFonts w:ascii="Arial" w:cs="Arial" w:eastAsia="Arial" w:hAnsi="Arial"/>
                  <w:sz w:val="13"/>
                  <w:szCs w:val="13"/>
                  <w:u w:val="single" w:color="auto"/>
                  <w:color w:val="0000EE"/>
                </w:rPr>
                <w:t>Management’s Report on Internal Control Over Financial Reporting</w:t>
              </w:r>
            </w:hyperlink>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53</w:t>
            </w:r>
          </w:p>
        </w:tc>
      </w:tr>
      <w:tr>
        <w:trPr>
          <w:trHeight w:val="257"/>
        </w:trPr>
        <w:tc>
          <w:tcPr>
            <w:tcW w:w="10300" w:type="dxa"/>
            <w:vAlign w:val="bottom"/>
            <w:gridSpan w:val="2"/>
          </w:tcPr>
          <w:p>
            <w:pPr>
              <w:spacing w:after="0"/>
              <w:rPr>
                <w:rFonts w:ascii="Arial" w:cs="Arial" w:eastAsia="Arial" w:hAnsi="Arial"/>
                <w:sz w:val="13"/>
                <w:szCs w:val="13"/>
                <w:u w:val="single" w:color="auto"/>
                <w:color w:val="0000EE"/>
              </w:rPr>
            </w:pPr>
            <w:hyperlink w:anchor="page56">
              <w:r>
                <w:rPr>
                  <w:rFonts w:ascii="Arial" w:cs="Arial" w:eastAsia="Arial" w:hAnsi="Arial"/>
                  <w:sz w:val="13"/>
                  <w:szCs w:val="13"/>
                  <w:u w:val="single" w:color="auto"/>
                  <w:color w:val="0000EE"/>
                </w:rPr>
                <w:t>Report of Independent Registered Public Accounting Firm</w:t>
              </w:r>
            </w:hyperlink>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54</w:t>
            </w:r>
          </w:p>
        </w:tc>
      </w:tr>
      <w:tr>
        <w:trPr>
          <w:trHeight w:val="257"/>
        </w:trPr>
        <w:tc>
          <w:tcPr>
            <w:tcW w:w="10300" w:type="dxa"/>
            <w:vAlign w:val="bottom"/>
            <w:gridSpan w:val="2"/>
          </w:tcPr>
          <w:p>
            <w:pPr>
              <w:spacing w:after="0"/>
              <w:rPr>
                <w:rFonts w:ascii="Arial" w:cs="Arial" w:eastAsia="Arial" w:hAnsi="Arial"/>
                <w:sz w:val="13"/>
                <w:szCs w:val="13"/>
                <w:u w:val="single" w:color="auto"/>
                <w:color w:val="0000EE"/>
              </w:rPr>
            </w:pPr>
            <w:hyperlink w:anchor="page57">
              <w:r>
                <w:rPr>
                  <w:rFonts w:ascii="Arial" w:cs="Arial" w:eastAsia="Arial" w:hAnsi="Arial"/>
                  <w:sz w:val="13"/>
                  <w:szCs w:val="13"/>
                  <w:u w:val="single" w:color="auto"/>
                  <w:color w:val="0000EE"/>
                </w:rPr>
                <w:t>Report of Independent Registered Public Accounting Firm On Internal Control Over Financial Reporting</w:t>
              </w:r>
            </w:hyperlink>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55</w:t>
            </w:r>
          </w:p>
        </w:tc>
      </w:tr>
      <w:tr>
        <w:trPr>
          <w:trHeight w:val="257"/>
        </w:trPr>
        <w:tc>
          <w:tcPr>
            <w:tcW w:w="10300" w:type="dxa"/>
            <w:vAlign w:val="bottom"/>
            <w:gridSpan w:val="2"/>
          </w:tcPr>
          <w:p>
            <w:pPr>
              <w:spacing w:after="0"/>
              <w:rPr>
                <w:rFonts w:ascii="Arial" w:cs="Arial" w:eastAsia="Arial" w:hAnsi="Arial"/>
                <w:sz w:val="13"/>
                <w:szCs w:val="13"/>
                <w:u w:val="single" w:color="auto"/>
                <w:color w:val="0000EE"/>
              </w:rPr>
            </w:pPr>
            <w:hyperlink w:anchor="page58">
              <w:r>
                <w:rPr>
                  <w:rFonts w:ascii="Arial" w:cs="Arial" w:eastAsia="Arial" w:hAnsi="Arial"/>
                  <w:sz w:val="13"/>
                  <w:szCs w:val="13"/>
                  <w:u w:val="single" w:color="auto"/>
                  <w:color w:val="0000EE"/>
                </w:rPr>
                <w:t>Consolidated Statements of Assets and Liabilities as of September 30, 2012 and 2011</w:t>
              </w:r>
            </w:hyperlink>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56</w:t>
            </w:r>
          </w:p>
        </w:tc>
      </w:tr>
      <w:tr>
        <w:trPr>
          <w:trHeight w:val="256"/>
        </w:trPr>
        <w:tc>
          <w:tcPr>
            <w:tcW w:w="10300" w:type="dxa"/>
            <w:vAlign w:val="bottom"/>
            <w:gridSpan w:val="2"/>
          </w:tcPr>
          <w:p>
            <w:pPr>
              <w:spacing w:after="0"/>
              <w:rPr>
                <w:rFonts w:ascii="Arial" w:cs="Arial" w:eastAsia="Arial" w:hAnsi="Arial"/>
                <w:sz w:val="13"/>
                <w:szCs w:val="13"/>
                <w:u w:val="single" w:color="auto"/>
                <w:color w:val="0000EE"/>
              </w:rPr>
            </w:pPr>
            <w:hyperlink w:anchor="page59">
              <w:r>
                <w:rPr>
                  <w:rFonts w:ascii="Arial" w:cs="Arial" w:eastAsia="Arial" w:hAnsi="Arial"/>
                  <w:sz w:val="13"/>
                  <w:szCs w:val="13"/>
                  <w:u w:val="single" w:color="auto"/>
                  <w:color w:val="0000EE"/>
                </w:rPr>
                <w:t>Consolidated Statements of Operations for the year ended September 30, 2012 and for the period March 4, 2011 (commencement of operations) to September 30, 2011</w:t>
              </w:r>
            </w:hyperlink>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57</w:t>
            </w:r>
          </w:p>
        </w:tc>
      </w:tr>
      <w:tr>
        <w:trPr>
          <w:trHeight w:val="257"/>
        </w:trPr>
        <w:tc>
          <w:tcPr>
            <w:tcW w:w="10300" w:type="dxa"/>
            <w:vAlign w:val="bottom"/>
            <w:gridSpan w:val="2"/>
          </w:tcPr>
          <w:p>
            <w:pPr>
              <w:spacing w:after="0"/>
              <w:rPr>
                <w:rFonts w:ascii="Arial" w:cs="Arial" w:eastAsia="Arial" w:hAnsi="Arial"/>
                <w:sz w:val="13"/>
                <w:szCs w:val="13"/>
                <w:u w:val="single" w:color="auto"/>
                <w:color w:val="0000EE"/>
                <w:w w:val="99"/>
              </w:rPr>
            </w:pPr>
            <w:hyperlink w:anchor="page60">
              <w:r>
                <w:rPr>
                  <w:rFonts w:ascii="Arial" w:cs="Arial" w:eastAsia="Arial" w:hAnsi="Arial"/>
                  <w:sz w:val="13"/>
                  <w:szCs w:val="13"/>
                  <w:u w:val="single" w:color="auto"/>
                  <w:color w:val="0000EE"/>
                  <w:w w:val="99"/>
                </w:rPr>
                <w:t>Consolidated Statements of Changes in Net Assets for the year ended September 30, 2012 and for the period March 4, 2011 (commencement of operations) to September 30, 2011</w:t>
              </w:r>
            </w:hyperlink>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58</w:t>
            </w:r>
          </w:p>
        </w:tc>
      </w:tr>
      <w:tr>
        <w:trPr>
          <w:trHeight w:val="257"/>
        </w:trPr>
        <w:tc>
          <w:tcPr>
            <w:tcW w:w="10300" w:type="dxa"/>
            <w:vAlign w:val="bottom"/>
            <w:gridSpan w:val="2"/>
          </w:tcPr>
          <w:p>
            <w:pPr>
              <w:spacing w:after="0"/>
              <w:rPr>
                <w:rFonts w:ascii="Arial" w:cs="Arial" w:eastAsia="Arial" w:hAnsi="Arial"/>
                <w:sz w:val="13"/>
                <w:szCs w:val="13"/>
                <w:u w:val="single" w:color="auto"/>
                <w:color w:val="0000EE"/>
              </w:rPr>
            </w:pPr>
            <w:hyperlink w:anchor="page61">
              <w:r>
                <w:rPr>
                  <w:rFonts w:ascii="Arial" w:cs="Arial" w:eastAsia="Arial" w:hAnsi="Arial"/>
                  <w:sz w:val="13"/>
                  <w:szCs w:val="13"/>
                  <w:u w:val="single" w:color="auto"/>
                  <w:color w:val="0000EE"/>
                </w:rPr>
                <w:t>Consolidated Statements of Cash Flows for the year ended September 30, 2012 and for the period March 4, 2011 (commencement of operations) to September 30, 2011</w:t>
              </w:r>
            </w:hyperlink>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59</w:t>
            </w:r>
          </w:p>
        </w:tc>
      </w:tr>
      <w:tr>
        <w:trPr>
          <w:trHeight w:val="257"/>
        </w:trPr>
        <w:tc>
          <w:tcPr>
            <w:tcW w:w="10300" w:type="dxa"/>
            <w:vAlign w:val="bottom"/>
            <w:gridSpan w:val="2"/>
          </w:tcPr>
          <w:p>
            <w:pPr>
              <w:spacing w:after="0"/>
              <w:rPr>
                <w:rFonts w:ascii="Arial" w:cs="Arial" w:eastAsia="Arial" w:hAnsi="Arial"/>
                <w:sz w:val="13"/>
                <w:szCs w:val="13"/>
                <w:u w:val="single" w:color="auto"/>
                <w:color w:val="0000EE"/>
              </w:rPr>
            </w:pPr>
            <w:hyperlink w:anchor="page62">
              <w:r>
                <w:rPr>
                  <w:rFonts w:ascii="Arial" w:cs="Arial" w:eastAsia="Arial" w:hAnsi="Arial"/>
                  <w:sz w:val="13"/>
                  <w:szCs w:val="13"/>
                  <w:u w:val="single" w:color="auto"/>
                  <w:color w:val="0000EE"/>
                </w:rPr>
                <w:t>Consolidated Schedules of Investments as of September 30, 2012 and September 30, 2011</w:t>
              </w:r>
            </w:hyperlink>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60</w:t>
            </w:r>
          </w:p>
        </w:tc>
      </w:tr>
      <w:tr>
        <w:trPr>
          <w:trHeight w:val="256"/>
        </w:trPr>
        <w:tc>
          <w:tcPr>
            <w:tcW w:w="10300" w:type="dxa"/>
            <w:vAlign w:val="bottom"/>
            <w:gridSpan w:val="2"/>
          </w:tcPr>
          <w:p>
            <w:pPr>
              <w:spacing w:after="0"/>
              <w:rPr>
                <w:rFonts w:ascii="Arial" w:cs="Arial" w:eastAsia="Arial" w:hAnsi="Arial"/>
                <w:sz w:val="13"/>
                <w:szCs w:val="13"/>
                <w:u w:val="single" w:color="auto"/>
                <w:color w:val="0000EE"/>
              </w:rPr>
            </w:pPr>
            <w:hyperlink w:anchor="page66">
              <w:r>
                <w:rPr>
                  <w:rFonts w:ascii="Arial" w:cs="Arial" w:eastAsia="Arial" w:hAnsi="Arial"/>
                  <w:sz w:val="13"/>
                  <w:szCs w:val="13"/>
                  <w:u w:val="single" w:color="auto"/>
                  <w:color w:val="0000EE"/>
                </w:rPr>
                <w:t>Notes to the Consolidated Financial Statements</w:t>
              </w:r>
            </w:hyperlink>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64</w:t>
            </w:r>
          </w:p>
        </w:tc>
      </w:tr>
      <w:tr>
        <w:trPr>
          <w:trHeight w:val="297"/>
        </w:trPr>
        <w:tc>
          <w:tcPr>
            <w:tcW w:w="780" w:type="dxa"/>
            <w:vAlign w:val="bottom"/>
          </w:tcPr>
          <w:p>
            <w:pPr>
              <w:spacing w:after="0"/>
              <w:rPr>
                <w:sz w:val="24"/>
                <w:szCs w:val="24"/>
                <w:color w:val="auto"/>
              </w:rPr>
            </w:pPr>
          </w:p>
        </w:tc>
        <w:tc>
          <w:tcPr>
            <w:tcW w:w="9520" w:type="dxa"/>
            <w:vAlign w:val="bottom"/>
          </w:tcPr>
          <w:p>
            <w:pPr>
              <w:jc w:val="right"/>
              <w:ind w:right="4533"/>
              <w:spacing w:after="0"/>
              <w:rPr>
                <w:sz w:val="20"/>
                <w:szCs w:val="20"/>
                <w:color w:val="auto"/>
              </w:rPr>
            </w:pPr>
            <w:r>
              <w:rPr>
                <w:rFonts w:ascii="Arial" w:cs="Arial" w:eastAsia="Arial" w:hAnsi="Arial"/>
                <w:sz w:val="13"/>
                <w:szCs w:val="13"/>
                <w:color w:val="auto"/>
              </w:rPr>
              <w:t>52</w:t>
            </w:r>
          </w:p>
        </w:tc>
        <w:tc>
          <w:tcPr>
            <w:tcW w:w="880" w:type="dxa"/>
            <w:vAlign w:val="bottom"/>
          </w:tcPr>
          <w:p>
            <w:pPr>
              <w:spacing w:after="0"/>
              <w:rPr>
                <w:sz w:val="24"/>
                <w:szCs w:val="24"/>
                <w:color w:val="auto"/>
              </w:rPr>
            </w:pPr>
          </w:p>
        </w:tc>
      </w:tr>
    </w:tbl>
    <w:p>
      <w:pPr>
        <w:sectPr>
          <w:pgSz w:w="11900" w:h="16838" w:orient="portrait"/>
          <w:cols w:equalWidth="0" w:num="1">
            <w:col w:w="11180"/>
          </w:cols>
          <w:pgMar w:left="320" w:top="459" w:right="3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Management’s Report on Internal Control Over Financial Reporting</w:t>
      </w:r>
    </w:p>
    <w:p>
      <w:pPr>
        <w:spacing w:after="0" w:line="136" w:lineRule="exact"/>
        <w:rPr>
          <w:sz w:val="20"/>
          <w:szCs w:val="20"/>
          <w:color w:val="auto"/>
        </w:rPr>
      </w:pPr>
    </w:p>
    <w:p>
      <w:pPr>
        <w:ind w:left="560"/>
        <w:spacing w:after="0"/>
        <w:rPr>
          <w:sz w:val="20"/>
          <w:szCs w:val="20"/>
          <w:color w:val="auto"/>
        </w:rPr>
      </w:pPr>
      <w:r>
        <w:rPr>
          <w:rFonts w:ascii="Arial" w:cs="Arial" w:eastAsia="Arial" w:hAnsi="Arial"/>
          <w:sz w:val="12"/>
          <w:szCs w:val="12"/>
          <w:color w:val="auto"/>
        </w:rPr>
        <w:t>The management of PennantPark Floating Rate Capital, Ltd., or “we,” “us,” “our” and “Company,” is responsible for establishing and maintaining adequate internal control over financial reporting.</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Our internal control system is a process designed to provide reasonable assurance to our management and board of directors regarding the preparation and fair presentation of published financial statements.</w:t>
      </w:r>
    </w:p>
    <w:p>
      <w:pPr>
        <w:spacing w:after="0" w:line="134" w:lineRule="exact"/>
        <w:rPr>
          <w:sz w:val="20"/>
          <w:szCs w:val="20"/>
          <w:color w:val="auto"/>
        </w:rPr>
      </w:pPr>
    </w:p>
    <w:p>
      <w:pPr>
        <w:ind w:firstLine="562"/>
        <w:spacing w:after="0" w:line="278" w:lineRule="auto"/>
        <w:rPr>
          <w:sz w:val="20"/>
          <w:szCs w:val="20"/>
          <w:color w:val="auto"/>
        </w:rPr>
      </w:pPr>
      <w:r>
        <w:rPr>
          <w:rFonts w:ascii="Arial" w:cs="Arial" w:eastAsia="Arial" w:hAnsi="Arial"/>
          <w:sz w:val="12"/>
          <w:szCs w:val="12"/>
          <w:color w:val="auto"/>
        </w:rPr>
        <w:t>The Company’s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U.S. Generally Accepted Accounting Principles, and that receipts and expenditures are being made only in accordance with authorizations of management and the directors of the Company; and provide reasonable assurance regarding prevention or timely detection of unauthorized acquisition, use or disposition of our assets that could have a material effect on our consolidated financial statements.</w:t>
      </w:r>
    </w:p>
    <w:p>
      <w:pPr>
        <w:spacing w:after="0" w:line="90" w:lineRule="exact"/>
        <w:rPr>
          <w:sz w:val="20"/>
          <w:szCs w:val="20"/>
          <w:color w:val="auto"/>
        </w:rPr>
      </w:pPr>
    </w:p>
    <w:p>
      <w:pPr>
        <w:ind w:right="60" w:firstLine="562"/>
        <w:spacing w:after="0" w:line="256" w:lineRule="auto"/>
        <w:rPr>
          <w:sz w:val="20"/>
          <w:szCs w:val="20"/>
          <w:color w:val="auto"/>
        </w:rPr>
      </w:pPr>
      <w:r>
        <w:rPr>
          <w:rFonts w:ascii="Arial" w:cs="Arial" w:eastAsia="Arial" w:hAnsi="Arial"/>
          <w:sz w:val="13"/>
          <w:szCs w:val="13"/>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2" w:lineRule="exact"/>
        <w:rPr>
          <w:sz w:val="20"/>
          <w:szCs w:val="20"/>
          <w:color w:val="auto"/>
        </w:rPr>
      </w:pPr>
    </w:p>
    <w:p>
      <w:pPr>
        <w:ind w:right="40" w:firstLine="562"/>
        <w:spacing w:after="0" w:line="256" w:lineRule="auto"/>
        <w:rPr>
          <w:sz w:val="20"/>
          <w:szCs w:val="20"/>
          <w:color w:val="auto"/>
        </w:rPr>
      </w:pPr>
      <w:r>
        <w:rPr>
          <w:rFonts w:ascii="Arial" w:cs="Arial" w:eastAsia="Arial" w:hAnsi="Arial"/>
          <w:sz w:val="13"/>
          <w:szCs w:val="13"/>
          <w:color w:val="auto"/>
        </w:rPr>
        <w:t xml:space="preserve">Management assessed the effectiveness of the Company’s internal control over financial reporting as of September 30, 2012. In making this assessment, we used the criteria set forth by the Committee of Sponsoring Organizations of the Treadway Commission in </w:t>
      </w:r>
      <w:r>
        <w:rPr>
          <w:rFonts w:ascii="Arial" w:cs="Arial" w:eastAsia="Arial" w:hAnsi="Arial"/>
          <w:sz w:val="13"/>
          <w:szCs w:val="13"/>
          <w:i w:val="1"/>
          <w:iCs w:val="1"/>
          <w:color w:val="auto"/>
        </w:rPr>
        <w:t>Internal Control—Integrated Framework</w:t>
      </w:r>
      <w:r>
        <w:rPr>
          <w:rFonts w:ascii="Arial" w:cs="Arial" w:eastAsia="Arial" w:hAnsi="Arial"/>
          <w:sz w:val="13"/>
          <w:szCs w:val="13"/>
          <w:color w:val="auto"/>
        </w:rPr>
        <w:t>. Based on the assessment management believes that, as of September 30, 2012, our internal control over financial reporting is effective based on those criteria.</w:t>
      </w:r>
    </w:p>
    <w:p>
      <w:pPr>
        <w:spacing w:after="0" w:line="102" w:lineRule="exact"/>
        <w:rPr>
          <w:sz w:val="20"/>
          <w:szCs w:val="20"/>
          <w:color w:val="auto"/>
        </w:rPr>
      </w:pPr>
    </w:p>
    <w:p>
      <w:pPr>
        <w:ind w:right="120" w:firstLine="562"/>
        <w:spacing w:after="0" w:line="274" w:lineRule="auto"/>
        <w:rPr>
          <w:sz w:val="20"/>
          <w:szCs w:val="20"/>
          <w:color w:val="auto"/>
        </w:rPr>
      </w:pPr>
      <w:r>
        <w:rPr>
          <w:rFonts w:ascii="Arial" w:cs="Arial" w:eastAsia="Arial" w:hAnsi="Arial"/>
          <w:sz w:val="13"/>
          <w:szCs w:val="13"/>
          <w:color w:val="auto"/>
        </w:rPr>
        <w:t>The Company’s independent registered public accounting firm that audited the financial statements has issued an audit report on the effectiveness of our internal control over financial reporting as of September 30, 2012. This report appears on page 55.</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53</w:t>
      </w:r>
    </w:p>
    <w:p>
      <w:pPr>
        <w:sectPr>
          <w:pgSz w:w="11900" w:h="16838" w:orient="portrait"/>
          <w:cols w:equalWidth="0" w:num="1">
            <w:col w:w="11240"/>
          </w:cols>
          <w:pgMar w:left="320" w:top="459" w:right="3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color w:val="auto"/>
        </w:rPr>
        <w:t>The Board of Directors and Stockholders</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PennantPark Floating Rate Capital Ltd. and its Subsidiary:</w:t>
      </w:r>
    </w:p>
    <w:p>
      <w:pPr>
        <w:spacing w:after="0" w:line="122" w:lineRule="exact"/>
        <w:rPr>
          <w:sz w:val="20"/>
          <w:szCs w:val="20"/>
          <w:color w:val="auto"/>
        </w:rPr>
      </w:pPr>
    </w:p>
    <w:p>
      <w:pPr>
        <w:ind w:right="200" w:firstLine="562"/>
        <w:spacing w:after="0" w:line="250" w:lineRule="auto"/>
        <w:rPr>
          <w:sz w:val="20"/>
          <w:szCs w:val="20"/>
          <w:color w:val="auto"/>
        </w:rPr>
      </w:pPr>
      <w:r>
        <w:rPr>
          <w:rFonts w:ascii="Arial" w:cs="Arial" w:eastAsia="Arial" w:hAnsi="Arial"/>
          <w:sz w:val="13"/>
          <w:szCs w:val="13"/>
          <w:color w:val="auto"/>
        </w:rPr>
        <w:t>We have audited the accompanying consolidated statements of assets and liabilities of PennantPark Floating Rate Capital Ltd. and its Subsidiary (collectively referred to as the “Company”), including the consolidated schedules of investments as of September 30, 2012 and 2011, and the related consolidated statements of operations, changes in net assets, and cash flows for the year ended September 30, 2012 and for the period March 4, 2011 (commencement of operations) to September 30, 2011. These consolidated financial statements are the responsibility of the Company’s management. Our responsibility is to express an opinion on these consolidated financial statements based on our audit.</w:t>
      </w:r>
    </w:p>
    <w:p>
      <w:pPr>
        <w:spacing w:after="0" w:line="106"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Our procedures included confirmation of investments owned as of September 30, 2012 by correspondence with the custodians and portfolio companies or by other appropriate auditing procedures.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08" w:lineRule="exact"/>
        <w:rPr>
          <w:sz w:val="20"/>
          <w:szCs w:val="20"/>
          <w:color w:val="auto"/>
        </w:rPr>
      </w:pPr>
    </w:p>
    <w:p>
      <w:pPr>
        <w:jc w:val="both"/>
        <w:ind w:firstLine="562"/>
        <w:spacing w:after="0" w:line="256" w:lineRule="auto"/>
        <w:rPr>
          <w:sz w:val="20"/>
          <w:szCs w:val="20"/>
          <w:color w:val="auto"/>
        </w:rPr>
      </w:pPr>
      <w:r>
        <w:rPr>
          <w:rFonts w:ascii="Arial" w:cs="Arial" w:eastAsia="Arial" w:hAnsi="Arial"/>
          <w:sz w:val="13"/>
          <w:szCs w:val="13"/>
          <w:color w:val="auto"/>
        </w:rPr>
        <w:t>In our opinion, the consolidated financial statements referred to above present fairly, in all material respects, the financial position of PennantPark Floating Rate Capital Ltd. and its Subsidiary as of September 30, 2012 and 2011, and the results of their operations and their cash flows for the year ended September 30, 2012 and for the period March 4, 2011 (commencement of operations) to September 30, 2011, in conformity with U.S. generally accepted accounting principles.</w:t>
      </w:r>
    </w:p>
    <w:p>
      <w:pPr>
        <w:spacing w:after="0" w:line="102" w:lineRule="exact"/>
        <w:rPr>
          <w:sz w:val="20"/>
          <w:szCs w:val="20"/>
          <w:color w:val="auto"/>
        </w:rPr>
      </w:pPr>
    </w:p>
    <w:p>
      <w:pPr>
        <w:jc w:val="both"/>
        <w:ind w:right="160" w:firstLine="562"/>
        <w:spacing w:after="0" w:line="288" w:lineRule="auto"/>
        <w:rPr>
          <w:sz w:val="20"/>
          <w:szCs w:val="20"/>
          <w:color w:val="auto"/>
        </w:rPr>
      </w:pPr>
      <w:r>
        <w:rPr>
          <w:rFonts w:ascii="Arial" w:cs="Arial" w:eastAsia="Arial" w:hAnsi="Arial"/>
          <w:sz w:val="12"/>
          <w:szCs w:val="12"/>
          <w:color w:val="auto"/>
        </w:rPr>
        <w:t xml:space="preserve">We also have audited, in accordance with the standards of the Public Company Accounting Oversight Board (United States), PennantPark Floating Rate Capital, Ltd. and its Subsidiary’s, internal control over financial reporting as of September 30, 2012, based on criteria established in </w:t>
      </w:r>
      <w:r>
        <w:rPr>
          <w:rFonts w:ascii="Arial" w:cs="Arial" w:eastAsia="Arial" w:hAnsi="Arial"/>
          <w:sz w:val="12"/>
          <w:szCs w:val="12"/>
          <w:i w:val="1"/>
          <w:iCs w:val="1"/>
          <w:color w:val="auto"/>
        </w:rPr>
        <w:t>Internal Control—Integrated Framework</w:t>
      </w:r>
      <w:r>
        <w:rPr>
          <w:rFonts w:ascii="Arial" w:cs="Arial" w:eastAsia="Arial" w:hAnsi="Arial"/>
          <w:sz w:val="12"/>
          <w:szCs w:val="12"/>
          <w:color w:val="auto"/>
        </w:rPr>
        <w:t>, issued by the Committee of Sponsoring Organizations of the Treadway Commission (COSO), and our report dated November 14, 2012 expressed an unqualified opinion on the effectiveness of the Company’s internal control over financial reporting.</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/s/ KPMG LLP</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New York, New York</w:t>
      </w:r>
    </w:p>
    <w:p>
      <w:pPr>
        <w:spacing w:after="0"/>
        <w:rPr>
          <w:sz w:val="20"/>
          <w:szCs w:val="20"/>
          <w:color w:val="auto"/>
        </w:rPr>
      </w:pPr>
      <w:r>
        <w:rPr>
          <w:rFonts w:ascii="Arial" w:cs="Arial" w:eastAsia="Arial" w:hAnsi="Arial"/>
          <w:sz w:val="13"/>
          <w:szCs w:val="13"/>
          <w:color w:val="auto"/>
        </w:rPr>
        <w:t>November 14, 2012</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54</w:t>
      </w:r>
    </w:p>
    <w:p>
      <w:pPr>
        <w:sectPr>
          <w:pgSz w:w="11900" w:h="16838" w:orient="portrait"/>
          <w:cols w:equalWidth="0" w:num="1">
            <w:col w:w="11220"/>
          </w:cols>
          <w:pgMar w:left="320" w:top="459" w:right="3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On Internal Control Over Financial Reporting</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color w:val="auto"/>
        </w:rPr>
        <w:t>The Board of Directors and Stockholders</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PennantPark Floating Rate Capital Ltd. and its Subsidiary:</w:t>
      </w:r>
    </w:p>
    <w:p>
      <w:pPr>
        <w:spacing w:after="0" w:line="122" w:lineRule="exact"/>
        <w:rPr>
          <w:sz w:val="20"/>
          <w:szCs w:val="20"/>
          <w:color w:val="auto"/>
        </w:rPr>
      </w:pPr>
    </w:p>
    <w:p>
      <w:pPr>
        <w:ind w:right="20" w:firstLine="562"/>
        <w:spacing w:after="0" w:line="247" w:lineRule="auto"/>
        <w:rPr>
          <w:sz w:val="20"/>
          <w:szCs w:val="20"/>
          <w:color w:val="auto"/>
        </w:rPr>
      </w:pPr>
      <w:r>
        <w:rPr>
          <w:rFonts w:ascii="Arial" w:cs="Arial" w:eastAsia="Arial" w:hAnsi="Arial"/>
          <w:sz w:val="13"/>
          <w:szCs w:val="13"/>
          <w:color w:val="auto"/>
        </w:rPr>
        <w:t xml:space="preserve">We have audited PennantPark Floating Rate Capital Ltd. and its Subsidiary (the “Company”) internal control over financial reporting as of September 30, 2012, based on criteria established in </w:t>
      </w:r>
      <w:r>
        <w:rPr>
          <w:rFonts w:ascii="Arial" w:cs="Arial" w:eastAsia="Arial" w:hAnsi="Arial"/>
          <w:sz w:val="13"/>
          <w:szCs w:val="13"/>
          <w:i w:val="1"/>
          <w:iCs w:val="1"/>
          <w:color w:val="auto"/>
        </w:rPr>
        <w:t>Internal Control—Integrated Framework</w:t>
      </w:r>
      <w:r>
        <w:rPr>
          <w:rFonts w:ascii="Arial" w:cs="Arial" w:eastAsia="Arial" w:hAnsi="Arial"/>
          <w:sz w:val="13"/>
          <w:szCs w:val="13"/>
          <w:color w:val="auto"/>
        </w:rPr>
        <w:t>, issued by the Committee of Sponsoring Organizations of the Treadway Commission (COSO). Management of the Company is responsible for maintaining effective</w:t>
      </w:r>
      <w:r>
        <w:rPr>
          <w:rFonts w:ascii="Arial" w:cs="Arial" w:eastAsia="Arial" w:hAnsi="Arial"/>
          <w:sz w:val="13"/>
          <w:szCs w:val="13"/>
          <w:i w:val="1"/>
          <w:iCs w:val="1"/>
          <w:color w:val="auto"/>
        </w:rPr>
        <w:t xml:space="preserve"> </w:t>
      </w:r>
      <w:r>
        <w:rPr>
          <w:rFonts w:ascii="Arial" w:cs="Arial" w:eastAsia="Arial" w:hAnsi="Arial"/>
          <w:sz w:val="13"/>
          <w:szCs w:val="13"/>
          <w:color w:val="auto"/>
        </w:rPr>
        <w:t>internal control over financial reporting and for its assessment of the effectiveness of internal control over financial reporting, included on page 53 of the Annual Report on Form 10-K, and Item 9A., Controls and Procedures—Management’s Report on Internal Control Over Financial Reporting. Our responsibility is to express an opinion on the Company’s internal control over financial reporting based on our audit.</w:t>
      </w:r>
    </w:p>
    <w:p>
      <w:pPr>
        <w:spacing w:after="0" w:line="108" w:lineRule="exact"/>
        <w:rPr>
          <w:sz w:val="20"/>
          <w:szCs w:val="20"/>
          <w:color w:val="auto"/>
        </w:rPr>
      </w:pPr>
    </w:p>
    <w:p>
      <w:pPr>
        <w:jc w:val="both"/>
        <w:ind w:right="60" w:firstLine="562"/>
        <w:spacing w:after="0" w:line="250" w:lineRule="auto"/>
        <w:rPr>
          <w:sz w:val="20"/>
          <w:szCs w:val="20"/>
          <w:color w:val="auto"/>
        </w:rPr>
      </w:pPr>
      <w:r>
        <w:rPr>
          <w:rFonts w:ascii="Arial" w:cs="Arial" w:eastAsia="Arial" w:hAnsi="Arial"/>
          <w:sz w:val="13"/>
          <w:szCs w:val="13"/>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06" w:lineRule="exact"/>
        <w:rPr>
          <w:sz w:val="20"/>
          <w:szCs w:val="20"/>
          <w:color w:val="auto"/>
        </w:rPr>
      </w:pPr>
    </w:p>
    <w:p>
      <w:pPr>
        <w:ind w:firstLine="562"/>
        <w:spacing w:after="0" w:line="245"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0" w:lineRule="exact"/>
        <w:rPr>
          <w:sz w:val="20"/>
          <w:szCs w:val="20"/>
          <w:color w:val="auto"/>
        </w:rPr>
      </w:pPr>
    </w:p>
    <w:p>
      <w:pPr>
        <w:ind w:firstLine="562"/>
        <w:spacing w:after="0" w:line="274"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1" w:lineRule="exact"/>
        <w:rPr>
          <w:sz w:val="20"/>
          <w:szCs w:val="20"/>
          <w:color w:val="auto"/>
        </w:rPr>
      </w:pPr>
    </w:p>
    <w:p>
      <w:pPr>
        <w:ind w:right="60" w:firstLine="562"/>
        <w:spacing w:after="0" w:line="274" w:lineRule="auto"/>
        <w:rPr>
          <w:sz w:val="20"/>
          <w:szCs w:val="20"/>
          <w:color w:val="auto"/>
        </w:rPr>
      </w:pPr>
      <w:r>
        <w:rPr>
          <w:rFonts w:ascii="Arial" w:cs="Arial" w:eastAsia="Arial" w:hAnsi="Arial"/>
          <w:sz w:val="13"/>
          <w:szCs w:val="13"/>
          <w:color w:val="auto"/>
        </w:rPr>
        <w:t xml:space="preserve">In our opinion, PennantPark Floating Rate Capital, Ltd. and its Subsidiary maintained, in all material respects, effective internal control over financial reporting as of September 30, 2012, based on criteria established in </w:t>
      </w:r>
      <w:r>
        <w:rPr>
          <w:rFonts w:ascii="Arial" w:cs="Arial" w:eastAsia="Arial" w:hAnsi="Arial"/>
          <w:sz w:val="13"/>
          <w:szCs w:val="13"/>
          <w:i w:val="1"/>
          <w:iCs w:val="1"/>
          <w:color w:val="auto"/>
        </w:rPr>
        <w:t>Internal Control—Integrated Framework,</w:t>
      </w:r>
      <w:r>
        <w:rPr>
          <w:rFonts w:ascii="Arial" w:cs="Arial" w:eastAsia="Arial" w:hAnsi="Arial"/>
          <w:sz w:val="13"/>
          <w:szCs w:val="13"/>
          <w:color w:val="auto"/>
        </w:rPr>
        <w:t xml:space="preserve"> issued by COSO.</w:t>
      </w:r>
    </w:p>
    <w:p>
      <w:pPr>
        <w:spacing w:after="0" w:line="91" w:lineRule="exact"/>
        <w:rPr>
          <w:sz w:val="20"/>
          <w:szCs w:val="20"/>
          <w:color w:val="auto"/>
        </w:rPr>
      </w:pPr>
    </w:p>
    <w:p>
      <w:pPr>
        <w:ind w:right="200" w:firstLine="562"/>
        <w:spacing w:after="0" w:line="250" w:lineRule="auto"/>
        <w:rPr>
          <w:sz w:val="20"/>
          <w:szCs w:val="20"/>
          <w:color w:val="auto"/>
        </w:rPr>
      </w:pPr>
      <w:r>
        <w:rPr>
          <w:rFonts w:ascii="Arial" w:cs="Arial" w:eastAsia="Arial" w:hAnsi="Arial"/>
          <w:sz w:val="13"/>
          <w:szCs w:val="13"/>
          <w:color w:val="auto"/>
        </w:rPr>
        <w:t>We also have audited, in accordance with the standards of the Public Company Accounting Oversight Board (United States), the statements of assets and liabilities of PennantPark Floating Rate Capital Ltd. and its Subsidiary, including the schedules of investments as of September 30, 2012 and 2011, and the related statements of operations, changes in net assets, and cash flows for the year ended September 30, 2012 and for the period March 4, 2011 (commencement of operations) to September 30, 2011 and our report dated November 14, 2012 expressed an unqualified opinion on those financial statements.</w:t>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color w:val="auto"/>
        </w:rPr>
        <w:t>/s/ KPMG LLP</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New York, New York</w:t>
      </w:r>
    </w:p>
    <w:p>
      <w:pPr>
        <w:spacing w:after="0"/>
        <w:rPr>
          <w:sz w:val="20"/>
          <w:szCs w:val="20"/>
          <w:color w:val="auto"/>
        </w:rPr>
      </w:pPr>
      <w:r>
        <w:rPr>
          <w:rFonts w:ascii="Arial" w:cs="Arial" w:eastAsia="Arial" w:hAnsi="Arial"/>
          <w:sz w:val="13"/>
          <w:szCs w:val="13"/>
          <w:color w:val="auto"/>
        </w:rPr>
        <w:t>November 14, 2012</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55</w:t>
      </w:r>
    </w:p>
    <w:p>
      <w:pPr>
        <w:sectPr>
          <w:pgSz w:w="11900" w:h="16838" w:orient="portrait"/>
          <w:cols w:equalWidth="0" w:num="1">
            <w:col w:w="11220"/>
          </w:cols>
          <w:pgMar w:left="320" w:top="459" w:right="3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ASSETS AND LIABILITIES</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3"/>
              </w:rPr>
              <w:t>September 30, 2012</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98"/>
              </w:rPr>
              <w:t>September 30, 2011</w:t>
            </w:r>
          </w:p>
        </w:tc>
        <w:tc>
          <w:tcPr>
            <w:tcW w:w="0" w:type="dxa"/>
            <w:vAlign w:val="bottom"/>
          </w:tcPr>
          <w:p>
            <w:pPr>
              <w:spacing w:after="0"/>
              <w:rPr>
                <w:sz w:val="1"/>
                <w:szCs w:val="1"/>
                <w:color w:val="auto"/>
              </w:rPr>
            </w:pPr>
          </w:p>
        </w:tc>
      </w:tr>
      <w:tr>
        <w:trPr>
          <w:trHeight w:val="128"/>
        </w:trPr>
        <w:tc>
          <w:tcPr>
            <w:tcW w:w="59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Assets</w:t>
            </w:r>
          </w:p>
        </w:tc>
        <w:tc>
          <w:tcPr>
            <w:tcW w:w="17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4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960" w:type="dxa"/>
            <w:vAlign w:val="bottom"/>
          </w:tcPr>
          <w:p>
            <w:pPr>
              <w:spacing w:after="0"/>
              <w:rPr>
                <w:sz w:val="20"/>
                <w:szCs w:val="20"/>
                <w:color w:val="auto"/>
              </w:rPr>
            </w:pPr>
            <w:r>
              <w:rPr>
                <w:rFonts w:ascii="Arial" w:cs="Arial" w:eastAsia="Arial" w:hAnsi="Arial"/>
                <w:sz w:val="13"/>
                <w:szCs w:val="13"/>
                <w:color w:val="auto"/>
              </w:rPr>
              <w:t>Investments at fair value</w:t>
            </w: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5960" w:type="dxa"/>
            <w:vAlign w:val="bottom"/>
            <w:shd w:val="clear" w:color="auto" w:fill="CCEEFF"/>
          </w:tcPr>
          <w:p>
            <w:pPr>
              <w:ind w:left="540"/>
              <w:spacing w:after="0" w:line="138" w:lineRule="exact"/>
              <w:rPr>
                <w:sz w:val="20"/>
                <w:szCs w:val="20"/>
                <w:color w:val="auto"/>
              </w:rPr>
            </w:pPr>
            <w:r>
              <w:rPr>
                <w:rFonts w:ascii="Arial" w:cs="Arial" w:eastAsia="Arial" w:hAnsi="Arial"/>
                <w:sz w:val="13"/>
                <w:szCs w:val="13"/>
                <w:color w:val="auto"/>
              </w:rPr>
              <w:t>Non-controlled, non-affiliated investments, at fair value</w:t>
            </w:r>
          </w:p>
        </w:tc>
        <w:tc>
          <w:tcPr>
            <w:tcW w:w="1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5960" w:type="dxa"/>
            <w:vAlign w:val="bottom"/>
            <w:shd w:val="clear" w:color="auto" w:fill="CCEEFF"/>
          </w:tcPr>
          <w:p>
            <w:pPr>
              <w:ind w:left="820"/>
              <w:spacing w:after="0"/>
              <w:rPr>
                <w:sz w:val="20"/>
                <w:szCs w:val="20"/>
                <w:color w:val="auto"/>
              </w:rPr>
            </w:pPr>
            <w:r>
              <w:rPr>
                <w:rFonts w:ascii="Arial" w:cs="Arial" w:eastAsia="Arial" w:hAnsi="Arial"/>
                <w:sz w:val="13"/>
                <w:szCs w:val="13"/>
                <w:color w:val="auto"/>
              </w:rPr>
              <w:t>(cost—$171,578,009 and $114,829,621, respectively)</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171,834,400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110,724,241</w:t>
            </w:r>
          </w:p>
        </w:tc>
        <w:tc>
          <w:tcPr>
            <w:tcW w:w="0" w:type="dxa"/>
            <w:vAlign w:val="bottom"/>
          </w:tcPr>
          <w:p>
            <w:pPr>
              <w:spacing w:after="0"/>
              <w:rPr>
                <w:sz w:val="1"/>
                <w:szCs w:val="1"/>
                <w:color w:val="auto"/>
              </w:rPr>
            </w:pPr>
          </w:p>
        </w:tc>
      </w:tr>
      <w:tr>
        <w:trPr>
          <w:trHeight w:val="148"/>
        </w:trPr>
        <w:tc>
          <w:tcPr>
            <w:tcW w:w="5960" w:type="dxa"/>
            <w:vAlign w:val="bottom"/>
          </w:tcPr>
          <w:p>
            <w:pPr>
              <w:spacing w:after="0"/>
              <w:rPr>
                <w:sz w:val="20"/>
                <w:szCs w:val="20"/>
                <w:color w:val="auto"/>
              </w:rPr>
            </w:pPr>
            <w:r>
              <w:rPr>
                <w:rFonts w:ascii="Arial" w:cs="Arial" w:eastAsia="Arial" w:hAnsi="Arial"/>
                <w:sz w:val="13"/>
                <w:szCs w:val="13"/>
                <w:color w:val="auto"/>
              </w:rPr>
              <w:t>Cash equivalents (See Note 7)</w:t>
            </w: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3"/>
                <w:szCs w:val="13"/>
                <w:color w:val="auto"/>
              </w:rPr>
              <w:t>3,845,803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6,987,450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60" w:type="dxa"/>
            <w:vAlign w:val="bottom"/>
            <w:shd w:val="clear" w:color="auto" w:fill="CCEEFF"/>
          </w:tcPr>
          <w:p>
            <w:pPr>
              <w:spacing w:after="0"/>
              <w:rPr>
                <w:sz w:val="20"/>
                <w:szCs w:val="20"/>
                <w:color w:val="auto"/>
              </w:rPr>
            </w:pPr>
            <w:r>
              <w:rPr>
                <w:rFonts w:ascii="Arial" w:cs="Arial" w:eastAsia="Arial" w:hAnsi="Arial"/>
                <w:sz w:val="13"/>
                <w:szCs w:val="13"/>
                <w:color w:val="auto"/>
              </w:rPr>
              <w:t>Interest receivable</w:t>
            </w:r>
          </w:p>
        </w:tc>
        <w:tc>
          <w:tcPr>
            <w:tcW w:w="1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1,388,867</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732,695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60" w:type="dxa"/>
            <w:vAlign w:val="bottom"/>
          </w:tcPr>
          <w:p>
            <w:pPr>
              <w:spacing w:after="0"/>
              <w:rPr>
                <w:sz w:val="20"/>
                <w:szCs w:val="20"/>
                <w:color w:val="auto"/>
              </w:rPr>
            </w:pPr>
            <w:r>
              <w:rPr>
                <w:rFonts w:ascii="Arial" w:cs="Arial" w:eastAsia="Arial" w:hAnsi="Arial"/>
                <w:sz w:val="13"/>
                <w:szCs w:val="13"/>
                <w:color w:val="auto"/>
              </w:rPr>
              <w:t>Receivable for investments sold</w:t>
            </w: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3"/>
                <w:szCs w:val="13"/>
                <w:color w:val="auto"/>
              </w:rPr>
              <w:t>986,278</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2,467,500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60" w:type="dxa"/>
            <w:vAlign w:val="bottom"/>
            <w:shd w:val="clear" w:color="auto" w:fill="CCEEFF"/>
          </w:tcPr>
          <w:p>
            <w:pPr>
              <w:spacing w:after="0"/>
              <w:rPr>
                <w:sz w:val="20"/>
                <w:szCs w:val="20"/>
                <w:color w:val="auto"/>
              </w:rPr>
            </w:pPr>
            <w:r>
              <w:rPr>
                <w:rFonts w:ascii="Arial" w:cs="Arial" w:eastAsia="Arial" w:hAnsi="Arial"/>
                <w:sz w:val="13"/>
                <w:szCs w:val="13"/>
                <w:color w:val="auto"/>
              </w:rPr>
              <w:t>Prepaid expenses and other assets</w:t>
            </w:r>
          </w:p>
        </w:tc>
        <w:tc>
          <w:tcPr>
            <w:tcW w:w="1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311,313</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163,374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ind w:left="1080"/>
              <w:spacing w:after="0"/>
              <w:rPr>
                <w:sz w:val="20"/>
                <w:szCs w:val="20"/>
                <w:color w:val="auto"/>
              </w:rPr>
            </w:pPr>
            <w:r>
              <w:rPr>
                <w:rFonts w:ascii="Arial" w:cs="Arial" w:eastAsia="Arial" w:hAnsi="Arial"/>
                <w:sz w:val="13"/>
                <w:szCs w:val="13"/>
                <w:b w:val="1"/>
                <w:bCs w:val="1"/>
                <w:color w:val="auto"/>
              </w:rPr>
              <w:t>Total assets</w:t>
            </w:r>
          </w:p>
        </w:tc>
        <w:tc>
          <w:tcPr>
            <w:tcW w:w="1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960" w:type="dxa"/>
            <w:vAlign w:val="bottom"/>
            <w:vMerge w:val="continue"/>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3"/>
                <w:szCs w:val="13"/>
                <w:color w:val="auto"/>
              </w:rPr>
              <w:t>178,366,661</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121,075,260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9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Liabilities</w:t>
            </w:r>
          </w:p>
        </w:tc>
        <w:tc>
          <w:tcPr>
            <w:tcW w:w="17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4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60" w:type="dxa"/>
            <w:vAlign w:val="bottom"/>
          </w:tcPr>
          <w:p>
            <w:pPr>
              <w:spacing w:after="0"/>
              <w:rPr>
                <w:sz w:val="20"/>
                <w:szCs w:val="20"/>
                <w:color w:val="auto"/>
              </w:rPr>
            </w:pPr>
            <w:r>
              <w:rPr>
                <w:rFonts w:ascii="Arial" w:cs="Arial" w:eastAsia="Arial" w:hAnsi="Arial"/>
                <w:sz w:val="13"/>
                <w:szCs w:val="13"/>
                <w:color w:val="auto"/>
              </w:rPr>
              <w:t>Distributions payable</w:t>
            </w: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3"/>
                <w:szCs w:val="13"/>
                <w:color w:val="auto"/>
              </w:rPr>
              <w:t>548,053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479,547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60" w:type="dxa"/>
            <w:vAlign w:val="bottom"/>
            <w:shd w:val="clear" w:color="auto" w:fill="CCEEFF"/>
          </w:tcPr>
          <w:p>
            <w:pPr>
              <w:spacing w:after="0"/>
              <w:rPr>
                <w:sz w:val="20"/>
                <w:szCs w:val="20"/>
                <w:color w:val="auto"/>
              </w:rPr>
            </w:pPr>
            <w:r>
              <w:rPr>
                <w:rFonts w:ascii="Arial" w:cs="Arial" w:eastAsia="Arial" w:hAnsi="Arial"/>
                <w:sz w:val="13"/>
                <w:szCs w:val="13"/>
                <w:color w:val="auto"/>
              </w:rPr>
              <w:t>Payable for investments purchased</w:t>
            </w:r>
          </w:p>
        </w:tc>
        <w:tc>
          <w:tcPr>
            <w:tcW w:w="1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3,357,500</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990,000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60" w:type="dxa"/>
            <w:vAlign w:val="bottom"/>
          </w:tcPr>
          <w:p>
            <w:pPr>
              <w:spacing w:after="0"/>
              <w:rPr>
                <w:sz w:val="20"/>
                <w:szCs w:val="20"/>
                <w:color w:val="auto"/>
              </w:rPr>
            </w:pPr>
            <w:r>
              <w:rPr>
                <w:rFonts w:ascii="Arial" w:cs="Arial" w:eastAsia="Arial" w:hAnsi="Arial"/>
                <w:sz w:val="13"/>
                <w:szCs w:val="13"/>
                <w:color w:val="auto"/>
              </w:rPr>
              <w:t>Unfunded investments</w:t>
            </w: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2,323,250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59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Credit Facility payable</w:t>
            </w:r>
          </w:p>
        </w:tc>
        <w:tc>
          <w:tcPr>
            <w:tcW w:w="1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59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(cost—$75,500,000 and $24,650,000, respectively) (See Notes 5 and 10)</w:t>
            </w:r>
          </w:p>
        </w:tc>
        <w:tc>
          <w:tcPr>
            <w:tcW w:w="1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75,122,500</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24,650,000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960" w:type="dxa"/>
            <w:vAlign w:val="bottom"/>
          </w:tcPr>
          <w:p>
            <w:pPr>
              <w:spacing w:after="0"/>
              <w:rPr>
                <w:sz w:val="20"/>
                <w:szCs w:val="20"/>
                <w:color w:val="auto"/>
              </w:rPr>
            </w:pPr>
            <w:r>
              <w:rPr>
                <w:rFonts w:ascii="Arial" w:cs="Arial" w:eastAsia="Arial" w:hAnsi="Arial"/>
                <w:sz w:val="13"/>
                <w:szCs w:val="13"/>
                <w:color w:val="auto"/>
              </w:rPr>
              <w:t>Interest payable on Credit Facility</w:t>
            </w: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3"/>
                <w:szCs w:val="13"/>
                <w:color w:val="auto"/>
              </w:rPr>
              <w:t>161,550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150,246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60" w:type="dxa"/>
            <w:vAlign w:val="bottom"/>
            <w:shd w:val="clear" w:color="auto" w:fill="CCEEFF"/>
          </w:tcPr>
          <w:p>
            <w:pPr>
              <w:spacing w:after="0"/>
              <w:rPr>
                <w:sz w:val="20"/>
                <w:szCs w:val="20"/>
                <w:color w:val="auto"/>
              </w:rPr>
            </w:pPr>
            <w:r>
              <w:rPr>
                <w:rFonts w:ascii="Arial" w:cs="Arial" w:eastAsia="Arial" w:hAnsi="Arial"/>
                <w:sz w:val="13"/>
                <w:szCs w:val="13"/>
                <w:color w:val="auto"/>
              </w:rPr>
              <w:t>Management fee payable (See Note 3)</w:t>
            </w:r>
          </w:p>
        </w:tc>
        <w:tc>
          <w:tcPr>
            <w:tcW w:w="1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424,747</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266,432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60" w:type="dxa"/>
            <w:vAlign w:val="bottom"/>
          </w:tcPr>
          <w:p>
            <w:pPr>
              <w:spacing w:after="0"/>
              <w:rPr>
                <w:sz w:val="20"/>
                <w:szCs w:val="20"/>
                <w:color w:val="auto"/>
              </w:rPr>
            </w:pPr>
            <w:r>
              <w:rPr>
                <w:rFonts w:ascii="Arial" w:cs="Arial" w:eastAsia="Arial" w:hAnsi="Arial"/>
                <w:sz w:val="13"/>
                <w:szCs w:val="13"/>
                <w:color w:val="auto"/>
              </w:rPr>
              <w:t>Performance-based incentive fees payable (See Note 3)</w:t>
            </w: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3"/>
                <w:szCs w:val="13"/>
                <w:color w:val="auto"/>
              </w:rPr>
              <w:t>506,314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5960" w:type="dxa"/>
            <w:vAlign w:val="bottom"/>
            <w:shd w:val="clear" w:color="auto" w:fill="CCEEFF"/>
          </w:tcPr>
          <w:p>
            <w:pPr>
              <w:spacing w:after="0"/>
              <w:rPr>
                <w:sz w:val="20"/>
                <w:szCs w:val="20"/>
                <w:color w:val="auto"/>
              </w:rPr>
            </w:pPr>
            <w:r>
              <w:rPr>
                <w:rFonts w:ascii="Arial" w:cs="Arial" w:eastAsia="Arial" w:hAnsi="Arial"/>
                <w:sz w:val="13"/>
                <w:szCs w:val="13"/>
                <w:color w:val="auto"/>
              </w:rPr>
              <w:t>Accrued other expenses</w:t>
            </w:r>
          </w:p>
        </w:tc>
        <w:tc>
          <w:tcPr>
            <w:tcW w:w="1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447,120</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143,680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60" w:type="dxa"/>
            <w:vAlign w:val="bottom"/>
          </w:tcPr>
          <w:p>
            <w:pPr>
              <w:spacing w:after="0"/>
              <w:rPr>
                <w:sz w:val="20"/>
                <w:szCs w:val="20"/>
                <w:color w:val="auto"/>
              </w:rPr>
            </w:pPr>
            <w:r>
              <w:rPr>
                <w:rFonts w:ascii="Arial" w:cs="Arial" w:eastAsia="Arial" w:hAnsi="Arial"/>
                <w:sz w:val="13"/>
                <w:szCs w:val="13"/>
                <w:color w:val="auto"/>
              </w:rPr>
              <w:t>Accrued sales load charges (See Note 3)</w:t>
            </w: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3"/>
                <w:szCs w:val="13"/>
                <w:color w:val="auto"/>
              </w:rPr>
              <w:t>2,055,000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960" w:type="dxa"/>
            <w:vAlign w:val="bottom"/>
            <w:shd w:val="clear" w:color="auto" w:fill="CCEEFF"/>
          </w:tcPr>
          <w:p>
            <w:pPr>
              <w:ind w:left="1080"/>
              <w:spacing w:after="0"/>
              <w:rPr>
                <w:sz w:val="20"/>
                <w:szCs w:val="20"/>
                <w:color w:val="auto"/>
              </w:rPr>
            </w:pPr>
            <w:r>
              <w:rPr>
                <w:rFonts w:ascii="Arial" w:cs="Arial" w:eastAsia="Arial" w:hAnsi="Arial"/>
                <w:sz w:val="13"/>
                <w:szCs w:val="13"/>
                <w:b w:val="1"/>
                <w:bCs w:val="1"/>
                <w:color w:val="auto"/>
              </w:rPr>
              <w:t>Total liabilities</w:t>
            </w:r>
          </w:p>
        </w:tc>
        <w:tc>
          <w:tcPr>
            <w:tcW w:w="1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82,622,784</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29,003,155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960" w:type="dxa"/>
            <w:vAlign w:val="bottom"/>
          </w:tcPr>
          <w:p>
            <w:pPr>
              <w:spacing w:after="0"/>
              <w:rPr>
                <w:sz w:val="20"/>
                <w:szCs w:val="20"/>
                <w:color w:val="auto"/>
              </w:rPr>
            </w:pPr>
            <w:r>
              <w:rPr>
                <w:rFonts w:ascii="Arial" w:cs="Arial" w:eastAsia="Arial" w:hAnsi="Arial"/>
                <w:sz w:val="13"/>
                <w:szCs w:val="13"/>
                <w:b w:val="1"/>
                <w:bCs w:val="1"/>
                <w:color w:val="auto"/>
              </w:rPr>
              <w:t>Net Assets</w:t>
            </w:r>
          </w:p>
        </w:tc>
        <w:tc>
          <w:tcPr>
            <w:tcW w:w="17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59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Common stock, 6,850,667 shares are issued and outstanding.</w:t>
            </w:r>
          </w:p>
        </w:tc>
        <w:tc>
          <w:tcPr>
            <w:tcW w:w="1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59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Par value $0.001 per share and 100,000,000 shares authorized.</w:t>
            </w:r>
          </w:p>
        </w:tc>
        <w:tc>
          <w:tcPr>
            <w:tcW w:w="1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6,851</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6,851</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960" w:type="dxa"/>
            <w:vAlign w:val="bottom"/>
          </w:tcPr>
          <w:p>
            <w:pPr>
              <w:spacing w:after="0"/>
              <w:rPr>
                <w:sz w:val="20"/>
                <w:szCs w:val="20"/>
                <w:color w:val="auto"/>
              </w:rPr>
            </w:pPr>
            <w:r>
              <w:rPr>
                <w:rFonts w:ascii="Arial" w:cs="Arial" w:eastAsia="Arial" w:hAnsi="Arial"/>
                <w:sz w:val="13"/>
                <w:szCs w:val="13"/>
                <w:color w:val="auto"/>
              </w:rPr>
              <w:t>Paid-in capital in excess of par value</w:t>
            </w: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3"/>
                <w:szCs w:val="13"/>
                <w:color w:val="auto"/>
              </w:rPr>
              <w:t>95,192,222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97,251,174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60" w:type="dxa"/>
            <w:vAlign w:val="bottom"/>
            <w:shd w:val="clear" w:color="auto" w:fill="CCEEFF"/>
          </w:tcPr>
          <w:p>
            <w:pPr>
              <w:spacing w:after="0"/>
              <w:rPr>
                <w:sz w:val="20"/>
                <w:szCs w:val="20"/>
                <w:color w:val="auto"/>
              </w:rPr>
            </w:pPr>
            <w:r>
              <w:rPr>
                <w:rFonts w:ascii="Arial" w:cs="Arial" w:eastAsia="Arial" w:hAnsi="Arial"/>
                <w:sz w:val="13"/>
                <w:szCs w:val="13"/>
                <w:color w:val="auto"/>
              </w:rPr>
              <w:t>Distributions in excess of net investment income</w:t>
            </w:r>
          </w:p>
        </w:tc>
        <w:tc>
          <w:tcPr>
            <w:tcW w:w="1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(1,313,000)</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(1,392,528)</w:t>
            </w:r>
          </w:p>
        </w:tc>
        <w:tc>
          <w:tcPr>
            <w:tcW w:w="0" w:type="dxa"/>
            <w:vAlign w:val="bottom"/>
          </w:tcPr>
          <w:p>
            <w:pPr>
              <w:spacing w:after="0"/>
              <w:rPr>
                <w:sz w:val="1"/>
                <w:szCs w:val="1"/>
                <w:color w:val="auto"/>
              </w:rPr>
            </w:pPr>
          </w:p>
        </w:tc>
      </w:tr>
      <w:tr>
        <w:trPr>
          <w:trHeight w:val="148"/>
        </w:trPr>
        <w:tc>
          <w:tcPr>
            <w:tcW w:w="5960" w:type="dxa"/>
            <w:vAlign w:val="bottom"/>
          </w:tcPr>
          <w:p>
            <w:pPr>
              <w:spacing w:after="0"/>
              <w:rPr>
                <w:sz w:val="20"/>
                <w:szCs w:val="20"/>
                <w:color w:val="auto"/>
              </w:rPr>
            </w:pPr>
            <w:r>
              <w:rPr>
                <w:rFonts w:ascii="Arial" w:cs="Arial" w:eastAsia="Arial" w:hAnsi="Arial"/>
                <w:sz w:val="13"/>
                <w:szCs w:val="13"/>
                <w:color w:val="auto"/>
              </w:rPr>
              <w:t>Accumulated net realized gain on investments</w:t>
            </w: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3"/>
                <w:szCs w:val="13"/>
                <w:color w:val="auto"/>
              </w:rPr>
              <w:t>1,223,913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3"/>
                <w:szCs w:val="13"/>
                <w:color w:val="auto"/>
              </w:rPr>
              <w:t>311,988</w:t>
            </w:r>
          </w:p>
        </w:tc>
        <w:tc>
          <w:tcPr>
            <w:tcW w:w="0" w:type="dxa"/>
            <w:vAlign w:val="bottom"/>
          </w:tcPr>
          <w:p>
            <w:pPr>
              <w:spacing w:after="0"/>
              <w:rPr>
                <w:sz w:val="1"/>
                <w:szCs w:val="1"/>
                <w:color w:val="auto"/>
              </w:rPr>
            </w:pPr>
          </w:p>
        </w:tc>
      </w:tr>
      <w:tr>
        <w:trPr>
          <w:trHeight w:val="148"/>
        </w:trPr>
        <w:tc>
          <w:tcPr>
            <w:tcW w:w="5960" w:type="dxa"/>
            <w:vAlign w:val="bottom"/>
            <w:shd w:val="clear" w:color="auto" w:fill="CCEEFF"/>
          </w:tcPr>
          <w:p>
            <w:pPr>
              <w:spacing w:after="0"/>
              <w:rPr>
                <w:sz w:val="20"/>
                <w:szCs w:val="20"/>
                <w:color w:val="auto"/>
              </w:rPr>
            </w:pPr>
            <w:r>
              <w:rPr>
                <w:rFonts w:ascii="Arial" w:cs="Arial" w:eastAsia="Arial" w:hAnsi="Arial"/>
                <w:sz w:val="13"/>
                <w:szCs w:val="13"/>
                <w:color w:val="auto"/>
              </w:rPr>
              <w:t>Net unrealized appreciation (depreciation) on investments</w:t>
            </w:r>
          </w:p>
        </w:tc>
        <w:tc>
          <w:tcPr>
            <w:tcW w:w="1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256,391</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(4,105,380)</w:t>
            </w:r>
          </w:p>
        </w:tc>
        <w:tc>
          <w:tcPr>
            <w:tcW w:w="0" w:type="dxa"/>
            <w:vAlign w:val="bottom"/>
          </w:tcPr>
          <w:p>
            <w:pPr>
              <w:spacing w:after="0"/>
              <w:rPr>
                <w:sz w:val="1"/>
                <w:szCs w:val="1"/>
                <w:color w:val="auto"/>
              </w:rPr>
            </w:pPr>
          </w:p>
        </w:tc>
      </w:tr>
      <w:tr>
        <w:trPr>
          <w:trHeight w:val="148"/>
        </w:trPr>
        <w:tc>
          <w:tcPr>
            <w:tcW w:w="5960" w:type="dxa"/>
            <w:vAlign w:val="bottom"/>
          </w:tcPr>
          <w:p>
            <w:pPr>
              <w:spacing w:after="0"/>
              <w:rPr>
                <w:sz w:val="20"/>
                <w:szCs w:val="20"/>
                <w:color w:val="auto"/>
              </w:rPr>
            </w:pPr>
            <w:r>
              <w:rPr>
                <w:rFonts w:ascii="Arial" w:cs="Arial" w:eastAsia="Arial" w:hAnsi="Arial"/>
                <w:sz w:val="13"/>
                <w:szCs w:val="13"/>
                <w:color w:val="auto"/>
              </w:rPr>
              <w:t>Net unrealized appreciation on Credit Facility</w:t>
            </w: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3"/>
                <w:szCs w:val="13"/>
                <w:color w:val="auto"/>
              </w:rPr>
              <w:t>377,500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960" w:type="dxa"/>
            <w:vAlign w:val="bottom"/>
            <w:shd w:val="clear" w:color="auto" w:fill="CCEEFF"/>
          </w:tcPr>
          <w:p>
            <w:pPr>
              <w:ind w:left="1080"/>
              <w:spacing w:after="0"/>
              <w:rPr>
                <w:sz w:val="20"/>
                <w:szCs w:val="20"/>
                <w:color w:val="auto"/>
              </w:rPr>
            </w:pPr>
            <w:r>
              <w:rPr>
                <w:rFonts w:ascii="Arial" w:cs="Arial" w:eastAsia="Arial" w:hAnsi="Arial"/>
                <w:sz w:val="13"/>
                <w:szCs w:val="13"/>
                <w:b w:val="1"/>
                <w:bCs w:val="1"/>
                <w:color w:val="auto"/>
              </w:rPr>
              <w:t>Total net assets</w:t>
            </w:r>
          </w:p>
        </w:tc>
        <w:tc>
          <w:tcPr>
            <w:tcW w:w="17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95,743,877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92,072,105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ind w:left="1080"/>
              <w:spacing w:after="0"/>
              <w:rPr>
                <w:sz w:val="20"/>
                <w:szCs w:val="20"/>
                <w:color w:val="auto"/>
              </w:rPr>
            </w:pPr>
            <w:r>
              <w:rPr>
                <w:rFonts w:ascii="Arial" w:cs="Arial" w:eastAsia="Arial" w:hAnsi="Arial"/>
                <w:sz w:val="13"/>
                <w:szCs w:val="13"/>
                <w:b w:val="1"/>
                <w:bCs w:val="1"/>
                <w:color w:val="auto"/>
              </w:rPr>
              <w:t>Total liabilities and net assets</w:t>
            </w:r>
          </w:p>
        </w:tc>
        <w:tc>
          <w:tcPr>
            <w:tcW w:w="1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960" w:type="dxa"/>
            <w:vAlign w:val="bottom"/>
            <w:vMerge w:val="continue"/>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500" w:type="dxa"/>
            <w:vAlign w:val="bottom"/>
            <w:gridSpan w:val="2"/>
          </w:tcPr>
          <w:p>
            <w:pPr>
              <w:jc w:val="right"/>
              <w:ind w:right="180"/>
              <w:spacing w:after="0"/>
              <w:rPr>
                <w:sz w:val="20"/>
                <w:szCs w:val="20"/>
                <w:color w:val="auto"/>
              </w:rPr>
            </w:pPr>
            <w:r>
              <w:rPr>
                <w:rFonts w:ascii="Arial" w:cs="Arial" w:eastAsia="Arial" w:hAnsi="Arial"/>
                <w:sz w:val="13"/>
                <w:szCs w:val="13"/>
                <w:color w:val="auto"/>
              </w:rPr>
              <w:t>178,366,661</w:t>
            </w: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480" w:type="dxa"/>
            <w:vAlign w:val="bottom"/>
          </w:tcPr>
          <w:p>
            <w:pPr>
              <w:jc w:val="right"/>
              <w:spacing w:after="0"/>
              <w:rPr>
                <w:sz w:val="20"/>
                <w:szCs w:val="20"/>
                <w:color w:val="auto"/>
              </w:rPr>
            </w:pPr>
            <w:r>
              <w:rPr>
                <w:rFonts w:ascii="Arial" w:cs="Arial" w:eastAsia="Arial" w:hAnsi="Arial"/>
                <w:sz w:val="13"/>
                <w:szCs w:val="13"/>
                <w:color w:val="auto"/>
              </w:rPr>
              <w:t>121,075,260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960" w:type="dxa"/>
            <w:vAlign w:val="bottom"/>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Net asset value per share</w:t>
            </w:r>
          </w:p>
        </w:tc>
        <w:tc>
          <w:tcPr>
            <w:tcW w:w="19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150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3"/>
                <w:szCs w:val="13"/>
                <w:color w:val="auto"/>
              </w:rPr>
              <w:t>13.98</w:t>
            </w:r>
          </w:p>
        </w:tc>
        <w:tc>
          <w:tcPr>
            <w:tcW w:w="30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14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13.44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56</w:t>
      </w:r>
    </w:p>
    <w:p>
      <w:pPr>
        <w:sectPr>
          <w:pgSz w:w="11900" w:h="16838" w:orient="portrait"/>
          <w:cols w:equalWidth="0" w:num="1">
            <w:col w:w="11240"/>
          </w:cols>
          <w:pgMar w:left="320" w:top="459" w:right="3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For the period March 4, 2011</w:t>
            </w:r>
          </w:p>
        </w:tc>
        <w:tc>
          <w:tcPr>
            <w:tcW w:w="0" w:type="dxa"/>
            <w:vAlign w:val="bottom"/>
          </w:tcPr>
          <w:p>
            <w:pPr>
              <w:spacing w:after="0"/>
              <w:rPr>
                <w:sz w:val="1"/>
                <w:szCs w:val="1"/>
                <w:color w:val="auto"/>
              </w:rPr>
            </w:pPr>
          </w:p>
        </w:tc>
      </w:tr>
      <w:tr>
        <w:trPr>
          <w:trHeight w:val="148"/>
        </w:trPr>
        <w:tc>
          <w:tcPr>
            <w:tcW w:w="7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right"/>
              <w:ind w:right="253"/>
              <w:spacing w:after="0"/>
              <w:rPr>
                <w:sz w:val="20"/>
                <w:szCs w:val="20"/>
                <w:color w:val="auto"/>
              </w:rPr>
            </w:pPr>
            <w:r>
              <w:rPr>
                <w:rFonts w:ascii="Arial" w:cs="Arial" w:eastAsia="Arial" w:hAnsi="Arial"/>
                <w:sz w:val="13"/>
                <w:szCs w:val="13"/>
                <w:b w:val="1"/>
                <w:bCs w:val="1"/>
                <w:color w:val="auto"/>
              </w:rPr>
              <w:t>Year Ended</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(commencement of operations) to</w:t>
            </w:r>
          </w:p>
        </w:tc>
        <w:tc>
          <w:tcPr>
            <w:tcW w:w="0" w:type="dxa"/>
            <w:vAlign w:val="bottom"/>
          </w:tcPr>
          <w:p>
            <w:pPr>
              <w:spacing w:after="0"/>
              <w:rPr>
                <w:sz w:val="1"/>
                <w:szCs w:val="1"/>
                <w:color w:val="auto"/>
              </w:rPr>
            </w:pPr>
          </w:p>
        </w:tc>
      </w:tr>
      <w:tr>
        <w:trPr>
          <w:trHeight w:val="161"/>
        </w:trPr>
        <w:tc>
          <w:tcPr>
            <w:tcW w:w="7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right"/>
              <w:ind w:right="33"/>
              <w:spacing w:after="0"/>
              <w:rPr>
                <w:sz w:val="20"/>
                <w:szCs w:val="20"/>
                <w:color w:val="auto"/>
              </w:rPr>
            </w:pPr>
            <w:r>
              <w:rPr>
                <w:rFonts w:ascii="Arial" w:cs="Arial" w:eastAsia="Arial" w:hAnsi="Arial"/>
                <w:sz w:val="13"/>
                <w:szCs w:val="13"/>
                <w:b w:val="1"/>
                <w:bCs w:val="1"/>
                <w:color w:val="auto"/>
                <w:w w:val="93"/>
              </w:rPr>
              <w:t>September 30, 2012</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September 30, 2011</w:t>
            </w:r>
          </w:p>
        </w:tc>
        <w:tc>
          <w:tcPr>
            <w:tcW w:w="0" w:type="dxa"/>
            <w:vAlign w:val="bottom"/>
          </w:tcPr>
          <w:p>
            <w:pPr>
              <w:spacing w:after="0"/>
              <w:rPr>
                <w:sz w:val="1"/>
                <w:szCs w:val="1"/>
                <w:color w:val="auto"/>
              </w:rPr>
            </w:pPr>
          </w:p>
        </w:tc>
      </w:tr>
      <w:tr>
        <w:trPr>
          <w:trHeight w:val="128"/>
        </w:trPr>
        <w:tc>
          <w:tcPr>
            <w:tcW w:w="73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Investment income:</w:t>
            </w:r>
          </w:p>
        </w:tc>
        <w:tc>
          <w:tcPr>
            <w:tcW w:w="80" w:type="dxa"/>
            <w:vAlign w:val="bottom"/>
            <w:tcBorders>
              <w:top w:val="single" w:sz="8" w:color="auto"/>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1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300" w:type="dxa"/>
            <w:vAlign w:val="bottom"/>
          </w:tcPr>
          <w:p>
            <w:pPr>
              <w:spacing w:after="0"/>
              <w:rPr>
                <w:sz w:val="20"/>
                <w:szCs w:val="20"/>
                <w:color w:val="auto"/>
              </w:rPr>
            </w:pPr>
            <w:r>
              <w:rPr>
                <w:rFonts w:ascii="Arial" w:cs="Arial" w:eastAsia="Arial" w:hAnsi="Arial"/>
                <w:sz w:val="13"/>
                <w:szCs w:val="13"/>
                <w:color w:val="auto"/>
              </w:rPr>
              <w:t>From non-controlled, non-affiliated investments:</w:t>
            </w: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00" w:type="dxa"/>
            <w:vAlign w:val="bottom"/>
            <w:shd w:val="clear" w:color="auto" w:fill="CCEEFF"/>
          </w:tcPr>
          <w:p>
            <w:pPr>
              <w:ind w:left="540"/>
              <w:spacing w:after="0"/>
              <w:rPr>
                <w:sz w:val="20"/>
                <w:szCs w:val="20"/>
                <w:color w:val="auto"/>
              </w:rPr>
            </w:pPr>
            <w:r>
              <w:rPr>
                <w:rFonts w:ascii="Arial" w:cs="Arial" w:eastAsia="Arial" w:hAnsi="Arial"/>
                <w:sz w:val="13"/>
                <w:szCs w:val="13"/>
                <w:color w:val="auto"/>
              </w:rPr>
              <w:t>Interest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11,856,483</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2,946,599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300" w:type="dxa"/>
            <w:vAlign w:val="bottom"/>
          </w:tcPr>
          <w:p>
            <w:pPr>
              <w:ind w:left="540"/>
              <w:spacing w:after="0"/>
              <w:rPr>
                <w:sz w:val="20"/>
                <w:szCs w:val="20"/>
                <w:color w:val="auto"/>
              </w:rPr>
            </w:pPr>
            <w:r>
              <w:rPr>
                <w:rFonts w:ascii="Arial" w:cs="Arial" w:eastAsia="Arial" w:hAnsi="Arial"/>
                <w:sz w:val="13"/>
                <w:szCs w:val="13"/>
                <w:color w:val="auto"/>
              </w:rPr>
              <w:t>Other income</w:t>
            </w:r>
          </w:p>
        </w:tc>
        <w:tc>
          <w:tcPr>
            <w:tcW w:w="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242,065</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7300" w:type="dxa"/>
            <w:vAlign w:val="bottom"/>
            <w:shd w:val="clear" w:color="auto" w:fill="CCEEFF"/>
          </w:tcPr>
          <w:p>
            <w:pPr>
              <w:ind w:left="540"/>
              <w:spacing w:after="0"/>
              <w:rPr>
                <w:sz w:val="20"/>
                <w:szCs w:val="20"/>
                <w:color w:val="auto"/>
              </w:rPr>
            </w:pPr>
            <w:r>
              <w:rPr>
                <w:rFonts w:ascii="Arial" w:cs="Arial" w:eastAsia="Arial" w:hAnsi="Arial"/>
                <w:sz w:val="13"/>
                <w:szCs w:val="13"/>
                <w:b w:val="1"/>
                <w:bCs w:val="1"/>
                <w:color w:val="auto"/>
              </w:rPr>
              <w:t>Total income</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12,098,548</w:t>
            </w:r>
          </w:p>
        </w:tc>
        <w:tc>
          <w:tcPr>
            <w:tcW w:w="30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2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2,946,599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300" w:type="dxa"/>
            <w:vAlign w:val="bottom"/>
          </w:tcPr>
          <w:p>
            <w:pPr>
              <w:spacing w:after="0"/>
              <w:rPr>
                <w:sz w:val="20"/>
                <w:szCs w:val="20"/>
                <w:color w:val="auto"/>
              </w:rPr>
            </w:pPr>
            <w:r>
              <w:rPr>
                <w:rFonts w:ascii="Arial" w:cs="Arial" w:eastAsia="Arial" w:hAnsi="Arial"/>
                <w:sz w:val="13"/>
                <w:szCs w:val="13"/>
                <w:b w:val="1"/>
                <w:bCs w:val="1"/>
                <w:color w:val="auto"/>
              </w:rPr>
              <w:t>Expenses:</w:t>
            </w: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300" w:type="dxa"/>
            <w:vAlign w:val="bottom"/>
            <w:shd w:val="clear" w:color="auto" w:fill="CCEEFF"/>
          </w:tcPr>
          <w:p>
            <w:pPr>
              <w:ind w:left="540"/>
              <w:spacing w:after="0"/>
              <w:rPr>
                <w:sz w:val="20"/>
                <w:szCs w:val="20"/>
                <w:color w:val="auto"/>
              </w:rPr>
            </w:pPr>
            <w:r>
              <w:rPr>
                <w:rFonts w:ascii="Arial" w:cs="Arial" w:eastAsia="Arial" w:hAnsi="Arial"/>
                <w:sz w:val="13"/>
                <w:szCs w:val="13"/>
                <w:color w:val="auto"/>
              </w:rPr>
              <w:t>Base management fee (See Note 3)</w:t>
            </w:r>
          </w:p>
        </w:tc>
        <w:tc>
          <w:tcPr>
            <w:tcW w:w="8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1,494,616</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365,433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00" w:type="dxa"/>
            <w:vAlign w:val="bottom"/>
          </w:tcPr>
          <w:p>
            <w:pPr>
              <w:ind w:left="540"/>
              <w:spacing w:after="0"/>
              <w:rPr>
                <w:sz w:val="20"/>
                <w:szCs w:val="20"/>
                <w:color w:val="auto"/>
              </w:rPr>
            </w:pPr>
            <w:r>
              <w:rPr>
                <w:rFonts w:ascii="Arial" w:cs="Arial" w:eastAsia="Arial" w:hAnsi="Arial"/>
                <w:sz w:val="13"/>
                <w:szCs w:val="13"/>
                <w:color w:val="auto"/>
              </w:rPr>
              <w:t>Performance-based incentive fees (Note 3)</w:t>
            </w:r>
          </w:p>
        </w:tc>
        <w:tc>
          <w:tcPr>
            <w:tcW w:w="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564,540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7300" w:type="dxa"/>
            <w:vAlign w:val="bottom"/>
            <w:shd w:val="clear" w:color="auto" w:fill="CCEEFF"/>
          </w:tcPr>
          <w:p>
            <w:pPr>
              <w:ind w:left="540"/>
              <w:spacing w:after="0"/>
              <w:rPr>
                <w:sz w:val="20"/>
                <w:szCs w:val="20"/>
                <w:color w:val="auto"/>
              </w:rPr>
            </w:pPr>
            <w:r>
              <w:rPr>
                <w:rFonts w:ascii="Arial" w:cs="Arial" w:eastAsia="Arial" w:hAnsi="Arial"/>
                <w:sz w:val="13"/>
                <w:szCs w:val="13"/>
                <w:color w:val="auto"/>
              </w:rPr>
              <w:t>Interest and expenses on the Credit Facility (See Note 10)</w:t>
            </w:r>
          </w:p>
        </w:tc>
        <w:tc>
          <w:tcPr>
            <w:tcW w:w="8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1,482,339</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155,913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00" w:type="dxa"/>
            <w:vAlign w:val="bottom"/>
          </w:tcPr>
          <w:p>
            <w:pPr>
              <w:ind w:left="540"/>
              <w:spacing w:after="0"/>
              <w:rPr>
                <w:sz w:val="20"/>
                <w:szCs w:val="20"/>
                <w:color w:val="auto"/>
              </w:rPr>
            </w:pPr>
            <w:r>
              <w:rPr>
                <w:rFonts w:ascii="Arial" w:cs="Arial" w:eastAsia="Arial" w:hAnsi="Arial"/>
                <w:sz w:val="13"/>
                <w:szCs w:val="13"/>
                <w:color w:val="auto"/>
              </w:rPr>
              <w:t>Administrative services expenses (See Note 3)</w:t>
            </w:r>
          </w:p>
        </w:tc>
        <w:tc>
          <w:tcPr>
            <w:tcW w:w="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583,613</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tcPr>
          <w:p>
            <w:pPr>
              <w:jc w:val="right"/>
              <w:spacing w:after="0"/>
              <w:rPr>
                <w:sz w:val="20"/>
                <w:szCs w:val="20"/>
                <w:color w:val="auto"/>
              </w:rPr>
            </w:pPr>
            <w:r>
              <w:rPr>
                <w:rFonts w:ascii="Arial" w:cs="Arial" w:eastAsia="Arial" w:hAnsi="Arial"/>
                <w:sz w:val="13"/>
                <w:szCs w:val="13"/>
                <w:color w:val="auto"/>
              </w:rPr>
              <w:t>182,995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00" w:type="dxa"/>
            <w:vAlign w:val="bottom"/>
            <w:shd w:val="clear" w:color="auto" w:fill="CCEEFF"/>
          </w:tcPr>
          <w:p>
            <w:pPr>
              <w:ind w:left="540"/>
              <w:spacing w:after="0"/>
              <w:rPr>
                <w:sz w:val="20"/>
                <w:szCs w:val="20"/>
                <w:color w:val="auto"/>
              </w:rPr>
            </w:pPr>
            <w:r>
              <w:rPr>
                <w:rFonts w:ascii="Arial" w:cs="Arial" w:eastAsia="Arial" w:hAnsi="Arial"/>
                <w:sz w:val="13"/>
                <w:szCs w:val="13"/>
                <w:color w:val="auto"/>
              </w:rPr>
              <w:t>Other general and administrative expenses</w:t>
            </w:r>
          </w:p>
        </w:tc>
        <w:tc>
          <w:tcPr>
            <w:tcW w:w="8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1,310,084</w:t>
            </w: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556,076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300" w:type="dxa"/>
            <w:vAlign w:val="bottom"/>
          </w:tcPr>
          <w:p>
            <w:pPr>
              <w:ind w:left="540"/>
              <w:spacing w:after="0"/>
              <w:rPr>
                <w:sz w:val="20"/>
                <w:szCs w:val="20"/>
                <w:color w:val="auto"/>
              </w:rPr>
            </w:pPr>
            <w:r>
              <w:rPr>
                <w:rFonts w:ascii="Arial" w:cs="Arial" w:eastAsia="Arial" w:hAnsi="Arial"/>
                <w:sz w:val="13"/>
                <w:szCs w:val="13"/>
                <w:b w:val="1"/>
                <w:bCs w:val="1"/>
                <w:color w:val="auto"/>
              </w:rPr>
              <w:t>Expenses before Credit Facility costs and excise tax expense</w:t>
            </w:r>
          </w:p>
        </w:tc>
        <w:tc>
          <w:tcPr>
            <w:tcW w:w="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5,435,192</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20" w:type="dxa"/>
            <w:vAlign w:val="bottom"/>
          </w:tcPr>
          <w:p>
            <w:pPr>
              <w:jc w:val="right"/>
              <w:spacing w:after="0"/>
              <w:rPr>
                <w:sz w:val="20"/>
                <w:szCs w:val="20"/>
                <w:color w:val="auto"/>
              </w:rPr>
            </w:pPr>
            <w:r>
              <w:rPr>
                <w:rFonts w:ascii="Arial" w:cs="Arial" w:eastAsia="Arial" w:hAnsi="Arial"/>
                <w:sz w:val="13"/>
                <w:szCs w:val="13"/>
                <w:color w:val="auto"/>
              </w:rPr>
              <w:t>1,260,417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300" w:type="dxa"/>
            <w:vAlign w:val="bottom"/>
            <w:shd w:val="clear" w:color="auto" w:fill="CCEEFF"/>
          </w:tcPr>
          <w:p>
            <w:pPr>
              <w:ind w:left="540"/>
              <w:spacing w:after="0"/>
              <w:rPr>
                <w:sz w:val="20"/>
                <w:szCs w:val="20"/>
                <w:color w:val="auto"/>
              </w:rPr>
            </w:pPr>
            <w:r>
              <w:rPr>
                <w:rFonts w:ascii="Arial" w:cs="Arial" w:eastAsia="Arial" w:hAnsi="Arial"/>
                <w:sz w:val="13"/>
                <w:szCs w:val="13"/>
                <w:color w:val="auto"/>
              </w:rPr>
              <w:t>Credit Facility issuance costs (See Note 10)</w:t>
            </w:r>
          </w:p>
        </w:tc>
        <w:tc>
          <w:tcPr>
            <w:tcW w:w="8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311,648</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1,366,043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300" w:type="dxa"/>
            <w:vAlign w:val="bottom"/>
          </w:tcPr>
          <w:p>
            <w:pPr>
              <w:ind w:left="540"/>
              <w:spacing w:after="0"/>
              <w:rPr>
                <w:sz w:val="20"/>
                <w:szCs w:val="20"/>
                <w:color w:val="auto"/>
              </w:rPr>
            </w:pPr>
            <w:r>
              <w:rPr>
                <w:rFonts w:ascii="Arial" w:cs="Arial" w:eastAsia="Arial" w:hAnsi="Arial"/>
                <w:sz w:val="13"/>
                <w:szCs w:val="13"/>
                <w:color w:val="auto"/>
              </w:rPr>
              <w:t>Excise tax</w:t>
            </w:r>
          </w:p>
        </w:tc>
        <w:tc>
          <w:tcPr>
            <w:tcW w:w="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42,027</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7300" w:type="dxa"/>
            <w:vAlign w:val="bottom"/>
            <w:shd w:val="clear" w:color="auto" w:fill="CCEEFF"/>
          </w:tcPr>
          <w:p>
            <w:pPr>
              <w:ind w:left="540"/>
              <w:spacing w:after="0"/>
              <w:rPr>
                <w:sz w:val="20"/>
                <w:szCs w:val="20"/>
                <w:color w:val="auto"/>
              </w:rPr>
            </w:pPr>
            <w:r>
              <w:rPr>
                <w:rFonts w:ascii="Arial" w:cs="Arial" w:eastAsia="Arial" w:hAnsi="Arial"/>
                <w:sz w:val="13"/>
                <w:szCs w:val="13"/>
                <w:b w:val="1"/>
                <w:bCs w:val="1"/>
                <w:color w:val="auto"/>
              </w:rPr>
              <w:t>Total expenses</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5,788,867</w:t>
            </w:r>
          </w:p>
        </w:tc>
        <w:tc>
          <w:tcPr>
            <w:tcW w:w="30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2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2,626,460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7300" w:type="dxa"/>
            <w:vAlign w:val="bottom"/>
          </w:tcPr>
          <w:p>
            <w:pPr>
              <w:ind w:left="540"/>
              <w:spacing w:after="0"/>
              <w:rPr>
                <w:sz w:val="20"/>
                <w:szCs w:val="20"/>
                <w:color w:val="auto"/>
              </w:rPr>
            </w:pPr>
            <w:r>
              <w:rPr>
                <w:rFonts w:ascii="Arial" w:cs="Arial" w:eastAsia="Arial" w:hAnsi="Arial"/>
                <w:sz w:val="13"/>
                <w:szCs w:val="13"/>
                <w:b w:val="1"/>
                <w:bCs w:val="1"/>
                <w:color w:val="auto"/>
              </w:rPr>
              <w:t>Net investment income</w:t>
            </w: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6,309,681</w:t>
            </w: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320,139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3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Realized and unrealized gain (loss) on investments and Credit Facility:</w:t>
            </w:r>
          </w:p>
        </w:tc>
        <w:tc>
          <w:tcPr>
            <w:tcW w:w="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00" w:type="dxa"/>
            <w:vAlign w:val="bottom"/>
          </w:tcPr>
          <w:p>
            <w:pPr>
              <w:spacing w:after="0"/>
              <w:rPr>
                <w:sz w:val="20"/>
                <w:szCs w:val="20"/>
                <w:color w:val="auto"/>
              </w:rPr>
            </w:pPr>
            <w:r>
              <w:rPr>
                <w:rFonts w:ascii="Arial" w:cs="Arial" w:eastAsia="Arial" w:hAnsi="Arial"/>
                <w:sz w:val="13"/>
                <w:szCs w:val="13"/>
                <w:color w:val="auto"/>
              </w:rPr>
              <w:t>Net realized gain on non-controlled, non-affiliated investments</w:t>
            </w:r>
          </w:p>
        </w:tc>
        <w:tc>
          <w:tcPr>
            <w:tcW w:w="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911,925</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gridSpan w:val="2"/>
          </w:tcPr>
          <w:p>
            <w:pPr>
              <w:jc w:val="right"/>
              <w:ind w:right="100"/>
              <w:spacing w:after="0"/>
              <w:rPr>
                <w:sz w:val="20"/>
                <w:szCs w:val="20"/>
                <w:color w:val="auto"/>
              </w:rPr>
            </w:pPr>
            <w:r>
              <w:rPr>
                <w:rFonts w:ascii="Arial" w:cs="Arial" w:eastAsia="Arial" w:hAnsi="Arial"/>
                <w:sz w:val="13"/>
                <w:szCs w:val="13"/>
                <w:color w:val="auto"/>
              </w:rPr>
              <w:t>311,988</w:t>
            </w:r>
          </w:p>
        </w:tc>
        <w:tc>
          <w:tcPr>
            <w:tcW w:w="0" w:type="dxa"/>
            <w:vAlign w:val="bottom"/>
          </w:tcPr>
          <w:p>
            <w:pPr>
              <w:spacing w:after="0"/>
              <w:rPr>
                <w:sz w:val="1"/>
                <w:szCs w:val="1"/>
                <w:color w:val="auto"/>
              </w:rPr>
            </w:pPr>
          </w:p>
        </w:tc>
      </w:tr>
      <w:tr>
        <w:trPr>
          <w:trHeight w:val="149"/>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Net change in unrealized appreciation (depreciation) on:</w:t>
            </w:r>
          </w:p>
        </w:tc>
        <w:tc>
          <w:tcPr>
            <w:tcW w:w="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00" w:type="dxa"/>
            <w:vAlign w:val="bottom"/>
          </w:tcPr>
          <w:p>
            <w:pPr>
              <w:ind w:left="540"/>
              <w:spacing w:after="0"/>
              <w:rPr>
                <w:sz w:val="20"/>
                <w:szCs w:val="20"/>
                <w:color w:val="auto"/>
              </w:rPr>
            </w:pPr>
            <w:r>
              <w:rPr>
                <w:rFonts w:ascii="Arial" w:cs="Arial" w:eastAsia="Arial" w:hAnsi="Arial"/>
                <w:sz w:val="13"/>
                <w:szCs w:val="13"/>
                <w:color w:val="auto"/>
              </w:rPr>
              <w:t>Non-controlled, non-affiliated investments</w:t>
            </w:r>
          </w:p>
        </w:tc>
        <w:tc>
          <w:tcPr>
            <w:tcW w:w="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4,361,772</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gridSpan w:val="2"/>
          </w:tcPr>
          <w:p>
            <w:pPr>
              <w:jc w:val="right"/>
              <w:ind w:right="40"/>
              <w:spacing w:after="0"/>
              <w:rPr>
                <w:sz w:val="20"/>
                <w:szCs w:val="20"/>
                <w:color w:val="auto"/>
              </w:rPr>
            </w:pPr>
            <w:r>
              <w:rPr>
                <w:rFonts w:ascii="Arial" w:cs="Arial" w:eastAsia="Arial" w:hAnsi="Arial"/>
                <w:sz w:val="13"/>
                <w:szCs w:val="13"/>
                <w:color w:val="auto"/>
              </w:rPr>
              <w:t>(4,105,380)</w:t>
            </w:r>
          </w:p>
        </w:tc>
        <w:tc>
          <w:tcPr>
            <w:tcW w:w="0" w:type="dxa"/>
            <w:vAlign w:val="bottom"/>
          </w:tcPr>
          <w:p>
            <w:pPr>
              <w:spacing w:after="0"/>
              <w:rPr>
                <w:sz w:val="1"/>
                <w:szCs w:val="1"/>
                <w:color w:val="auto"/>
              </w:rPr>
            </w:pPr>
          </w:p>
        </w:tc>
      </w:tr>
      <w:tr>
        <w:trPr>
          <w:trHeight w:val="148"/>
        </w:trPr>
        <w:tc>
          <w:tcPr>
            <w:tcW w:w="7300" w:type="dxa"/>
            <w:vAlign w:val="bottom"/>
            <w:shd w:val="clear" w:color="auto" w:fill="CCEEFF"/>
          </w:tcPr>
          <w:p>
            <w:pPr>
              <w:ind w:left="540"/>
              <w:spacing w:after="0"/>
              <w:rPr>
                <w:sz w:val="20"/>
                <w:szCs w:val="20"/>
                <w:color w:val="auto"/>
              </w:rPr>
            </w:pPr>
            <w:r>
              <w:rPr>
                <w:rFonts w:ascii="Arial" w:cs="Arial" w:eastAsia="Arial" w:hAnsi="Arial"/>
                <w:sz w:val="13"/>
                <w:szCs w:val="13"/>
                <w:color w:val="auto"/>
              </w:rPr>
              <w:t>Credit Facility appreciation (See Note 5)</w:t>
            </w:r>
          </w:p>
        </w:tc>
        <w:tc>
          <w:tcPr>
            <w:tcW w:w="8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377,500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300" w:type="dxa"/>
            <w:vAlign w:val="bottom"/>
            <w:vMerge w:val="restart"/>
          </w:tcPr>
          <w:p>
            <w:pPr>
              <w:ind w:left="540"/>
              <w:spacing w:after="0"/>
              <w:rPr>
                <w:sz w:val="20"/>
                <w:szCs w:val="20"/>
                <w:color w:val="auto"/>
              </w:rPr>
            </w:pPr>
            <w:r>
              <w:rPr>
                <w:rFonts w:ascii="Arial" w:cs="Arial" w:eastAsia="Arial" w:hAnsi="Arial"/>
                <w:sz w:val="13"/>
                <w:szCs w:val="13"/>
                <w:b w:val="1"/>
                <w:bCs w:val="1"/>
                <w:color w:val="auto"/>
              </w:rPr>
              <w:t>Net change in unrealized appreciation (depreciation) on investments and Credit Facility</w:t>
            </w:r>
          </w:p>
        </w:tc>
        <w:tc>
          <w:tcPr>
            <w:tcW w:w="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3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4,739,272</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20" w:type="dxa"/>
            <w:vAlign w:val="bottom"/>
            <w:gridSpan w:val="2"/>
          </w:tcPr>
          <w:p>
            <w:pPr>
              <w:jc w:val="right"/>
              <w:ind w:right="40"/>
              <w:spacing w:after="0"/>
              <w:rPr>
                <w:sz w:val="20"/>
                <w:szCs w:val="20"/>
                <w:color w:val="auto"/>
              </w:rPr>
            </w:pPr>
            <w:r>
              <w:rPr>
                <w:rFonts w:ascii="Arial" w:cs="Arial" w:eastAsia="Arial" w:hAnsi="Arial"/>
                <w:sz w:val="13"/>
                <w:szCs w:val="13"/>
                <w:color w:val="auto"/>
              </w:rPr>
              <w:t>(4,105,380)</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3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realized and unrealized gain (loss) from investments and Credit Facility</w:t>
            </w:r>
          </w:p>
        </w:tc>
        <w:tc>
          <w:tcPr>
            <w:tcW w:w="8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5,651,197</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(3,793,392)</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3"/>
                <w:szCs w:val="13"/>
                <w:b w:val="1"/>
                <w:bCs w:val="1"/>
                <w:color w:val="auto"/>
              </w:rPr>
              <w:t>Net increase (decrease) in net assets resulting from operations</w:t>
            </w:r>
          </w:p>
        </w:tc>
        <w:tc>
          <w:tcPr>
            <w:tcW w:w="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0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11,960,878</w:t>
            </w: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2220" w:type="dxa"/>
            <w:vAlign w:val="bottom"/>
            <w:gridSpan w:val="2"/>
          </w:tcPr>
          <w:p>
            <w:pPr>
              <w:jc w:val="right"/>
              <w:ind w:right="40"/>
              <w:spacing w:after="0"/>
              <w:rPr>
                <w:sz w:val="20"/>
                <w:szCs w:val="20"/>
                <w:color w:val="auto"/>
              </w:rPr>
            </w:pPr>
            <w:r>
              <w:rPr>
                <w:rFonts w:ascii="Arial" w:cs="Arial" w:eastAsia="Arial" w:hAnsi="Arial"/>
                <w:sz w:val="13"/>
                <w:szCs w:val="13"/>
                <w:color w:val="auto"/>
              </w:rPr>
              <w:t>(3,473,253)</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Net increase (decrease) in net assets resulting from operations per common share (See Note 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2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(0.51)</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3"/>
                <w:szCs w:val="13"/>
                <w:color w:val="auto"/>
              </w:rPr>
              <w:t>Net investment income per common share</w:t>
            </w:r>
          </w:p>
        </w:tc>
        <w:tc>
          <w:tcPr>
            <w:tcW w:w="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0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0.92</w:t>
            </w: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2120" w:type="dxa"/>
            <w:vAlign w:val="bottom"/>
          </w:tcPr>
          <w:p>
            <w:pPr>
              <w:jc w:val="right"/>
              <w:spacing w:after="0"/>
              <w:rPr>
                <w:sz w:val="20"/>
                <w:szCs w:val="20"/>
                <w:color w:val="auto"/>
              </w:rPr>
            </w:pPr>
            <w:r>
              <w:rPr>
                <w:rFonts w:ascii="Arial" w:cs="Arial" w:eastAsia="Arial" w:hAnsi="Arial"/>
                <w:sz w:val="13"/>
                <w:szCs w:val="13"/>
                <w:color w:val="auto"/>
              </w:rPr>
              <w:t>0.05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57</w:t>
      </w:r>
    </w:p>
    <w:p>
      <w:pPr>
        <w:sectPr>
          <w:pgSz w:w="11900" w:h="16838" w:orient="portrait"/>
          <w:cols w:equalWidth="0" w:num="1">
            <w:col w:w="11240"/>
          </w:cols>
          <w:pgMar w:left="320" w:top="459" w:right="3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CHANGES IN NET ASSETS</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For the period March 04, 2011</w:t>
            </w:r>
          </w:p>
        </w:tc>
        <w:tc>
          <w:tcPr>
            <w:tcW w:w="0" w:type="dxa"/>
            <w:vAlign w:val="bottom"/>
          </w:tcPr>
          <w:p>
            <w:pPr>
              <w:spacing w:after="0"/>
              <w:rPr>
                <w:sz w:val="1"/>
                <w:szCs w:val="1"/>
                <w:color w:val="auto"/>
              </w:rPr>
            </w:pPr>
          </w:p>
        </w:tc>
      </w:tr>
      <w:tr>
        <w:trPr>
          <w:trHeight w:val="148"/>
        </w:trPr>
        <w:tc>
          <w:tcPr>
            <w:tcW w:w="6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2"/>
          </w:tcPr>
          <w:p>
            <w:pPr>
              <w:jc w:val="right"/>
              <w:ind w:right="760"/>
              <w:spacing w:after="0"/>
              <w:rPr>
                <w:sz w:val="20"/>
                <w:szCs w:val="20"/>
                <w:color w:val="auto"/>
              </w:rPr>
            </w:pPr>
            <w:r>
              <w:rPr>
                <w:rFonts w:ascii="Arial" w:cs="Arial" w:eastAsia="Arial" w:hAnsi="Arial"/>
                <w:sz w:val="13"/>
                <w:szCs w:val="13"/>
                <w:b w:val="1"/>
                <w:bCs w:val="1"/>
                <w:color w:val="auto"/>
              </w:rPr>
              <w:t>Year Ended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(commencement of operations)</w:t>
            </w:r>
          </w:p>
        </w:tc>
        <w:tc>
          <w:tcPr>
            <w:tcW w:w="0" w:type="dxa"/>
            <w:vAlign w:val="bottom"/>
          </w:tcPr>
          <w:p>
            <w:pPr>
              <w:spacing w:after="0"/>
              <w:rPr>
                <w:sz w:val="1"/>
                <w:szCs w:val="1"/>
                <w:color w:val="auto"/>
              </w:rPr>
            </w:pPr>
          </w:p>
        </w:tc>
      </w:tr>
      <w:tr>
        <w:trPr>
          <w:trHeight w:val="161"/>
        </w:trPr>
        <w:tc>
          <w:tcPr>
            <w:tcW w:w="6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September 30, 2012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to September 30, 2011</w:t>
            </w:r>
          </w:p>
        </w:tc>
        <w:tc>
          <w:tcPr>
            <w:tcW w:w="0" w:type="dxa"/>
            <w:vAlign w:val="bottom"/>
          </w:tcPr>
          <w:p>
            <w:pPr>
              <w:spacing w:after="0"/>
              <w:rPr>
                <w:sz w:val="1"/>
                <w:szCs w:val="1"/>
                <w:color w:val="auto"/>
              </w:rPr>
            </w:pPr>
          </w:p>
        </w:tc>
      </w:tr>
      <w:tr>
        <w:trPr>
          <w:trHeight w:val="128"/>
        </w:trPr>
        <w:tc>
          <w:tcPr>
            <w:tcW w:w="68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Net increase (decrease) in net assets resulting from operations:</w:t>
            </w:r>
          </w:p>
        </w:tc>
        <w:tc>
          <w:tcPr>
            <w:tcW w:w="180" w:type="dxa"/>
            <w:vAlign w:val="bottom"/>
            <w:tcBorders>
              <w:top w:val="single" w:sz="8" w:color="auto"/>
            </w:tcBorders>
            <w:shd w:val="clear" w:color="auto" w:fill="CCEEFF"/>
          </w:tcPr>
          <w:p>
            <w:pPr>
              <w:spacing w:after="0"/>
              <w:rPr>
                <w:sz w:val="11"/>
                <w:szCs w:val="11"/>
                <w:color w:val="auto"/>
              </w:rPr>
            </w:pPr>
          </w:p>
        </w:tc>
        <w:tc>
          <w:tcPr>
            <w:tcW w:w="15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20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840" w:type="dxa"/>
            <w:vAlign w:val="bottom"/>
          </w:tcPr>
          <w:p>
            <w:pPr>
              <w:ind w:left="540"/>
              <w:spacing w:after="0"/>
              <w:rPr>
                <w:sz w:val="20"/>
                <w:szCs w:val="20"/>
                <w:color w:val="auto"/>
              </w:rPr>
            </w:pPr>
            <w:r>
              <w:rPr>
                <w:rFonts w:ascii="Arial" w:cs="Arial" w:eastAsia="Arial" w:hAnsi="Arial"/>
                <w:sz w:val="13"/>
                <w:szCs w:val="13"/>
                <w:color w:val="auto"/>
              </w:rPr>
              <w:t>Net investment income</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560" w:type="dxa"/>
            <w:vAlign w:val="bottom"/>
          </w:tcPr>
          <w:p>
            <w:pPr>
              <w:jc w:val="right"/>
              <w:spacing w:after="0"/>
              <w:rPr>
                <w:sz w:val="20"/>
                <w:szCs w:val="20"/>
                <w:color w:val="auto"/>
              </w:rPr>
            </w:pPr>
            <w:r>
              <w:rPr>
                <w:rFonts w:ascii="Arial" w:cs="Arial" w:eastAsia="Arial" w:hAnsi="Arial"/>
                <w:sz w:val="13"/>
                <w:szCs w:val="13"/>
                <w:color w:val="auto"/>
              </w:rPr>
              <w:t>6,309,681</w:t>
            </w:r>
          </w:p>
        </w:tc>
        <w:tc>
          <w:tcPr>
            <w:tcW w:w="220" w:type="dxa"/>
            <w:vAlign w:val="bottom"/>
          </w:tcPr>
          <w:p>
            <w:pPr>
              <w:spacing w:after="0"/>
              <w:rPr>
                <w:sz w:val="12"/>
                <w:szCs w:val="12"/>
                <w:color w:val="auto"/>
              </w:rPr>
            </w:pP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120" w:type="dxa"/>
            <w:vAlign w:val="bottom"/>
            <w:gridSpan w:val="2"/>
          </w:tcPr>
          <w:p>
            <w:pPr>
              <w:jc w:val="right"/>
              <w:ind w:right="100"/>
              <w:spacing w:after="0"/>
              <w:rPr>
                <w:sz w:val="20"/>
                <w:szCs w:val="20"/>
                <w:color w:val="auto"/>
              </w:rPr>
            </w:pPr>
            <w:r>
              <w:rPr>
                <w:rFonts w:ascii="Arial" w:cs="Arial" w:eastAsia="Arial" w:hAnsi="Arial"/>
                <w:sz w:val="13"/>
                <w:szCs w:val="13"/>
                <w:color w:val="auto"/>
              </w:rPr>
              <w:t>320,139</w:t>
            </w:r>
          </w:p>
        </w:tc>
        <w:tc>
          <w:tcPr>
            <w:tcW w:w="0" w:type="dxa"/>
            <w:vAlign w:val="bottom"/>
          </w:tcPr>
          <w:p>
            <w:pPr>
              <w:spacing w:after="0"/>
              <w:rPr>
                <w:sz w:val="1"/>
                <w:szCs w:val="1"/>
                <w:color w:val="auto"/>
              </w:rPr>
            </w:pPr>
          </w:p>
        </w:tc>
      </w:tr>
      <w:tr>
        <w:trPr>
          <w:trHeight w:val="148"/>
        </w:trPr>
        <w:tc>
          <w:tcPr>
            <w:tcW w:w="6840" w:type="dxa"/>
            <w:vAlign w:val="bottom"/>
            <w:shd w:val="clear" w:color="auto" w:fill="CCEEFF"/>
          </w:tcPr>
          <w:p>
            <w:pPr>
              <w:ind w:left="540"/>
              <w:spacing w:after="0"/>
              <w:rPr>
                <w:sz w:val="20"/>
                <w:szCs w:val="20"/>
                <w:color w:val="auto"/>
              </w:rPr>
            </w:pPr>
            <w:r>
              <w:rPr>
                <w:rFonts w:ascii="Arial" w:cs="Arial" w:eastAsia="Arial" w:hAnsi="Arial"/>
                <w:sz w:val="13"/>
                <w:szCs w:val="13"/>
                <w:color w:val="auto"/>
              </w:rPr>
              <w:t>Net realized gain on investments</w:t>
            </w:r>
          </w:p>
        </w:tc>
        <w:tc>
          <w:tcPr>
            <w:tcW w:w="18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911,925</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311,988</w:t>
            </w:r>
          </w:p>
        </w:tc>
        <w:tc>
          <w:tcPr>
            <w:tcW w:w="0" w:type="dxa"/>
            <w:vAlign w:val="bottom"/>
          </w:tcPr>
          <w:p>
            <w:pPr>
              <w:spacing w:after="0"/>
              <w:rPr>
                <w:sz w:val="1"/>
                <w:szCs w:val="1"/>
                <w:color w:val="auto"/>
              </w:rPr>
            </w:pPr>
          </w:p>
        </w:tc>
      </w:tr>
      <w:tr>
        <w:trPr>
          <w:trHeight w:val="148"/>
        </w:trPr>
        <w:tc>
          <w:tcPr>
            <w:tcW w:w="6840" w:type="dxa"/>
            <w:vAlign w:val="bottom"/>
          </w:tcPr>
          <w:p>
            <w:pPr>
              <w:ind w:left="540"/>
              <w:spacing w:after="0"/>
              <w:rPr>
                <w:sz w:val="20"/>
                <w:szCs w:val="20"/>
                <w:color w:val="auto"/>
              </w:rPr>
            </w:pPr>
            <w:r>
              <w:rPr>
                <w:rFonts w:ascii="Arial" w:cs="Arial" w:eastAsia="Arial" w:hAnsi="Arial"/>
                <w:sz w:val="13"/>
                <w:szCs w:val="13"/>
                <w:color w:val="auto"/>
              </w:rPr>
              <w:t>Net change in unrealized appreciation (depreciation) on investments</w:t>
            </w:r>
          </w:p>
        </w:tc>
        <w:tc>
          <w:tcPr>
            <w:tcW w:w="18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4,361,772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gridSpan w:val="2"/>
          </w:tcPr>
          <w:p>
            <w:pPr>
              <w:jc w:val="right"/>
              <w:ind w:right="60"/>
              <w:spacing w:after="0"/>
              <w:rPr>
                <w:sz w:val="20"/>
                <w:szCs w:val="20"/>
                <w:color w:val="auto"/>
              </w:rPr>
            </w:pPr>
            <w:r>
              <w:rPr>
                <w:rFonts w:ascii="Arial" w:cs="Arial" w:eastAsia="Arial" w:hAnsi="Arial"/>
                <w:sz w:val="13"/>
                <w:szCs w:val="13"/>
                <w:color w:val="auto"/>
              </w:rPr>
              <w:t>(4,105,380)</w:t>
            </w:r>
          </w:p>
        </w:tc>
        <w:tc>
          <w:tcPr>
            <w:tcW w:w="0" w:type="dxa"/>
            <w:vAlign w:val="bottom"/>
          </w:tcPr>
          <w:p>
            <w:pPr>
              <w:spacing w:after="0"/>
              <w:rPr>
                <w:sz w:val="1"/>
                <w:szCs w:val="1"/>
                <w:color w:val="auto"/>
              </w:rPr>
            </w:pPr>
          </w:p>
        </w:tc>
      </w:tr>
      <w:tr>
        <w:trPr>
          <w:trHeight w:val="149"/>
        </w:trPr>
        <w:tc>
          <w:tcPr>
            <w:tcW w:w="6840" w:type="dxa"/>
            <w:vAlign w:val="bottom"/>
            <w:shd w:val="clear" w:color="auto" w:fill="CCEEFF"/>
          </w:tcPr>
          <w:p>
            <w:pPr>
              <w:ind w:left="540"/>
              <w:spacing w:after="0"/>
              <w:rPr>
                <w:sz w:val="20"/>
                <w:szCs w:val="20"/>
                <w:color w:val="auto"/>
              </w:rPr>
            </w:pPr>
            <w:r>
              <w:rPr>
                <w:rFonts w:ascii="Arial" w:cs="Arial" w:eastAsia="Arial" w:hAnsi="Arial"/>
                <w:sz w:val="13"/>
                <w:szCs w:val="13"/>
                <w:color w:val="auto"/>
              </w:rPr>
              <w:t>Net change in unrealized appreciation on Credit Facility</w:t>
            </w:r>
          </w:p>
        </w:tc>
        <w:tc>
          <w:tcPr>
            <w:tcW w:w="180" w:type="dxa"/>
            <w:vAlign w:val="bottom"/>
            <w:tcBorders>
              <w:bottom w:val="single" w:sz="8" w:color="auto"/>
            </w:tcBorders>
            <w:shd w:val="clear" w:color="auto" w:fill="CCEEFF"/>
          </w:tcPr>
          <w:p>
            <w:pPr>
              <w:spacing w:after="0"/>
              <w:rPr>
                <w:sz w:val="12"/>
                <w:szCs w:val="1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377,500</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840" w:type="dxa"/>
            <w:vAlign w:val="bottom"/>
          </w:tcPr>
          <w:p>
            <w:pPr>
              <w:ind w:left="540"/>
              <w:spacing w:after="0"/>
              <w:rPr>
                <w:sz w:val="20"/>
                <w:szCs w:val="20"/>
                <w:color w:val="auto"/>
              </w:rPr>
            </w:pPr>
            <w:r>
              <w:rPr>
                <w:rFonts w:ascii="Arial" w:cs="Arial" w:eastAsia="Arial" w:hAnsi="Arial"/>
                <w:sz w:val="13"/>
                <w:szCs w:val="13"/>
                <w:b w:val="1"/>
                <w:bCs w:val="1"/>
                <w:color w:val="auto"/>
              </w:rPr>
              <w:t>Net increase (decrease) in net assets resulting from operations</w:t>
            </w:r>
          </w:p>
        </w:tc>
        <w:tc>
          <w:tcPr>
            <w:tcW w:w="180" w:type="dxa"/>
            <w:vAlign w:val="bottom"/>
          </w:tcPr>
          <w:p>
            <w:pPr>
              <w:spacing w:after="0"/>
              <w:rPr>
                <w:sz w:val="14"/>
                <w:szCs w:val="14"/>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3"/>
                <w:szCs w:val="13"/>
                <w:color w:val="auto"/>
              </w:rPr>
              <w:t>11,960,878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2"/>
          </w:tcPr>
          <w:p>
            <w:pPr>
              <w:jc w:val="right"/>
              <w:ind w:right="60"/>
              <w:spacing w:after="0"/>
              <w:rPr>
                <w:sz w:val="20"/>
                <w:szCs w:val="20"/>
                <w:color w:val="auto"/>
              </w:rPr>
            </w:pPr>
            <w:r>
              <w:rPr>
                <w:rFonts w:ascii="Arial" w:cs="Arial" w:eastAsia="Arial" w:hAnsi="Arial"/>
                <w:sz w:val="13"/>
                <w:szCs w:val="13"/>
                <w:color w:val="auto"/>
              </w:rPr>
              <w:t>(3,473,253)</w:t>
            </w:r>
          </w:p>
        </w:tc>
        <w:tc>
          <w:tcPr>
            <w:tcW w:w="0" w:type="dxa"/>
            <w:vAlign w:val="bottom"/>
          </w:tcPr>
          <w:p>
            <w:pPr>
              <w:spacing w:after="0"/>
              <w:rPr>
                <w:sz w:val="1"/>
                <w:szCs w:val="1"/>
                <w:color w:val="auto"/>
              </w:rPr>
            </w:pPr>
          </w:p>
        </w:tc>
      </w:tr>
      <w:tr>
        <w:trPr>
          <w:trHeight w:val="148"/>
        </w:trPr>
        <w:tc>
          <w:tcPr>
            <w:tcW w:w="68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Distributions to stockholders:</w:t>
            </w:r>
          </w:p>
        </w:tc>
        <w:tc>
          <w:tcPr>
            <w:tcW w:w="180" w:type="dxa"/>
            <w:vAlign w:val="bottom"/>
            <w:tcBorders>
              <w:top w:val="single" w:sz="8" w:color="auto"/>
            </w:tcBorders>
            <w:shd w:val="clear" w:color="auto" w:fill="CCEEFF"/>
          </w:tcPr>
          <w:p>
            <w:pPr>
              <w:spacing w:after="0"/>
              <w:rPr>
                <w:sz w:val="12"/>
                <w:szCs w:val="12"/>
                <w:color w:val="auto"/>
              </w:rPr>
            </w:pPr>
          </w:p>
        </w:tc>
        <w:tc>
          <w:tcPr>
            <w:tcW w:w="15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20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840" w:type="dxa"/>
            <w:vAlign w:val="bottom"/>
          </w:tcPr>
          <w:p>
            <w:pPr>
              <w:ind w:left="540"/>
              <w:spacing w:after="0"/>
              <w:rPr>
                <w:sz w:val="20"/>
                <w:szCs w:val="20"/>
                <w:color w:val="auto"/>
              </w:rPr>
            </w:pPr>
            <w:r>
              <w:rPr>
                <w:rFonts w:ascii="Arial" w:cs="Arial" w:eastAsia="Arial" w:hAnsi="Arial"/>
                <w:sz w:val="13"/>
                <w:szCs w:val="13"/>
                <w:color w:val="auto"/>
              </w:rPr>
              <w:t>Distributions</w:t>
            </w:r>
          </w:p>
        </w:tc>
        <w:tc>
          <w:tcPr>
            <w:tcW w:w="180" w:type="dxa"/>
            <w:vAlign w:val="bottom"/>
          </w:tcPr>
          <w:p>
            <w:pPr>
              <w:spacing w:after="0"/>
              <w:rPr>
                <w:sz w:val="13"/>
                <w:szCs w:val="13"/>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3"/>
                <w:szCs w:val="13"/>
                <w:color w:val="auto"/>
              </w:rPr>
              <w:t>(6,234,106)</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20" w:type="dxa"/>
            <w:vAlign w:val="bottom"/>
            <w:gridSpan w:val="2"/>
          </w:tcPr>
          <w:p>
            <w:pPr>
              <w:jc w:val="right"/>
              <w:ind w:right="60"/>
              <w:spacing w:after="0"/>
              <w:rPr>
                <w:sz w:val="20"/>
                <w:szCs w:val="20"/>
                <w:color w:val="auto"/>
              </w:rPr>
            </w:pPr>
            <w:r>
              <w:rPr>
                <w:rFonts w:ascii="Arial" w:cs="Arial" w:eastAsia="Arial" w:hAnsi="Arial"/>
                <w:sz w:val="13"/>
                <w:szCs w:val="13"/>
                <w:color w:val="auto"/>
              </w:rPr>
              <w:t>(1,712,667)</w:t>
            </w:r>
          </w:p>
        </w:tc>
        <w:tc>
          <w:tcPr>
            <w:tcW w:w="0" w:type="dxa"/>
            <w:vAlign w:val="bottom"/>
          </w:tcPr>
          <w:p>
            <w:pPr>
              <w:spacing w:after="0"/>
              <w:rPr>
                <w:sz w:val="1"/>
                <w:szCs w:val="1"/>
                <w:color w:val="auto"/>
              </w:rPr>
            </w:pPr>
          </w:p>
        </w:tc>
      </w:tr>
      <w:tr>
        <w:trPr>
          <w:trHeight w:val="148"/>
        </w:trPr>
        <w:tc>
          <w:tcPr>
            <w:tcW w:w="68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Capital Transactions:</w:t>
            </w:r>
          </w:p>
        </w:tc>
        <w:tc>
          <w:tcPr>
            <w:tcW w:w="180" w:type="dxa"/>
            <w:vAlign w:val="bottom"/>
            <w:tcBorders>
              <w:top w:val="single" w:sz="8" w:color="auto"/>
            </w:tcBorders>
            <w:shd w:val="clear" w:color="auto" w:fill="CCEEFF"/>
          </w:tcPr>
          <w:p>
            <w:pPr>
              <w:spacing w:after="0"/>
              <w:rPr>
                <w:sz w:val="12"/>
                <w:szCs w:val="12"/>
                <w:color w:val="auto"/>
              </w:rPr>
            </w:pPr>
          </w:p>
        </w:tc>
        <w:tc>
          <w:tcPr>
            <w:tcW w:w="15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20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40" w:type="dxa"/>
            <w:vAlign w:val="bottom"/>
          </w:tcPr>
          <w:p>
            <w:pPr>
              <w:ind w:left="540"/>
              <w:spacing w:after="0"/>
              <w:rPr>
                <w:sz w:val="20"/>
                <w:szCs w:val="20"/>
                <w:color w:val="auto"/>
              </w:rPr>
            </w:pPr>
            <w:r>
              <w:rPr>
                <w:rFonts w:ascii="Arial" w:cs="Arial" w:eastAsia="Arial" w:hAnsi="Arial"/>
                <w:sz w:val="13"/>
                <w:szCs w:val="13"/>
                <w:color w:val="auto"/>
              </w:rPr>
              <w:t>Proceeds from issuance of common stock</w:t>
            </w:r>
          </w:p>
        </w:tc>
        <w:tc>
          <w:tcPr>
            <w:tcW w:w="180" w:type="dxa"/>
            <w:vAlign w:val="bottom"/>
          </w:tcPr>
          <w:p>
            <w:pPr>
              <w:spacing w:after="0"/>
              <w:rPr>
                <w:sz w:val="12"/>
                <w:szCs w:val="12"/>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gridSpan w:val="2"/>
          </w:tcPr>
          <w:p>
            <w:pPr>
              <w:jc w:val="right"/>
              <w:ind w:right="100"/>
              <w:spacing w:after="0"/>
              <w:rPr>
                <w:sz w:val="20"/>
                <w:szCs w:val="20"/>
                <w:color w:val="auto"/>
              </w:rPr>
            </w:pPr>
            <w:r>
              <w:rPr>
                <w:rFonts w:ascii="Arial" w:cs="Arial" w:eastAsia="Arial" w:hAnsi="Arial"/>
                <w:sz w:val="13"/>
                <w:szCs w:val="13"/>
                <w:color w:val="auto"/>
              </w:rPr>
              <w:t>102,760,000</w:t>
            </w:r>
          </w:p>
        </w:tc>
        <w:tc>
          <w:tcPr>
            <w:tcW w:w="0" w:type="dxa"/>
            <w:vAlign w:val="bottom"/>
          </w:tcPr>
          <w:p>
            <w:pPr>
              <w:spacing w:after="0"/>
              <w:rPr>
                <w:sz w:val="1"/>
                <w:szCs w:val="1"/>
                <w:color w:val="auto"/>
              </w:rPr>
            </w:pPr>
          </w:p>
        </w:tc>
      </w:tr>
      <w:tr>
        <w:trPr>
          <w:trHeight w:val="148"/>
        </w:trPr>
        <w:tc>
          <w:tcPr>
            <w:tcW w:w="6840" w:type="dxa"/>
            <w:vAlign w:val="bottom"/>
            <w:shd w:val="clear" w:color="auto" w:fill="CCEEFF"/>
          </w:tcPr>
          <w:p>
            <w:pPr>
              <w:ind w:left="540"/>
              <w:spacing w:after="0"/>
              <w:rPr>
                <w:sz w:val="20"/>
                <w:szCs w:val="20"/>
                <w:color w:val="auto"/>
              </w:rPr>
            </w:pPr>
            <w:r>
              <w:rPr>
                <w:rFonts w:ascii="Arial" w:cs="Arial" w:eastAsia="Arial" w:hAnsi="Arial"/>
                <w:sz w:val="13"/>
                <w:szCs w:val="13"/>
                <w:color w:val="auto"/>
              </w:rPr>
              <w:t>Accrued sales load charges (See Notes 1 and 3)</w:t>
            </w:r>
          </w:p>
        </w:tc>
        <w:tc>
          <w:tcPr>
            <w:tcW w:w="18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(2,055,000)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1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(5,501,975)</w:t>
            </w:r>
          </w:p>
        </w:tc>
        <w:tc>
          <w:tcPr>
            <w:tcW w:w="0" w:type="dxa"/>
            <w:vAlign w:val="bottom"/>
          </w:tcPr>
          <w:p>
            <w:pPr>
              <w:spacing w:after="0"/>
              <w:rPr>
                <w:sz w:val="1"/>
                <w:szCs w:val="1"/>
                <w:color w:val="auto"/>
              </w:rPr>
            </w:pPr>
          </w:p>
        </w:tc>
      </w:tr>
      <w:tr>
        <w:trPr>
          <w:trHeight w:val="20"/>
        </w:trPr>
        <w:tc>
          <w:tcPr>
            <w:tcW w:w="6840" w:type="dxa"/>
            <w:vAlign w:val="bottom"/>
            <w:vMerge w:val="restart"/>
          </w:tcPr>
          <w:p>
            <w:pPr>
              <w:ind w:left="540"/>
              <w:spacing w:after="0"/>
              <w:rPr>
                <w:sz w:val="20"/>
                <w:szCs w:val="20"/>
                <w:color w:val="auto"/>
              </w:rPr>
            </w:pPr>
            <w:r>
              <w:rPr>
                <w:rFonts w:ascii="Arial" w:cs="Arial" w:eastAsia="Arial" w:hAnsi="Arial"/>
                <w:sz w:val="13"/>
                <w:szCs w:val="13"/>
                <w:b w:val="1"/>
                <w:bCs w:val="1"/>
                <w:color w:val="auto"/>
              </w:rPr>
              <w:t>Net (decrease) increase in net assets resulting from capital transactions</w:t>
            </w:r>
          </w:p>
        </w:tc>
        <w:tc>
          <w:tcPr>
            <w:tcW w:w="1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8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3"/>
                <w:szCs w:val="13"/>
                <w:color w:val="auto"/>
              </w:rPr>
              <w:t>(2,055,000)</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20" w:type="dxa"/>
            <w:vAlign w:val="bottom"/>
            <w:gridSpan w:val="2"/>
          </w:tcPr>
          <w:p>
            <w:pPr>
              <w:jc w:val="right"/>
              <w:ind w:right="100"/>
              <w:spacing w:after="0"/>
              <w:rPr>
                <w:sz w:val="20"/>
                <w:szCs w:val="20"/>
                <w:color w:val="auto"/>
              </w:rPr>
            </w:pPr>
            <w:r>
              <w:rPr>
                <w:rFonts w:ascii="Arial" w:cs="Arial" w:eastAsia="Arial" w:hAnsi="Arial"/>
                <w:sz w:val="13"/>
                <w:szCs w:val="13"/>
                <w:color w:val="auto"/>
              </w:rPr>
              <w:t>97,258,025</w:t>
            </w:r>
          </w:p>
        </w:tc>
        <w:tc>
          <w:tcPr>
            <w:tcW w:w="0" w:type="dxa"/>
            <w:vAlign w:val="bottom"/>
          </w:tcPr>
          <w:p>
            <w:pPr>
              <w:spacing w:after="0"/>
              <w:rPr>
                <w:sz w:val="1"/>
                <w:szCs w:val="1"/>
                <w:color w:val="auto"/>
              </w:rPr>
            </w:pPr>
          </w:p>
        </w:tc>
      </w:tr>
      <w:tr>
        <w:trPr>
          <w:trHeight w:val="149"/>
        </w:trPr>
        <w:tc>
          <w:tcPr>
            <w:tcW w:w="68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increase in net assets</w:t>
            </w:r>
          </w:p>
        </w:tc>
        <w:tc>
          <w:tcPr>
            <w:tcW w:w="180" w:type="dxa"/>
            <w:vAlign w:val="bottom"/>
            <w:shd w:val="clear" w:color="auto" w:fill="CCEEFF"/>
          </w:tcPr>
          <w:p>
            <w:pPr>
              <w:spacing w:after="0"/>
              <w:rPr>
                <w:sz w:val="12"/>
                <w:szCs w:val="1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3,671,772</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92,072,105</w:t>
            </w:r>
          </w:p>
        </w:tc>
        <w:tc>
          <w:tcPr>
            <w:tcW w:w="0" w:type="dxa"/>
            <w:vAlign w:val="bottom"/>
          </w:tcPr>
          <w:p>
            <w:pPr>
              <w:spacing w:after="0"/>
              <w:rPr>
                <w:sz w:val="1"/>
                <w:szCs w:val="1"/>
                <w:color w:val="auto"/>
              </w:rPr>
            </w:pPr>
          </w:p>
        </w:tc>
      </w:tr>
      <w:tr>
        <w:trPr>
          <w:trHeight w:val="256"/>
        </w:trPr>
        <w:tc>
          <w:tcPr>
            <w:tcW w:w="6840" w:type="dxa"/>
            <w:vAlign w:val="bottom"/>
          </w:tcPr>
          <w:p>
            <w:pPr>
              <w:spacing w:after="0"/>
              <w:rPr>
                <w:sz w:val="20"/>
                <w:szCs w:val="20"/>
                <w:color w:val="auto"/>
              </w:rPr>
            </w:pPr>
            <w:r>
              <w:rPr>
                <w:rFonts w:ascii="Arial" w:cs="Arial" w:eastAsia="Arial" w:hAnsi="Arial"/>
                <w:sz w:val="13"/>
                <w:szCs w:val="13"/>
                <w:b w:val="1"/>
                <w:bCs w:val="1"/>
                <w:color w:val="auto"/>
              </w:rPr>
              <w:t>Net assets:</w:t>
            </w:r>
          </w:p>
        </w:tc>
        <w:tc>
          <w:tcPr>
            <w:tcW w:w="1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6840" w:type="dxa"/>
            <w:vAlign w:val="bottom"/>
            <w:shd w:val="clear" w:color="auto" w:fill="CCEEFF"/>
          </w:tcPr>
          <w:p>
            <w:pPr>
              <w:ind w:left="540"/>
              <w:spacing w:after="0"/>
              <w:rPr>
                <w:sz w:val="20"/>
                <w:szCs w:val="20"/>
                <w:color w:val="auto"/>
              </w:rPr>
            </w:pPr>
            <w:r>
              <w:rPr>
                <w:rFonts w:ascii="Arial" w:cs="Arial" w:eastAsia="Arial" w:hAnsi="Arial"/>
                <w:sz w:val="13"/>
                <w:szCs w:val="13"/>
                <w:color w:val="auto"/>
              </w:rPr>
              <w:t>Beginning of period</w:t>
            </w: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92,072,105</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840" w:type="dxa"/>
            <w:vAlign w:val="bottom"/>
          </w:tcPr>
          <w:p>
            <w:pPr>
              <w:ind w:left="540"/>
              <w:spacing w:after="0"/>
              <w:rPr>
                <w:sz w:val="20"/>
                <w:szCs w:val="20"/>
                <w:color w:val="auto"/>
              </w:rPr>
            </w:pPr>
            <w:r>
              <w:rPr>
                <w:rFonts w:ascii="Arial" w:cs="Arial" w:eastAsia="Arial" w:hAnsi="Arial"/>
                <w:sz w:val="13"/>
                <w:szCs w:val="13"/>
                <w:color w:val="auto"/>
              </w:rPr>
              <w:t>End of period</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560" w:type="dxa"/>
            <w:vAlign w:val="bottom"/>
          </w:tcPr>
          <w:p>
            <w:pPr>
              <w:jc w:val="right"/>
              <w:spacing w:after="0"/>
              <w:rPr>
                <w:sz w:val="20"/>
                <w:szCs w:val="20"/>
                <w:color w:val="auto"/>
              </w:rPr>
            </w:pPr>
            <w:r>
              <w:rPr>
                <w:rFonts w:ascii="Arial" w:cs="Arial" w:eastAsia="Arial" w:hAnsi="Arial"/>
                <w:sz w:val="13"/>
                <w:szCs w:val="13"/>
                <w:color w:val="auto"/>
              </w:rPr>
              <w:t>95,743,877</w:t>
            </w:r>
          </w:p>
        </w:tc>
        <w:tc>
          <w:tcPr>
            <w:tcW w:w="220" w:type="dxa"/>
            <w:vAlign w:val="bottom"/>
          </w:tcPr>
          <w:p>
            <w:pPr>
              <w:spacing w:after="0"/>
              <w:rPr>
                <w:sz w:val="13"/>
                <w:szCs w:val="13"/>
                <w:color w:val="auto"/>
              </w:rPr>
            </w:pP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120" w:type="dxa"/>
            <w:vAlign w:val="bottom"/>
            <w:gridSpan w:val="2"/>
          </w:tcPr>
          <w:p>
            <w:pPr>
              <w:jc w:val="right"/>
              <w:ind w:right="100"/>
              <w:spacing w:after="0"/>
              <w:rPr>
                <w:sz w:val="20"/>
                <w:szCs w:val="20"/>
                <w:color w:val="auto"/>
              </w:rPr>
            </w:pPr>
            <w:r>
              <w:rPr>
                <w:rFonts w:ascii="Arial" w:cs="Arial" w:eastAsia="Arial" w:hAnsi="Arial"/>
                <w:sz w:val="13"/>
                <w:szCs w:val="13"/>
                <w:color w:val="auto"/>
              </w:rPr>
              <w:t>92,072,105</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6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6840" w:type="dxa"/>
            <w:vAlign w:val="bottom"/>
            <w:shd w:val="clear" w:color="auto" w:fill="CCEEFF"/>
          </w:tcPr>
          <w:p>
            <w:pPr>
              <w:ind w:left="540"/>
              <w:spacing w:after="0"/>
              <w:rPr>
                <w:sz w:val="20"/>
                <w:szCs w:val="20"/>
                <w:color w:val="auto"/>
              </w:rPr>
            </w:pPr>
            <w:r>
              <w:rPr>
                <w:rFonts w:ascii="Arial" w:cs="Arial" w:eastAsia="Arial" w:hAnsi="Arial"/>
                <w:sz w:val="13"/>
                <w:szCs w:val="13"/>
                <w:color w:val="auto"/>
              </w:rPr>
              <w:t>Distributions in excess of net investment income, end of period</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(1,313,000)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1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(1,392,528)</w:t>
            </w:r>
          </w:p>
        </w:tc>
        <w:tc>
          <w:tcPr>
            <w:tcW w:w="0" w:type="dxa"/>
            <w:vAlign w:val="bottom"/>
          </w:tcPr>
          <w:p>
            <w:pPr>
              <w:spacing w:after="0"/>
              <w:rPr>
                <w:sz w:val="1"/>
                <w:szCs w:val="1"/>
                <w:color w:val="auto"/>
              </w:rPr>
            </w:pPr>
          </w:p>
        </w:tc>
      </w:tr>
      <w:tr>
        <w:trPr>
          <w:trHeight w:val="263"/>
        </w:trPr>
        <w:tc>
          <w:tcPr>
            <w:tcW w:w="6840" w:type="dxa"/>
            <w:vAlign w:val="bottom"/>
          </w:tcPr>
          <w:p>
            <w:pPr>
              <w:spacing w:after="0"/>
              <w:rPr>
                <w:sz w:val="20"/>
                <w:szCs w:val="20"/>
                <w:color w:val="auto"/>
              </w:rPr>
            </w:pPr>
            <w:r>
              <w:rPr>
                <w:rFonts w:ascii="Arial" w:cs="Arial" w:eastAsia="Arial" w:hAnsi="Arial"/>
                <w:sz w:val="13"/>
                <w:szCs w:val="13"/>
                <w:b w:val="1"/>
                <w:bCs w:val="1"/>
                <w:color w:val="auto"/>
              </w:rPr>
              <w:t>Capital Share Activity:</w:t>
            </w:r>
          </w:p>
        </w:tc>
        <w:tc>
          <w:tcPr>
            <w:tcW w:w="18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2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6840" w:type="dxa"/>
            <w:vAlign w:val="bottom"/>
            <w:shd w:val="clear" w:color="auto" w:fill="CCEEFF"/>
          </w:tcPr>
          <w:p>
            <w:pPr>
              <w:ind w:left="540"/>
              <w:spacing w:after="0"/>
              <w:rPr>
                <w:sz w:val="20"/>
                <w:szCs w:val="20"/>
                <w:color w:val="auto"/>
              </w:rPr>
            </w:pPr>
            <w:r>
              <w:rPr>
                <w:rFonts w:ascii="Arial" w:cs="Arial" w:eastAsia="Arial" w:hAnsi="Arial"/>
                <w:sz w:val="13"/>
                <w:szCs w:val="13"/>
                <w:color w:val="auto"/>
              </w:rPr>
              <w:t>Issuance of shares from offerings</w:t>
            </w:r>
          </w:p>
        </w:tc>
        <w:tc>
          <w:tcPr>
            <w:tcW w:w="18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6,850,667</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58</w:t>
      </w:r>
    </w:p>
    <w:p>
      <w:pPr>
        <w:sectPr>
          <w:pgSz w:w="11900" w:h="16838" w:orient="portrait"/>
          <w:cols w:equalWidth="0" w:num="1">
            <w:col w:w="11240"/>
          </w:cols>
          <w:pgMar w:left="320" w:top="459" w:right="3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4"/>
              </w:rPr>
              <w:t>For the period March 04, 2011</w:t>
            </w:r>
          </w:p>
        </w:tc>
      </w:tr>
      <w:tr>
        <w:trPr>
          <w:trHeight w:val="148"/>
        </w:trPr>
        <w:tc>
          <w:tcPr>
            <w:tcW w:w="6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tcPr>
          <w:p>
            <w:pPr>
              <w:jc w:val="right"/>
              <w:ind w:right="720"/>
              <w:spacing w:after="0"/>
              <w:rPr>
                <w:sz w:val="20"/>
                <w:szCs w:val="20"/>
                <w:color w:val="auto"/>
              </w:rPr>
            </w:pPr>
            <w:r>
              <w:rPr>
                <w:rFonts w:ascii="Arial" w:cs="Arial" w:eastAsia="Arial" w:hAnsi="Arial"/>
                <w:sz w:val="13"/>
                <w:szCs w:val="13"/>
                <w:b w:val="1"/>
                <w:bCs w:val="1"/>
                <w:color w:val="auto"/>
              </w:rPr>
              <w:t>Year Ended</w:t>
            </w:r>
          </w:p>
        </w:tc>
        <w:tc>
          <w:tcPr>
            <w:tcW w:w="180" w:type="dxa"/>
            <w:vAlign w:val="bottom"/>
          </w:tcPr>
          <w:p>
            <w:pPr>
              <w:spacing w:after="0"/>
              <w:rPr>
                <w:sz w:val="12"/>
                <w:szCs w:val="12"/>
                <w:color w:val="auto"/>
              </w:rPr>
            </w:pPr>
          </w:p>
        </w:tc>
        <w:tc>
          <w:tcPr>
            <w:tcW w:w="22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1"/>
              </w:rPr>
              <w:t>(commencement of operations)</w:t>
            </w:r>
          </w:p>
        </w:tc>
      </w:tr>
      <w:tr>
        <w:trPr>
          <w:trHeight w:val="161"/>
        </w:trPr>
        <w:tc>
          <w:tcPr>
            <w:tcW w:w="6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w w:val="97"/>
              </w:rPr>
              <w:t>September 30, 2012</w:t>
            </w:r>
          </w:p>
        </w:tc>
        <w:tc>
          <w:tcPr>
            <w:tcW w:w="180" w:type="dxa"/>
            <w:vAlign w:val="bottom"/>
          </w:tcPr>
          <w:p>
            <w:pPr>
              <w:spacing w:after="0"/>
              <w:rPr>
                <w:sz w:val="14"/>
                <w:szCs w:val="14"/>
                <w:color w:val="auto"/>
              </w:rPr>
            </w:pPr>
          </w:p>
        </w:tc>
        <w:tc>
          <w:tcPr>
            <w:tcW w:w="22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1"/>
              </w:rPr>
              <w:t>to September 30, 2011</w:t>
            </w:r>
          </w:p>
        </w:tc>
      </w:tr>
      <w:tr>
        <w:trPr>
          <w:trHeight w:val="128"/>
        </w:trPr>
        <w:tc>
          <w:tcPr>
            <w:tcW w:w="66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Cash flows from operating activities:</w:t>
            </w:r>
          </w:p>
        </w:tc>
        <w:tc>
          <w:tcPr>
            <w:tcW w:w="3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4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21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48"/>
        </w:trPr>
        <w:tc>
          <w:tcPr>
            <w:tcW w:w="6640" w:type="dxa"/>
            <w:vAlign w:val="bottom"/>
          </w:tcPr>
          <w:p>
            <w:pPr>
              <w:ind w:left="540"/>
              <w:spacing w:after="0"/>
              <w:rPr>
                <w:sz w:val="20"/>
                <w:szCs w:val="20"/>
                <w:color w:val="auto"/>
              </w:rPr>
            </w:pPr>
            <w:r>
              <w:rPr>
                <w:rFonts w:ascii="Arial" w:cs="Arial" w:eastAsia="Arial" w:hAnsi="Arial"/>
                <w:sz w:val="13"/>
                <w:szCs w:val="13"/>
                <w:color w:val="auto"/>
              </w:rPr>
              <w:t>Net increase (decrease) in net assets resulting from operations</w:t>
            </w:r>
          </w:p>
        </w:tc>
        <w:tc>
          <w:tcPr>
            <w:tcW w:w="460" w:type="dxa"/>
            <w:vAlign w:val="bottom"/>
            <w:gridSpan w:val="2"/>
          </w:tcPr>
          <w:p>
            <w:pPr>
              <w:jc w:val="right"/>
              <w:ind w:right="29"/>
              <w:spacing w:after="0"/>
              <w:rPr>
                <w:sz w:val="20"/>
                <w:szCs w:val="20"/>
                <w:color w:val="auto"/>
              </w:rPr>
            </w:pPr>
            <w:r>
              <w:rPr>
                <w:rFonts w:ascii="Arial" w:cs="Arial" w:eastAsia="Arial" w:hAnsi="Arial"/>
                <w:sz w:val="13"/>
                <w:szCs w:val="13"/>
                <w:color w:val="auto"/>
              </w:rPr>
              <w:t>$</w:t>
            </w:r>
          </w:p>
        </w:tc>
        <w:tc>
          <w:tcPr>
            <w:tcW w:w="1700" w:type="dxa"/>
            <w:vAlign w:val="bottom"/>
            <w:gridSpan w:val="2"/>
          </w:tcPr>
          <w:p>
            <w:pPr>
              <w:jc w:val="right"/>
              <w:ind w:right="280"/>
              <w:spacing w:after="0"/>
              <w:rPr>
                <w:sz w:val="20"/>
                <w:szCs w:val="20"/>
                <w:color w:val="auto"/>
              </w:rPr>
            </w:pPr>
            <w:r>
              <w:rPr>
                <w:rFonts w:ascii="Arial" w:cs="Arial" w:eastAsia="Arial" w:hAnsi="Arial"/>
                <w:sz w:val="13"/>
                <w:szCs w:val="13"/>
                <w:color w:val="auto"/>
              </w:rPr>
              <w:t>11,960,878</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2260" w:type="dxa"/>
            <w:vAlign w:val="bottom"/>
            <w:gridSpan w:val="2"/>
          </w:tcPr>
          <w:p>
            <w:pPr>
              <w:jc w:val="right"/>
              <w:ind w:right="60"/>
              <w:spacing w:after="0"/>
              <w:rPr>
                <w:sz w:val="20"/>
                <w:szCs w:val="20"/>
                <w:color w:val="auto"/>
              </w:rPr>
            </w:pPr>
            <w:r>
              <w:rPr>
                <w:rFonts w:ascii="Arial" w:cs="Arial" w:eastAsia="Arial" w:hAnsi="Arial"/>
                <w:sz w:val="13"/>
                <w:szCs w:val="13"/>
                <w:color w:val="auto"/>
              </w:rPr>
              <w:t>(3,473,253)</w:t>
            </w:r>
          </w:p>
        </w:tc>
      </w:tr>
      <w:tr>
        <w:trPr>
          <w:trHeight w:val="138"/>
        </w:trPr>
        <w:tc>
          <w:tcPr>
            <w:tcW w:w="6640" w:type="dxa"/>
            <w:vAlign w:val="bottom"/>
            <w:shd w:val="clear" w:color="auto" w:fill="CCEEFF"/>
          </w:tcPr>
          <w:p>
            <w:pPr>
              <w:ind w:left="540"/>
              <w:spacing w:after="0" w:line="138" w:lineRule="exact"/>
              <w:rPr>
                <w:sz w:val="20"/>
                <w:szCs w:val="20"/>
                <w:color w:val="auto"/>
              </w:rPr>
            </w:pPr>
            <w:r>
              <w:rPr>
                <w:rFonts w:ascii="Arial" w:cs="Arial" w:eastAsia="Arial" w:hAnsi="Arial"/>
                <w:sz w:val="13"/>
                <w:szCs w:val="13"/>
                <w:color w:val="auto"/>
                <w:w w:val="97"/>
              </w:rPr>
              <w:t>Adjustments to reconcile net increase (decrease) in net assets resulting from operations to net cash used by</w:t>
            </w: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59"/>
        </w:trPr>
        <w:tc>
          <w:tcPr>
            <w:tcW w:w="6640" w:type="dxa"/>
            <w:vAlign w:val="bottom"/>
            <w:shd w:val="clear" w:color="auto" w:fill="CCEEFF"/>
          </w:tcPr>
          <w:p>
            <w:pPr>
              <w:ind w:left="820"/>
              <w:spacing w:after="0"/>
              <w:rPr>
                <w:sz w:val="20"/>
                <w:szCs w:val="20"/>
                <w:color w:val="auto"/>
              </w:rPr>
            </w:pPr>
            <w:r>
              <w:rPr>
                <w:rFonts w:ascii="Arial" w:cs="Arial" w:eastAsia="Arial" w:hAnsi="Arial"/>
                <w:sz w:val="13"/>
                <w:szCs w:val="13"/>
                <w:color w:val="auto"/>
              </w:rPr>
              <w:t>operating activities:</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49"/>
        </w:trPr>
        <w:tc>
          <w:tcPr>
            <w:tcW w:w="6640" w:type="dxa"/>
            <w:vAlign w:val="bottom"/>
          </w:tcPr>
          <w:p>
            <w:pPr>
              <w:ind w:left="1080"/>
              <w:spacing w:after="0"/>
              <w:rPr>
                <w:sz w:val="20"/>
                <w:szCs w:val="20"/>
                <w:color w:val="auto"/>
              </w:rPr>
            </w:pPr>
            <w:r>
              <w:rPr>
                <w:rFonts w:ascii="Arial" w:cs="Arial" w:eastAsia="Arial" w:hAnsi="Arial"/>
                <w:sz w:val="13"/>
                <w:szCs w:val="13"/>
                <w:color w:val="auto"/>
              </w:rPr>
              <w:t>Net change in unrealized (appreciation) depreciation on investments</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3"/>
                <w:szCs w:val="13"/>
                <w:color w:val="auto"/>
              </w:rPr>
              <w:t>(4,361,772)</w:t>
            </w:r>
          </w:p>
        </w:tc>
        <w:tc>
          <w:tcPr>
            <w:tcW w:w="180" w:type="dxa"/>
            <w:vAlign w:val="bottom"/>
          </w:tcPr>
          <w:p>
            <w:pPr>
              <w:spacing w:after="0"/>
              <w:rPr>
                <w:sz w:val="12"/>
                <w:szCs w:val="12"/>
                <w:color w:val="auto"/>
              </w:rPr>
            </w:pPr>
          </w:p>
        </w:tc>
        <w:tc>
          <w:tcPr>
            <w:tcW w:w="2260" w:type="dxa"/>
            <w:vAlign w:val="bottom"/>
            <w:gridSpan w:val="2"/>
          </w:tcPr>
          <w:p>
            <w:pPr>
              <w:jc w:val="right"/>
              <w:ind w:right="100"/>
              <w:spacing w:after="0"/>
              <w:rPr>
                <w:sz w:val="20"/>
                <w:szCs w:val="20"/>
                <w:color w:val="auto"/>
              </w:rPr>
            </w:pPr>
            <w:r>
              <w:rPr>
                <w:rFonts w:ascii="Arial" w:cs="Arial" w:eastAsia="Arial" w:hAnsi="Arial"/>
                <w:sz w:val="13"/>
                <w:szCs w:val="13"/>
                <w:color w:val="auto"/>
              </w:rPr>
              <w:t>4,105,380</w:t>
            </w:r>
          </w:p>
        </w:tc>
      </w:tr>
      <w:tr>
        <w:trPr>
          <w:trHeight w:val="148"/>
        </w:trPr>
        <w:tc>
          <w:tcPr>
            <w:tcW w:w="6640" w:type="dxa"/>
            <w:vAlign w:val="bottom"/>
            <w:shd w:val="clear" w:color="auto" w:fill="CCEEFF"/>
          </w:tcPr>
          <w:p>
            <w:pPr>
              <w:ind w:left="1080"/>
              <w:spacing w:after="0"/>
              <w:rPr>
                <w:sz w:val="20"/>
                <w:szCs w:val="20"/>
                <w:color w:val="auto"/>
              </w:rPr>
            </w:pPr>
            <w:r>
              <w:rPr>
                <w:rFonts w:ascii="Arial" w:cs="Arial" w:eastAsia="Arial" w:hAnsi="Arial"/>
                <w:sz w:val="13"/>
                <w:szCs w:val="13"/>
                <w:color w:val="auto"/>
              </w:rPr>
              <w:t>Net change in unrealized appreciation on Credit Facility</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(377,500)</w:t>
            </w:r>
          </w:p>
        </w:tc>
        <w:tc>
          <w:tcPr>
            <w:tcW w:w="180" w:type="dxa"/>
            <w:vAlign w:val="bottom"/>
            <w:shd w:val="clear" w:color="auto" w:fill="CCEEFF"/>
          </w:tcPr>
          <w:p>
            <w:pPr>
              <w:spacing w:after="0"/>
              <w:rPr>
                <w:sz w:val="12"/>
                <w:szCs w:val="12"/>
                <w:color w:val="auto"/>
              </w:rPr>
            </w:pPr>
          </w:p>
        </w:tc>
        <w:tc>
          <w:tcPr>
            <w:tcW w:w="22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48"/>
        </w:trPr>
        <w:tc>
          <w:tcPr>
            <w:tcW w:w="6640" w:type="dxa"/>
            <w:vAlign w:val="bottom"/>
          </w:tcPr>
          <w:p>
            <w:pPr>
              <w:ind w:left="1080"/>
              <w:spacing w:after="0"/>
              <w:rPr>
                <w:sz w:val="20"/>
                <w:szCs w:val="20"/>
                <w:color w:val="auto"/>
              </w:rPr>
            </w:pPr>
            <w:r>
              <w:rPr>
                <w:rFonts w:ascii="Arial" w:cs="Arial" w:eastAsia="Arial" w:hAnsi="Arial"/>
                <w:sz w:val="13"/>
                <w:szCs w:val="13"/>
                <w:color w:val="auto"/>
              </w:rPr>
              <w:t>Net realized gain on investments</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3"/>
                <w:szCs w:val="13"/>
                <w:color w:val="auto"/>
              </w:rPr>
              <w:t>(911,925)</w:t>
            </w:r>
          </w:p>
        </w:tc>
        <w:tc>
          <w:tcPr>
            <w:tcW w:w="180" w:type="dxa"/>
            <w:vAlign w:val="bottom"/>
          </w:tcPr>
          <w:p>
            <w:pPr>
              <w:spacing w:after="0"/>
              <w:rPr>
                <w:sz w:val="12"/>
                <w:szCs w:val="12"/>
                <w:color w:val="auto"/>
              </w:rPr>
            </w:pPr>
          </w:p>
        </w:tc>
        <w:tc>
          <w:tcPr>
            <w:tcW w:w="2260" w:type="dxa"/>
            <w:vAlign w:val="bottom"/>
            <w:gridSpan w:val="2"/>
          </w:tcPr>
          <w:p>
            <w:pPr>
              <w:jc w:val="right"/>
              <w:ind w:right="60"/>
              <w:spacing w:after="0"/>
              <w:rPr>
                <w:sz w:val="20"/>
                <w:szCs w:val="20"/>
                <w:color w:val="auto"/>
              </w:rPr>
            </w:pPr>
            <w:r>
              <w:rPr>
                <w:rFonts w:ascii="Arial" w:cs="Arial" w:eastAsia="Arial" w:hAnsi="Arial"/>
                <w:sz w:val="13"/>
                <w:szCs w:val="13"/>
                <w:color w:val="auto"/>
              </w:rPr>
              <w:t>(311,988)</w:t>
            </w:r>
          </w:p>
        </w:tc>
      </w:tr>
      <w:tr>
        <w:trPr>
          <w:trHeight w:val="148"/>
        </w:trPr>
        <w:tc>
          <w:tcPr>
            <w:tcW w:w="6640" w:type="dxa"/>
            <w:vAlign w:val="bottom"/>
            <w:shd w:val="clear" w:color="auto" w:fill="CCEEFF"/>
          </w:tcPr>
          <w:p>
            <w:pPr>
              <w:ind w:left="1080"/>
              <w:spacing w:after="0"/>
              <w:rPr>
                <w:sz w:val="20"/>
                <w:szCs w:val="20"/>
                <w:color w:val="auto"/>
              </w:rPr>
            </w:pPr>
            <w:r>
              <w:rPr>
                <w:rFonts w:ascii="Arial" w:cs="Arial" w:eastAsia="Arial" w:hAnsi="Arial"/>
                <w:sz w:val="13"/>
                <w:szCs w:val="13"/>
                <w:color w:val="auto"/>
              </w:rPr>
              <w:t>Net accretion of discount and amortization of premium</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(704,452)</w:t>
            </w:r>
          </w:p>
        </w:tc>
        <w:tc>
          <w:tcPr>
            <w:tcW w:w="180" w:type="dxa"/>
            <w:vAlign w:val="bottom"/>
            <w:shd w:val="clear" w:color="auto" w:fill="CCEEFF"/>
          </w:tcPr>
          <w:p>
            <w:pPr>
              <w:spacing w:after="0"/>
              <w:rPr>
                <w:sz w:val="12"/>
                <w:szCs w:val="12"/>
                <w:color w:val="auto"/>
              </w:rPr>
            </w:pPr>
          </w:p>
        </w:tc>
        <w:tc>
          <w:tcPr>
            <w:tcW w:w="2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(136,975)</w:t>
            </w:r>
          </w:p>
        </w:tc>
      </w:tr>
      <w:tr>
        <w:trPr>
          <w:trHeight w:val="148"/>
        </w:trPr>
        <w:tc>
          <w:tcPr>
            <w:tcW w:w="6640" w:type="dxa"/>
            <w:vAlign w:val="bottom"/>
          </w:tcPr>
          <w:p>
            <w:pPr>
              <w:ind w:left="1080"/>
              <w:spacing w:after="0"/>
              <w:rPr>
                <w:sz w:val="20"/>
                <w:szCs w:val="20"/>
                <w:color w:val="auto"/>
              </w:rPr>
            </w:pPr>
            <w:r>
              <w:rPr>
                <w:rFonts w:ascii="Arial" w:cs="Arial" w:eastAsia="Arial" w:hAnsi="Arial"/>
                <w:sz w:val="13"/>
                <w:szCs w:val="13"/>
                <w:color w:val="auto"/>
              </w:rPr>
              <w:t>Purchase of investments</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3"/>
                <w:szCs w:val="13"/>
                <w:color w:val="auto"/>
              </w:rPr>
              <w:t>(128,673,695)</w:t>
            </w:r>
          </w:p>
        </w:tc>
        <w:tc>
          <w:tcPr>
            <w:tcW w:w="180" w:type="dxa"/>
            <w:vAlign w:val="bottom"/>
          </w:tcPr>
          <w:p>
            <w:pPr>
              <w:spacing w:after="0"/>
              <w:rPr>
                <w:sz w:val="12"/>
                <w:szCs w:val="12"/>
                <w:color w:val="auto"/>
              </w:rPr>
            </w:pPr>
          </w:p>
        </w:tc>
        <w:tc>
          <w:tcPr>
            <w:tcW w:w="2260" w:type="dxa"/>
            <w:vAlign w:val="bottom"/>
            <w:gridSpan w:val="2"/>
          </w:tcPr>
          <w:p>
            <w:pPr>
              <w:jc w:val="right"/>
              <w:ind w:right="60"/>
              <w:spacing w:after="0"/>
              <w:rPr>
                <w:sz w:val="20"/>
                <w:szCs w:val="20"/>
                <w:color w:val="auto"/>
              </w:rPr>
            </w:pPr>
            <w:r>
              <w:rPr>
                <w:rFonts w:ascii="Arial" w:cs="Arial" w:eastAsia="Arial" w:hAnsi="Arial"/>
                <w:sz w:val="13"/>
                <w:szCs w:val="13"/>
                <w:color w:val="auto"/>
              </w:rPr>
              <w:t>(147,545,077)</w:t>
            </w:r>
          </w:p>
        </w:tc>
      </w:tr>
      <w:tr>
        <w:trPr>
          <w:trHeight w:val="149"/>
        </w:trPr>
        <w:tc>
          <w:tcPr>
            <w:tcW w:w="6640" w:type="dxa"/>
            <w:vAlign w:val="bottom"/>
            <w:shd w:val="clear" w:color="auto" w:fill="CCEEFF"/>
          </w:tcPr>
          <w:p>
            <w:pPr>
              <w:ind w:left="1080"/>
              <w:spacing w:after="0"/>
              <w:rPr>
                <w:sz w:val="20"/>
                <w:szCs w:val="20"/>
                <w:color w:val="auto"/>
              </w:rPr>
            </w:pPr>
            <w:r>
              <w:rPr>
                <w:rFonts w:ascii="Arial" w:cs="Arial" w:eastAsia="Arial" w:hAnsi="Arial"/>
                <w:sz w:val="13"/>
                <w:szCs w:val="13"/>
                <w:color w:val="auto"/>
              </w:rPr>
              <w:t>Payment-in-kind interest</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(119,552)</w:t>
            </w:r>
          </w:p>
        </w:tc>
        <w:tc>
          <w:tcPr>
            <w:tcW w:w="180" w:type="dxa"/>
            <w:vAlign w:val="bottom"/>
            <w:shd w:val="clear" w:color="auto" w:fill="CCEEFF"/>
          </w:tcPr>
          <w:p>
            <w:pPr>
              <w:spacing w:after="0"/>
              <w:rPr>
                <w:sz w:val="12"/>
                <w:szCs w:val="12"/>
                <w:color w:val="auto"/>
              </w:rPr>
            </w:pPr>
          </w:p>
        </w:tc>
        <w:tc>
          <w:tcPr>
            <w:tcW w:w="2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(42,074)</w:t>
            </w:r>
          </w:p>
        </w:tc>
      </w:tr>
      <w:tr>
        <w:trPr>
          <w:trHeight w:val="148"/>
        </w:trPr>
        <w:tc>
          <w:tcPr>
            <w:tcW w:w="6640" w:type="dxa"/>
            <w:vAlign w:val="bottom"/>
          </w:tcPr>
          <w:p>
            <w:pPr>
              <w:ind w:left="1080"/>
              <w:spacing w:after="0"/>
              <w:rPr>
                <w:sz w:val="20"/>
                <w:szCs w:val="20"/>
                <w:color w:val="auto"/>
              </w:rPr>
            </w:pPr>
            <w:r>
              <w:rPr>
                <w:rFonts w:ascii="Arial" w:cs="Arial" w:eastAsia="Arial" w:hAnsi="Arial"/>
                <w:sz w:val="13"/>
                <w:szCs w:val="13"/>
                <w:color w:val="auto"/>
              </w:rPr>
              <w:t>Proceeds from dispositions of investments</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tcPr>
          <w:p>
            <w:pPr>
              <w:jc w:val="right"/>
              <w:ind w:right="280"/>
              <w:spacing w:after="0"/>
              <w:rPr>
                <w:sz w:val="20"/>
                <w:szCs w:val="20"/>
                <w:color w:val="auto"/>
              </w:rPr>
            </w:pPr>
            <w:r>
              <w:rPr>
                <w:rFonts w:ascii="Arial" w:cs="Arial" w:eastAsia="Arial" w:hAnsi="Arial"/>
                <w:sz w:val="13"/>
                <w:szCs w:val="13"/>
                <w:color w:val="auto"/>
              </w:rPr>
              <w:t>71,499,356</w:t>
            </w:r>
          </w:p>
        </w:tc>
        <w:tc>
          <w:tcPr>
            <w:tcW w:w="180" w:type="dxa"/>
            <w:vAlign w:val="bottom"/>
          </w:tcPr>
          <w:p>
            <w:pPr>
              <w:spacing w:after="0"/>
              <w:rPr>
                <w:sz w:val="12"/>
                <w:szCs w:val="12"/>
                <w:color w:val="auto"/>
              </w:rPr>
            </w:pPr>
          </w:p>
        </w:tc>
        <w:tc>
          <w:tcPr>
            <w:tcW w:w="2260" w:type="dxa"/>
            <w:vAlign w:val="bottom"/>
            <w:gridSpan w:val="2"/>
          </w:tcPr>
          <w:p>
            <w:pPr>
              <w:jc w:val="right"/>
              <w:ind w:right="100"/>
              <w:spacing w:after="0"/>
              <w:rPr>
                <w:sz w:val="20"/>
                <w:szCs w:val="20"/>
                <w:color w:val="auto"/>
              </w:rPr>
            </w:pPr>
            <w:r>
              <w:rPr>
                <w:rFonts w:ascii="Arial" w:cs="Arial" w:eastAsia="Arial" w:hAnsi="Arial"/>
                <w:sz w:val="13"/>
                <w:szCs w:val="13"/>
                <w:color w:val="auto"/>
              </w:rPr>
              <w:t>33,206,493</w:t>
            </w:r>
          </w:p>
        </w:tc>
      </w:tr>
      <w:tr>
        <w:trPr>
          <w:trHeight w:val="148"/>
        </w:trPr>
        <w:tc>
          <w:tcPr>
            <w:tcW w:w="6640" w:type="dxa"/>
            <w:vAlign w:val="bottom"/>
            <w:shd w:val="clear" w:color="auto" w:fill="CCEEFF"/>
          </w:tcPr>
          <w:p>
            <w:pPr>
              <w:ind w:left="1080"/>
              <w:spacing w:after="0"/>
              <w:rPr>
                <w:sz w:val="20"/>
                <w:szCs w:val="20"/>
                <w:color w:val="auto"/>
              </w:rPr>
            </w:pPr>
            <w:r>
              <w:rPr>
                <w:rFonts w:ascii="Arial" w:cs="Arial" w:eastAsia="Arial" w:hAnsi="Arial"/>
                <w:sz w:val="13"/>
                <w:szCs w:val="13"/>
                <w:color w:val="auto"/>
              </w:rPr>
              <w:t>Decrease (increase) in receivable for investments sold</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1,481,222</w:t>
            </w:r>
          </w:p>
        </w:tc>
        <w:tc>
          <w:tcPr>
            <w:tcW w:w="180" w:type="dxa"/>
            <w:vAlign w:val="bottom"/>
            <w:shd w:val="clear" w:color="auto" w:fill="CCEEFF"/>
          </w:tcPr>
          <w:p>
            <w:pPr>
              <w:spacing w:after="0"/>
              <w:rPr>
                <w:sz w:val="12"/>
                <w:szCs w:val="12"/>
                <w:color w:val="auto"/>
              </w:rPr>
            </w:pPr>
          </w:p>
        </w:tc>
        <w:tc>
          <w:tcPr>
            <w:tcW w:w="2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(2,467,500)</w:t>
            </w:r>
          </w:p>
        </w:tc>
      </w:tr>
      <w:tr>
        <w:trPr>
          <w:trHeight w:val="148"/>
        </w:trPr>
        <w:tc>
          <w:tcPr>
            <w:tcW w:w="6640" w:type="dxa"/>
            <w:vAlign w:val="bottom"/>
          </w:tcPr>
          <w:p>
            <w:pPr>
              <w:ind w:left="1080"/>
              <w:spacing w:after="0"/>
              <w:rPr>
                <w:sz w:val="20"/>
                <w:szCs w:val="20"/>
                <w:color w:val="auto"/>
              </w:rPr>
            </w:pPr>
            <w:r>
              <w:rPr>
                <w:rFonts w:ascii="Arial" w:cs="Arial" w:eastAsia="Arial" w:hAnsi="Arial"/>
                <w:sz w:val="13"/>
                <w:szCs w:val="13"/>
                <w:color w:val="auto"/>
              </w:rPr>
              <w:t>(Increase) in interest receivable</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3"/>
                <w:szCs w:val="13"/>
                <w:color w:val="auto"/>
              </w:rPr>
              <w:t>(656,172)</w:t>
            </w:r>
          </w:p>
        </w:tc>
        <w:tc>
          <w:tcPr>
            <w:tcW w:w="180" w:type="dxa"/>
            <w:vAlign w:val="bottom"/>
          </w:tcPr>
          <w:p>
            <w:pPr>
              <w:spacing w:after="0"/>
              <w:rPr>
                <w:sz w:val="12"/>
                <w:szCs w:val="12"/>
                <w:color w:val="auto"/>
              </w:rPr>
            </w:pPr>
          </w:p>
        </w:tc>
        <w:tc>
          <w:tcPr>
            <w:tcW w:w="2260" w:type="dxa"/>
            <w:vAlign w:val="bottom"/>
            <w:gridSpan w:val="2"/>
          </w:tcPr>
          <w:p>
            <w:pPr>
              <w:jc w:val="right"/>
              <w:ind w:right="60"/>
              <w:spacing w:after="0"/>
              <w:rPr>
                <w:sz w:val="20"/>
                <w:szCs w:val="20"/>
                <w:color w:val="auto"/>
              </w:rPr>
            </w:pPr>
            <w:r>
              <w:rPr>
                <w:rFonts w:ascii="Arial" w:cs="Arial" w:eastAsia="Arial" w:hAnsi="Arial"/>
                <w:sz w:val="13"/>
                <w:szCs w:val="13"/>
                <w:color w:val="auto"/>
              </w:rPr>
              <w:t>(732,695)</w:t>
            </w:r>
          </w:p>
        </w:tc>
      </w:tr>
      <w:tr>
        <w:trPr>
          <w:trHeight w:val="148"/>
        </w:trPr>
        <w:tc>
          <w:tcPr>
            <w:tcW w:w="6640" w:type="dxa"/>
            <w:vAlign w:val="bottom"/>
            <w:shd w:val="clear" w:color="auto" w:fill="CCEEFF"/>
          </w:tcPr>
          <w:p>
            <w:pPr>
              <w:ind w:left="1080"/>
              <w:spacing w:after="0"/>
              <w:rPr>
                <w:sz w:val="20"/>
                <w:szCs w:val="20"/>
                <w:color w:val="auto"/>
              </w:rPr>
            </w:pPr>
            <w:r>
              <w:rPr>
                <w:rFonts w:ascii="Arial" w:cs="Arial" w:eastAsia="Arial" w:hAnsi="Arial"/>
                <w:sz w:val="13"/>
                <w:szCs w:val="13"/>
                <w:color w:val="auto"/>
              </w:rPr>
              <w:t>(Increase) in prepaid expenses and other assets</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(147,939)</w:t>
            </w:r>
          </w:p>
        </w:tc>
        <w:tc>
          <w:tcPr>
            <w:tcW w:w="180" w:type="dxa"/>
            <w:vAlign w:val="bottom"/>
            <w:shd w:val="clear" w:color="auto" w:fill="CCEEFF"/>
          </w:tcPr>
          <w:p>
            <w:pPr>
              <w:spacing w:after="0"/>
              <w:rPr>
                <w:sz w:val="12"/>
                <w:szCs w:val="12"/>
                <w:color w:val="auto"/>
              </w:rPr>
            </w:pPr>
          </w:p>
        </w:tc>
        <w:tc>
          <w:tcPr>
            <w:tcW w:w="2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(163,374)</w:t>
            </w:r>
          </w:p>
        </w:tc>
      </w:tr>
      <w:tr>
        <w:trPr>
          <w:trHeight w:val="148"/>
        </w:trPr>
        <w:tc>
          <w:tcPr>
            <w:tcW w:w="6640" w:type="dxa"/>
            <w:vAlign w:val="bottom"/>
          </w:tcPr>
          <w:p>
            <w:pPr>
              <w:ind w:left="1080"/>
              <w:spacing w:after="0"/>
              <w:rPr>
                <w:sz w:val="20"/>
                <w:szCs w:val="20"/>
                <w:color w:val="auto"/>
              </w:rPr>
            </w:pPr>
            <w:r>
              <w:rPr>
                <w:rFonts w:ascii="Arial" w:cs="Arial" w:eastAsia="Arial" w:hAnsi="Arial"/>
                <w:sz w:val="13"/>
                <w:szCs w:val="13"/>
                <w:color w:val="auto"/>
              </w:rPr>
              <w:t>Increase in payable for investments purchased</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tcPr>
          <w:p>
            <w:pPr>
              <w:jc w:val="right"/>
              <w:ind w:right="280"/>
              <w:spacing w:after="0"/>
              <w:rPr>
                <w:sz w:val="20"/>
                <w:szCs w:val="20"/>
                <w:color w:val="auto"/>
              </w:rPr>
            </w:pPr>
            <w:r>
              <w:rPr>
                <w:rFonts w:ascii="Arial" w:cs="Arial" w:eastAsia="Arial" w:hAnsi="Arial"/>
                <w:sz w:val="13"/>
                <w:szCs w:val="13"/>
                <w:color w:val="auto"/>
              </w:rPr>
              <w:t>2,367,500</w:t>
            </w:r>
          </w:p>
        </w:tc>
        <w:tc>
          <w:tcPr>
            <w:tcW w:w="180" w:type="dxa"/>
            <w:vAlign w:val="bottom"/>
          </w:tcPr>
          <w:p>
            <w:pPr>
              <w:spacing w:after="0"/>
              <w:rPr>
                <w:sz w:val="12"/>
                <w:szCs w:val="12"/>
                <w:color w:val="auto"/>
              </w:rPr>
            </w:pPr>
          </w:p>
        </w:tc>
        <w:tc>
          <w:tcPr>
            <w:tcW w:w="2260" w:type="dxa"/>
            <w:vAlign w:val="bottom"/>
            <w:gridSpan w:val="2"/>
          </w:tcPr>
          <w:p>
            <w:pPr>
              <w:jc w:val="right"/>
              <w:ind w:right="100"/>
              <w:spacing w:after="0"/>
              <w:rPr>
                <w:sz w:val="20"/>
                <w:szCs w:val="20"/>
                <w:color w:val="auto"/>
              </w:rPr>
            </w:pPr>
            <w:r>
              <w:rPr>
                <w:rFonts w:ascii="Arial" w:cs="Arial" w:eastAsia="Arial" w:hAnsi="Arial"/>
                <w:sz w:val="13"/>
                <w:szCs w:val="13"/>
                <w:color w:val="auto"/>
              </w:rPr>
              <w:t>990,000</w:t>
            </w:r>
          </w:p>
        </w:tc>
      </w:tr>
      <w:tr>
        <w:trPr>
          <w:trHeight w:val="149"/>
        </w:trPr>
        <w:tc>
          <w:tcPr>
            <w:tcW w:w="6640" w:type="dxa"/>
            <w:vAlign w:val="bottom"/>
            <w:shd w:val="clear" w:color="auto" w:fill="CCEEFF"/>
          </w:tcPr>
          <w:p>
            <w:pPr>
              <w:ind w:left="1080"/>
              <w:spacing w:after="0"/>
              <w:rPr>
                <w:sz w:val="20"/>
                <w:szCs w:val="20"/>
                <w:color w:val="auto"/>
              </w:rPr>
            </w:pPr>
            <w:r>
              <w:rPr>
                <w:rFonts w:ascii="Arial" w:cs="Arial" w:eastAsia="Arial" w:hAnsi="Arial"/>
                <w:sz w:val="13"/>
                <w:szCs w:val="13"/>
                <w:color w:val="auto"/>
              </w:rPr>
              <w:t>(Decrease) increase in unfunded investments</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(161,370)</w:t>
            </w:r>
          </w:p>
        </w:tc>
        <w:tc>
          <w:tcPr>
            <w:tcW w:w="180" w:type="dxa"/>
            <w:vAlign w:val="bottom"/>
            <w:shd w:val="clear" w:color="auto" w:fill="CCEEFF"/>
          </w:tcPr>
          <w:p>
            <w:pPr>
              <w:spacing w:after="0"/>
              <w:rPr>
                <w:sz w:val="12"/>
                <w:szCs w:val="12"/>
                <w:color w:val="auto"/>
              </w:rPr>
            </w:pPr>
          </w:p>
        </w:tc>
        <w:tc>
          <w:tcPr>
            <w:tcW w:w="22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2,323,250</w:t>
            </w:r>
          </w:p>
        </w:tc>
      </w:tr>
      <w:tr>
        <w:trPr>
          <w:trHeight w:val="148"/>
        </w:trPr>
        <w:tc>
          <w:tcPr>
            <w:tcW w:w="6640" w:type="dxa"/>
            <w:vAlign w:val="bottom"/>
          </w:tcPr>
          <w:p>
            <w:pPr>
              <w:ind w:left="1080"/>
              <w:spacing w:after="0"/>
              <w:rPr>
                <w:sz w:val="20"/>
                <w:szCs w:val="20"/>
                <w:color w:val="auto"/>
              </w:rPr>
            </w:pPr>
            <w:r>
              <w:rPr>
                <w:rFonts w:ascii="Arial" w:cs="Arial" w:eastAsia="Arial" w:hAnsi="Arial"/>
                <w:sz w:val="13"/>
                <w:szCs w:val="13"/>
                <w:color w:val="auto"/>
              </w:rPr>
              <w:t>Increase in interest payable on Credit Facility</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tcPr>
          <w:p>
            <w:pPr>
              <w:jc w:val="right"/>
              <w:ind w:right="280"/>
              <w:spacing w:after="0"/>
              <w:rPr>
                <w:sz w:val="20"/>
                <w:szCs w:val="20"/>
                <w:color w:val="auto"/>
              </w:rPr>
            </w:pPr>
            <w:r>
              <w:rPr>
                <w:rFonts w:ascii="Arial" w:cs="Arial" w:eastAsia="Arial" w:hAnsi="Arial"/>
                <w:sz w:val="13"/>
                <w:szCs w:val="13"/>
                <w:color w:val="auto"/>
              </w:rPr>
              <w:t>11,304</w:t>
            </w:r>
          </w:p>
        </w:tc>
        <w:tc>
          <w:tcPr>
            <w:tcW w:w="180" w:type="dxa"/>
            <w:vAlign w:val="bottom"/>
          </w:tcPr>
          <w:p>
            <w:pPr>
              <w:spacing w:after="0"/>
              <w:rPr>
                <w:sz w:val="12"/>
                <w:szCs w:val="12"/>
                <w:color w:val="auto"/>
              </w:rPr>
            </w:pPr>
          </w:p>
        </w:tc>
        <w:tc>
          <w:tcPr>
            <w:tcW w:w="2260" w:type="dxa"/>
            <w:vAlign w:val="bottom"/>
            <w:gridSpan w:val="2"/>
          </w:tcPr>
          <w:p>
            <w:pPr>
              <w:jc w:val="right"/>
              <w:ind w:right="100"/>
              <w:spacing w:after="0"/>
              <w:rPr>
                <w:sz w:val="20"/>
                <w:szCs w:val="20"/>
                <w:color w:val="auto"/>
              </w:rPr>
            </w:pPr>
            <w:r>
              <w:rPr>
                <w:rFonts w:ascii="Arial" w:cs="Arial" w:eastAsia="Arial" w:hAnsi="Arial"/>
                <w:sz w:val="13"/>
                <w:szCs w:val="13"/>
                <w:color w:val="auto"/>
              </w:rPr>
              <w:t>150,246</w:t>
            </w:r>
          </w:p>
        </w:tc>
      </w:tr>
      <w:tr>
        <w:trPr>
          <w:trHeight w:val="148"/>
        </w:trPr>
        <w:tc>
          <w:tcPr>
            <w:tcW w:w="6640" w:type="dxa"/>
            <w:vAlign w:val="bottom"/>
            <w:shd w:val="clear" w:color="auto" w:fill="CCEEFF"/>
          </w:tcPr>
          <w:p>
            <w:pPr>
              <w:ind w:left="1080"/>
              <w:spacing w:after="0"/>
              <w:rPr>
                <w:sz w:val="20"/>
                <w:szCs w:val="20"/>
                <w:color w:val="auto"/>
              </w:rPr>
            </w:pPr>
            <w:r>
              <w:rPr>
                <w:rFonts w:ascii="Arial" w:cs="Arial" w:eastAsia="Arial" w:hAnsi="Arial"/>
                <w:sz w:val="13"/>
                <w:szCs w:val="13"/>
                <w:color w:val="auto"/>
              </w:rPr>
              <w:t>Increase in management fee payable</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158,315</w:t>
            </w:r>
          </w:p>
        </w:tc>
        <w:tc>
          <w:tcPr>
            <w:tcW w:w="180" w:type="dxa"/>
            <w:vAlign w:val="bottom"/>
            <w:shd w:val="clear" w:color="auto" w:fill="CCEEFF"/>
          </w:tcPr>
          <w:p>
            <w:pPr>
              <w:spacing w:after="0"/>
              <w:rPr>
                <w:sz w:val="12"/>
                <w:szCs w:val="12"/>
                <w:color w:val="auto"/>
              </w:rPr>
            </w:pPr>
          </w:p>
        </w:tc>
        <w:tc>
          <w:tcPr>
            <w:tcW w:w="22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266,432</w:t>
            </w:r>
          </w:p>
        </w:tc>
      </w:tr>
      <w:tr>
        <w:trPr>
          <w:trHeight w:val="148"/>
        </w:trPr>
        <w:tc>
          <w:tcPr>
            <w:tcW w:w="6640" w:type="dxa"/>
            <w:vAlign w:val="bottom"/>
          </w:tcPr>
          <w:p>
            <w:pPr>
              <w:ind w:left="1080"/>
              <w:spacing w:after="0"/>
              <w:rPr>
                <w:sz w:val="20"/>
                <w:szCs w:val="20"/>
                <w:color w:val="auto"/>
              </w:rPr>
            </w:pPr>
            <w:r>
              <w:rPr>
                <w:rFonts w:ascii="Arial" w:cs="Arial" w:eastAsia="Arial" w:hAnsi="Arial"/>
                <w:sz w:val="13"/>
                <w:szCs w:val="13"/>
                <w:color w:val="auto"/>
              </w:rPr>
              <w:t>Increase in performance-based incentive fees payable</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tcPr>
          <w:p>
            <w:pPr>
              <w:jc w:val="right"/>
              <w:ind w:right="280"/>
              <w:spacing w:after="0"/>
              <w:rPr>
                <w:sz w:val="20"/>
                <w:szCs w:val="20"/>
                <w:color w:val="auto"/>
              </w:rPr>
            </w:pPr>
            <w:r>
              <w:rPr>
                <w:rFonts w:ascii="Arial" w:cs="Arial" w:eastAsia="Arial" w:hAnsi="Arial"/>
                <w:sz w:val="13"/>
                <w:szCs w:val="13"/>
                <w:color w:val="auto"/>
              </w:rPr>
              <w:t>506,314</w:t>
            </w:r>
          </w:p>
        </w:tc>
        <w:tc>
          <w:tcPr>
            <w:tcW w:w="180" w:type="dxa"/>
            <w:vAlign w:val="bottom"/>
          </w:tcPr>
          <w:p>
            <w:pPr>
              <w:spacing w:after="0"/>
              <w:rPr>
                <w:sz w:val="12"/>
                <w:szCs w:val="12"/>
                <w:color w:val="auto"/>
              </w:rPr>
            </w:pPr>
          </w:p>
        </w:tc>
        <w:tc>
          <w:tcPr>
            <w:tcW w:w="22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48"/>
        </w:trPr>
        <w:tc>
          <w:tcPr>
            <w:tcW w:w="6640" w:type="dxa"/>
            <w:vAlign w:val="bottom"/>
            <w:shd w:val="clear" w:color="auto" w:fill="CCEEFF"/>
          </w:tcPr>
          <w:p>
            <w:pPr>
              <w:ind w:left="1080"/>
              <w:spacing w:after="0"/>
              <w:rPr>
                <w:sz w:val="20"/>
                <w:szCs w:val="20"/>
                <w:color w:val="auto"/>
              </w:rPr>
            </w:pPr>
            <w:r>
              <w:rPr>
                <w:rFonts w:ascii="Arial" w:cs="Arial" w:eastAsia="Arial" w:hAnsi="Arial"/>
                <w:sz w:val="13"/>
                <w:szCs w:val="13"/>
                <w:color w:val="auto"/>
              </w:rPr>
              <w:t>Increase in accrued expenses</w:t>
            </w:r>
          </w:p>
        </w:tc>
        <w:tc>
          <w:tcPr>
            <w:tcW w:w="3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303,440</w:t>
            </w:r>
          </w:p>
        </w:tc>
        <w:tc>
          <w:tcPr>
            <w:tcW w:w="2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143,680</w:t>
            </w:r>
          </w:p>
        </w:tc>
        <w:tc>
          <w:tcPr>
            <w:tcW w:w="100" w:type="dxa"/>
            <w:vAlign w:val="bottom"/>
            <w:shd w:val="clear" w:color="auto" w:fill="CCEEFF"/>
          </w:tcPr>
          <w:p>
            <w:pPr>
              <w:spacing w:after="0"/>
              <w:rPr>
                <w:sz w:val="12"/>
                <w:szCs w:val="12"/>
                <w:color w:val="auto"/>
              </w:rPr>
            </w:pPr>
          </w:p>
        </w:tc>
      </w:tr>
      <w:tr>
        <w:trPr>
          <w:trHeight w:val="163"/>
        </w:trPr>
        <w:tc>
          <w:tcPr>
            <w:tcW w:w="6640" w:type="dxa"/>
            <w:vAlign w:val="bottom"/>
          </w:tcPr>
          <w:p>
            <w:pPr>
              <w:ind w:left="1620"/>
              <w:spacing w:after="0"/>
              <w:rPr>
                <w:sz w:val="20"/>
                <w:szCs w:val="20"/>
                <w:color w:val="auto"/>
              </w:rPr>
            </w:pPr>
            <w:r>
              <w:rPr>
                <w:rFonts w:ascii="Arial" w:cs="Arial" w:eastAsia="Arial" w:hAnsi="Arial"/>
                <w:sz w:val="13"/>
                <w:szCs w:val="13"/>
                <w:color w:val="auto"/>
              </w:rPr>
              <w:t>Net cash used by operating activities</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3"/>
                <w:szCs w:val="13"/>
                <w:color w:val="auto"/>
              </w:rPr>
              <w:t>(47,826,048)</w:t>
            </w:r>
          </w:p>
        </w:tc>
        <w:tc>
          <w:tcPr>
            <w:tcW w:w="180" w:type="dxa"/>
            <w:vAlign w:val="bottom"/>
          </w:tcPr>
          <w:p>
            <w:pPr>
              <w:spacing w:after="0"/>
              <w:rPr>
                <w:sz w:val="14"/>
                <w:szCs w:val="14"/>
                <w:color w:val="auto"/>
              </w:rPr>
            </w:pPr>
          </w:p>
        </w:tc>
        <w:tc>
          <w:tcPr>
            <w:tcW w:w="2260" w:type="dxa"/>
            <w:vAlign w:val="bottom"/>
            <w:gridSpan w:val="2"/>
          </w:tcPr>
          <w:p>
            <w:pPr>
              <w:jc w:val="right"/>
              <w:ind w:right="60"/>
              <w:spacing w:after="0"/>
              <w:rPr>
                <w:sz w:val="20"/>
                <w:szCs w:val="20"/>
                <w:color w:val="auto"/>
              </w:rPr>
            </w:pPr>
            <w:r>
              <w:rPr>
                <w:rFonts w:ascii="Arial" w:cs="Arial" w:eastAsia="Arial" w:hAnsi="Arial"/>
                <w:sz w:val="13"/>
                <w:szCs w:val="13"/>
                <w:color w:val="auto"/>
              </w:rPr>
              <w:t>(113,687,455)</w:t>
            </w:r>
          </w:p>
        </w:tc>
      </w:tr>
      <w:tr>
        <w:trPr>
          <w:trHeight w:val="149"/>
        </w:trPr>
        <w:tc>
          <w:tcPr>
            <w:tcW w:w="66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3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21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6640" w:type="dxa"/>
            <w:vAlign w:val="bottom"/>
          </w:tcPr>
          <w:p>
            <w:pPr>
              <w:ind w:left="1080"/>
              <w:spacing w:after="0"/>
              <w:rPr>
                <w:sz w:val="20"/>
                <w:szCs w:val="20"/>
                <w:color w:val="auto"/>
              </w:rPr>
            </w:pPr>
            <w:r>
              <w:rPr>
                <w:rFonts w:ascii="Arial" w:cs="Arial" w:eastAsia="Arial" w:hAnsi="Arial"/>
                <w:sz w:val="13"/>
                <w:szCs w:val="13"/>
                <w:color w:val="auto"/>
              </w:rPr>
              <w:t>Proceeds from offerings</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2260" w:type="dxa"/>
            <w:vAlign w:val="bottom"/>
            <w:gridSpan w:val="2"/>
          </w:tcPr>
          <w:p>
            <w:pPr>
              <w:jc w:val="right"/>
              <w:ind w:right="100"/>
              <w:spacing w:after="0"/>
              <w:rPr>
                <w:sz w:val="20"/>
                <w:szCs w:val="20"/>
                <w:color w:val="auto"/>
              </w:rPr>
            </w:pPr>
            <w:r>
              <w:rPr>
                <w:rFonts w:ascii="Arial" w:cs="Arial" w:eastAsia="Arial" w:hAnsi="Arial"/>
                <w:sz w:val="13"/>
                <w:szCs w:val="13"/>
                <w:color w:val="auto"/>
              </w:rPr>
              <w:t>102,760,000</w:t>
            </w:r>
          </w:p>
        </w:tc>
      </w:tr>
      <w:tr>
        <w:trPr>
          <w:trHeight w:val="148"/>
        </w:trPr>
        <w:tc>
          <w:tcPr>
            <w:tcW w:w="6640" w:type="dxa"/>
            <w:vAlign w:val="bottom"/>
            <w:shd w:val="clear" w:color="auto" w:fill="CCEEFF"/>
          </w:tcPr>
          <w:p>
            <w:pPr>
              <w:ind w:left="1080"/>
              <w:spacing w:after="0"/>
              <w:rPr>
                <w:sz w:val="20"/>
                <w:szCs w:val="20"/>
                <w:color w:val="auto"/>
              </w:rPr>
            </w:pPr>
            <w:r>
              <w:rPr>
                <w:rFonts w:ascii="Arial" w:cs="Arial" w:eastAsia="Arial" w:hAnsi="Arial"/>
                <w:sz w:val="13"/>
                <w:szCs w:val="13"/>
                <w:color w:val="auto"/>
              </w:rPr>
              <w:t>Offering costs</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2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(5,501,975)</w:t>
            </w:r>
          </w:p>
        </w:tc>
      </w:tr>
      <w:tr>
        <w:trPr>
          <w:trHeight w:val="148"/>
        </w:trPr>
        <w:tc>
          <w:tcPr>
            <w:tcW w:w="6640" w:type="dxa"/>
            <w:vAlign w:val="bottom"/>
          </w:tcPr>
          <w:p>
            <w:pPr>
              <w:ind w:left="1080"/>
              <w:spacing w:after="0"/>
              <w:rPr>
                <w:sz w:val="20"/>
                <w:szCs w:val="20"/>
                <w:color w:val="auto"/>
              </w:rPr>
            </w:pPr>
            <w:r>
              <w:rPr>
                <w:rFonts w:ascii="Arial" w:cs="Arial" w:eastAsia="Arial" w:hAnsi="Arial"/>
                <w:sz w:val="13"/>
                <w:szCs w:val="13"/>
                <w:color w:val="auto"/>
              </w:rPr>
              <w:t>Distributions paid to stockholders</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3"/>
                <w:szCs w:val="13"/>
                <w:color w:val="auto"/>
              </w:rPr>
              <w:t>(6,165,599)</w:t>
            </w:r>
          </w:p>
        </w:tc>
        <w:tc>
          <w:tcPr>
            <w:tcW w:w="180" w:type="dxa"/>
            <w:vAlign w:val="bottom"/>
          </w:tcPr>
          <w:p>
            <w:pPr>
              <w:spacing w:after="0"/>
              <w:rPr>
                <w:sz w:val="12"/>
                <w:szCs w:val="12"/>
                <w:color w:val="auto"/>
              </w:rPr>
            </w:pPr>
          </w:p>
        </w:tc>
        <w:tc>
          <w:tcPr>
            <w:tcW w:w="2260" w:type="dxa"/>
            <w:vAlign w:val="bottom"/>
            <w:gridSpan w:val="2"/>
          </w:tcPr>
          <w:p>
            <w:pPr>
              <w:jc w:val="right"/>
              <w:ind w:right="60"/>
              <w:spacing w:after="0"/>
              <w:rPr>
                <w:sz w:val="20"/>
                <w:szCs w:val="20"/>
                <w:color w:val="auto"/>
              </w:rPr>
            </w:pPr>
            <w:r>
              <w:rPr>
                <w:rFonts w:ascii="Arial" w:cs="Arial" w:eastAsia="Arial" w:hAnsi="Arial"/>
                <w:sz w:val="13"/>
                <w:szCs w:val="13"/>
                <w:color w:val="auto"/>
              </w:rPr>
              <w:t>(1,233,120)</w:t>
            </w:r>
          </w:p>
        </w:tc>
      </w:tr>
      <w:tr>
        <w:trPr>
          <w:trHeight w:val="148"/>
        </w:trPr>
        <w:tc>
          <w:tcPr>
            <w:tcW w:w="6640" w:type="dxa"/>
            <w:vAlign w:val="bottom"/>
            <w:shd w:val="clear" w:color="auto" w:fill="CCEEFF"/>
          </w:tcPr>
          <w:p>
            <w:pPr>
              <w:ind w:left="1080"/>
              <w:spacing w:after="0"/>
              <w:rPr>
                <w:sz w:val="20"/>
                <w:szCs w:val="20"/>
                <w:color w:val="auto"/>
              </w:rPr>
            </w:pPr>
            <w:r>
              <w:rPr>
                <w:rFonts w:ascii="Arial" w:cs="Arial" w:eastAsia="Arial" w:hAnsi="Arial"/>
                <w:sz w:val="13"/>
                <w:szCs w:val="13"/>
                <w:color w:val="auto"/>
              </w:rPr>
              <w:t>Borrowings under Credit Facility (See Notes 5 and 10)</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97,650,000</w:t>
            </w:r>
          </w:p>
        </w:tc>
        <w:tc>
          <w:tcPr>
            <w:tcW w:w="180" w:type="dxa"/>
            <w:vAlign w:val="bottom"/>
            <w:shd w:val="clear" w:color="auto" w:fill="CCEEFF"/>
          </w:tcPr>
          <w:p>
            <w:pPr>
              <w:spacing w:after="0"/>
              <w:rPr>
                <w:sz w:val="12"/>
                <w:szCs w:val="12"/>
                <w:color w:val="auto"/>
              </w:rPr>
            </w:pPr>
          </w:p>
        </w:tc>
        <w:tc>
          <w:tcPr>
            <w:tcW w:w="22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29,000,000</w:t>
            </w:r>
          </w:p>
        </w:tc>
      </w:tr>
      <w:tr>
        <w:trPr>
          <w:trHeight w:val="156"/>
        </w:trPr>
        <w:tc>
          <w:tcPr>
            <w:tcW w:w="6640" w:type="dxa"/>
            <w:vAlign w:val="bottom"/>
          </w:tcPr>
          <w:p>
            <w:pPr>
              <w:ind w:left="1080"/>
              <w:spacing w:after="0"/>
              <w:rPr>
                <w:sz w:val="20"/>
                <w:szCs w:val="20"/>
                <w:color w:val="auto"/>
              </w:rPr>
            </w:pPr>
            <w:r>
              <w:rPr>
                <w:rFonts w:ascii="Arial" w:cs="Arial" w:eastAsia="Arial" w:hAnsi="Arial"/>
                <w:sz w:val="13"/>
                <w:szCs w:val="13"/>
                <w:color w:val="auto"/>
              </w:rPr>
              <w:t>Repayments under Credit Facility (See Notes 5 and 10)</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3"/>
                <w:szCs w:val="13"/>
                <w:color w:val="auto"/>
              </w:rPr>
              <w:t>(46,800,000)</w:t>
            </w:r>
          </w:p>
        </w:tc>
        <w:tc>
          <w:tcPr>
            <w:tcW w:w="180" w:type="dxa"/>
            <w:vAlign w:val="bottom"/>
          </w:tcPr>
          <w:p>
            <w:pPr>
              <w:spacing w:after="0"/>
              <w:rPr>
                <w:sz w:val="13"/>
                <w:szCs w:val="13"/>
                <w:color w:val="auto"/>
              </w:rPr>
            </w:pPr>
          </w:p>
        </w:tc>
        <w:tc>
          <w:tcPr>
            <w:tcW w:w="2260" w:type="dxa"/>
            <w:vAlign w:val="bottom"/>
            <w:gridSpan w:val="2"/>
          </w:tcPr>
          <w:p>
            <w:pPr>
              <w:jc w:val="right"/>
              <w:ind w:right="60"/>
              <w:spacing w:after="0"/>
              <w:rPr>
                <w:sz w:val="20"/>
                <w:szCs w:val="20"/>
                <w:color w:val="auto"/>
              </w:rPr>
            </w:pPr>
            <w:r>
              <w:rPr>
                <w:rFonts w:ascii="Arial" w:cs="Arial" w:eastAsia="Arial" w:hAnsi="Arial"/>
                <w:sz w:val="13"/>
                <w:szCs w:val="13"/>
                <w:color w:val="auto"/>
              </w:rPr>
              <w:t>(4,350,000)</w:t>
            </w:r>
          </w:p>
        </w:tc>
      </w:tr>
      <w:tr>
        <w:trPr>
          <w:trHeight w:val="148"/>
        </w:trPr>
        <w:tc>
          <w:tcPr>
            <w:tcW w:w="6640" w:type="dxa"/>
            <w:vAlign w:val="bottom"/>
            <w:shd w:val="clear" w:color="auto" w:fill="CCEEFF"/>
          </w:tcPr>
          <w:p>
            <w:pPr>
              <w:ind w:left="1620"/>
              <w:spacing w:after="0"/>
              <w:rPr>
                <w:sz w:val="20"/>
                <w:szCs w:val="20"/>
                <w:color w:val="auto"/>
              </w:rPr>
            </w:pPr>
            <w:r>
              <w:rPr>
                <w:rFonts w:ascii="Arial" w:cs="Arial" w:eastAsia="Arial" w:hAnsi="Arial"/>
                <w:sz w:val="13"/>
                <w:szCs w:val="13"/>
                <w:color w:val="auto"/>
              </w:rPr>
              <w:t>Net cash provided by financing activities</w:t>
            </w:r>
          </w:p>
        </w:tc>
        <w:tc>
          <w:tcPr>
            <w:tcW w:w="3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44,684,401</w:t>
            </w:r>
          </w:p>
        </w:tc>
        <w:tc>
          <w:tcPr>
            <w:tcW w:w="28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120,674,905</w:t>
            </w:r>
          </w:p>
        </w:tc>
        <w:tc>
          <w:tcPr>
            <w:tcW w:w="100" w:type="dxa"/>
            <w:vAlign w:val="bottom"/>
            <w:shd w:val="clear" w:color="auto" w:fill="CCEEFF"/>
          </w:tcPr>
          <w:p>
            <w:pPr>
              <w:spacing w:after="0"/>
              <w:rPr>
                <w:sz w:val="12"/>
                <w:szCs w:val="12"/>
                <w:color w:val="auto"/>
              </w:rPr>
            </w:pPr>
          </w:p>
        </w:tc>
      </w:tr>
      <w:tr>
        <w:trPr>
          <w:trHeight w:val="155"/>
        </w:trPr>
        <w:tc>
          <w:tcPr>
            <w:tcW w:w="6640" w:type="dxa"/>
            <w:vAlign w:val="bottom"/>
          </w:tcPr>
          <w:p>
            <w:pPr>
              <w:spacing w:after="0"/>
              <w:rPr>
                <w:sz w:val="20"/>
                <w:szCs w:val="20"/>
                <w:color w:val="auto"/>
              </w:rPr>
            </w:pPr>
            <w:r>
              <w:rPr>
                <w:rFonts w:ascii="Arial" w:cs="Arial" w:eastAsia="Arial" w:hAnsi="Arial"/>
                <w:sz w:val="13"/>
                <w:szCs w:val="13"/>
                <w:b w:val="1"/>
                <w:bCs w:val="1"/>
                <w:color w:val="auto"/>
              </w:rPr>
              <w:t>Net (decrease) increase in cash equivalents</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3"/>
                <w:szCs w:val="13"/>
                <w:color w:val="auto"/>
              </w:rPr>
              <w:t>(3,141,647)</w:t>
            </w:r>
          </w:p>
        </w:tc>
        <w:tc>
          <w:tcPr>
            <w:tcW w:w="180" w:type="dxa"/>
            <w:vAlign w:val="bottom"/>
          </w:tcPr>
          <w:p>
            <w:pPr>
              <w:spacing w:after="0"/>
              <w:rPr>
                <w:sz w:val="13"/>
                <w:szCs w:val="13"/>
                <w:color w:val="auto"/>
              </w:rPr>
            </w:pPr>
          </w:p>
        </w:tc>
        <w:tc>
          <w:tcPr>
            <w:tcW w:w="2260" w:type="dxa"/>
            <w:vAlign w:val="bottom"/>
            <w:gridSpan w:val="2"/>
          </w:tcPr>
          <w:p>
            <w:pPr>
              <w:jc w:val="right"/>
              <w:ind w:right="100"/>
              <w:spacing w:after="0"/>
              <w:rPr>
                <w:sz w:val="20"/>
                <w:szCs w:val="20"/>
                <w:color w:val="auto"/>
              </w:rPr>
            </w:pPr>
            <w:r>
              <w:rPr>
                <w:rFonts w:ascii="Arial" w:cs="Arial" w:eastAsia="Arial" w:hAnsi="Arial"/>
                <w:sz w:val="13"/>
                <w:szCs w:val="13"/>
                <w:color w:val="auto"/>
              </w:rPr>
              <w:t>6,987,450</w:t>
            </w:r>
          </w:p>
        </w:tc>
      </w:tr>
      <w:tr>
        <w:trPr>
          <w:trHeight w:val="149"/>
        </w:trPr>
        <w:tc>
          <w:tcPr>
            <w:tcW w:w="66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equivalents, beginning of period</w:t>
            </w:r>
          </w:p>
        </w:tc>
        <w:tc>
          <w:tcPr>
            <w:tcW w:w="3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6,987,450</w:t>
            </w:r>
          </w:p>
        </w:tc>
        <w:tc>
          <w:tcPr>
            <w:tcW w:w="28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r>
      <w:tr>
        <w:trPr>
          <w:trHeight w:val="148"/>
        </w:trPr>
        <w:tc>
          <w:tcPr>
            <w:tcW w:w="6640" w:type="dxa"/>
            <w:vAlign w:val="bottom"/>
          </w:tcPr>
          <w:p>
            <w:pPr>
              <w:spacing w:after="0"/>
              <w:rPr>
                <w:sz w:val="20"/>
                <w:szCs w:val="20"/>
                <w:color w:val="auto"/>
              </w:rPr>
            </w:pPr>
            <w:r>
              <w:rPr>
                <w:rFonts w:ascii="Arial" w:cs="Arial" w:eastAsia="Arial" w:hAnsi="Arial"/>
                <w:sz w:val="13"/>
                <w:szCs w:val="13"/>
                <w:b w:val="1"/>
                <w:bCs w:val="1"/>
                <w:color w:val="auto"/>
              </w:rPr>
              <w:t>Cash equivalents, end of period</w:t>
            </w:r>
          </w:p>
        </w:tc>
        <w:tc>
          <w:tcPr>
            <w:tcW w:w="460" w:type="dxa"/>
            <w:vAlign w:val="bottom"/>
            <w:gridSpan w:val="2"/>
          </w:tcPr>
          <w:p>
            <w:pPr>
              <w:jc w:val="right"/>
              <w:ind w:right="29"/>
              <w:spacing w:after="0"/>
              <w:rPr>
                <w:sz w:val="20"/>
                <w:szCs w:val="20"/>
                <w:color w:val="auto"/>
              </w:rPr>
            </w:pPr>
            <w:r>
              <w:rPr>
                <w:rFonts w:ascii="Arial" w:cs="Arial" w:eastAsia="Arial" w:hAnsi="Arial"/>
                <w:sz w:val="13"/>
                <w:szCs w:val="13"/>
                <w:color w:val="auto"/>
              </w:rPr>
              <w:t>$</w:t>
            </w:r>
          </w:p>
        </w:tc>
        <w:tc>
          <w:tcPr>
            <w:tcW w:w="1700" w:type="dxa"/>
            <w:vAlign w:val="bottom"/>
            <w:gridSpan w:val="2"/>
          </w:tcPr>
          <w:p>
            <w:pPr>
              <w:jc w:val="right"/>
              <w:ind w:right="280"/>
              <w:spacing w:after="0"/>
              <w:rPr>
                <w:sz w:val="20"/>
                <w:szCs w:val="20"/>
                <w:color w:val="auto"/>
              </w:rPr>
            </w:pPr>
            <w:r>
              <w:rPr>
                <w:rFonts w:ascii="Arial" w:cs="Arial" w:eastAsia="Arial" w:hAnsi="Arial"/>
                <w:sz w:val="13"/>
                <w:szCs w:val="13"/>
                <w:color w:val="auto"/>
              </w:rPr>
              <w:t>3,845,803</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2260" w:type="dxa"/>
            <w:vAlign w:val="bottom"/>
            <w:gridSpan w:val="2"/>
          </w:tcPr>
          <w:p>
            <w:pPr>
              <w:jc w:val="right"/>
              <w:ind w:right="100"/>
              <w:spacing w:after="0"/>
              <w:rPr>
                <w:sz w:val="20"/>
                <w:szCs w:val="20"/>
                <w:color w:val="auto"/>
              </w:rPr>
            </w:pPr>
            <w:r>
              <w:rPr>
                <w:rFonts w:ascii="Arial" w:cs="Arial" w:eastAsia="Arial" w:hAnsi="Arial"/>
                <w:sz w:val="13"/>
                <w:szCs w:val="13"/>
                <w:color w:val="auto"/>
              </w:rPr>
              <w:t>6,987,450</w:t>
            </w:r>
          </w:p>
        </w:tc>
      </w:tr>
      <w:tr>
        <w:trPr>
          <w:trHeight w:val="20"/>
        </w:trPr>
        <w:tc>
          <w:tcPr>
            <w:tcW w:w="6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6640" w:type="dxa"/>
            <w:vAlign w:val="bottom"/>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Supplemental disclosure of cash flow information:</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55"/>
        </w:trPr>
        <w:tc>
          <w:tcPr>
            <w:tcW w:w="6640" w:type="dxa"/>
            <w:vAlign w:val="bottom"/>
          </w:tcPr>
          <w:p>
            <w:pPr>
              <w:ind w:left="540"/>
              <w:spacing w:after="0"/>
              <w:rPr>
                <w:sz w:val="20"/>
                <w:szCs w:val="20"/>
                <w:color w:val="auto"/>
              </w:rPr>
            </w:pPr>
            <w:r>
              <w:rPr>
                <w:rFonts w:ascii="Arial" w:cs="Arial" w:eastAsia="Arial" w:hAnsi="Arial"/>
                <w:sz w:val="13"/>
                <w:szCs w:val="13"/>
                <w:color w:val="auto"/>
              </w:rPr>
              <w:t>Interest paid</w:t>
            </w:r>
          </w:p>
        </w:tc>
        <w:tc>
          <w:tcPr>
            <w:tcW w:w="320" w:type="dxa"/>
            <w:vAlign w:val="bottom"/>
          </w:tcPr>
          <w:p>
            <w:pPr>
              <w:spacing w:after="0"/>
              <w:rPr>
                <w:sz w:val="13"/>
                <w:szCs w:val="13"/>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1,471,035</w:t>
            </w:r>
          </w:p>
        </w:tc>
        <w:tc>
          <w:tcPr>
            <w:tcW w:w="280" w:type="dxa"/>
            <w:vAlign w:val="bottom"/>
          </w:tcPr>
          <w:p>
            <w:pPr>
              <w:spacing w:after="0"/>
              <w:rPr>
                <w:sz w:val="13"/>
                <w:szCs w:val="13"/>
                <w:color w:val="auto"/>
              </w:rPr>
            </w:pPr>
          </w:p>
        </w:tc>
        <w:tc>
          <w:tcPr>
            <w:tcW w:w="1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5,556</w:t>
            </w:r>
          </w:p>
        </w:tc>
        <w:tc>
          <w:tcPr>
            <w:tcW w:w="100" w:type="dxa"/>
            <w:vAlign w:val="bottom"/>
          </w:tcPr>
          <w:p>
            <w:pPr>
              <w:spacing w:after="0"/>
              <w:rPr>
                <w:sz w:val="13"/>
                <w:szCs w:val="13"/>
                <w:color w:val="auto"/>
              </w:rPr>
            </w:pPr>
          </w:p>
        </w:tc>
      </w:tr>
      <w:tr>
        <w:trPr>
          <w:trHeight w:val="149"/>
        </w:trPr>
        <w:tc>
          <w:tcPr>
            <w:tcW w:w="6640" w:type="dxa"/>
            <w:vAlign w:val="bottom"/>
            <w:shd w:val="clear" w:color="auto" w:fill="CCEEFF"/>
          </w:tcPr>
          <w:p>
            <w:pPr>
              <w:ind w:left="540"/>
              <w:spacing w:after="0"/>
              <w:rPr>
                <w:sz w:val="20"/>
                <w:szCs w:val="20"/>
                <w:color w:val="auto"/>
              </w:rPr>
            </w:pPr>
            <w:r>
              <w:rPr>
                <w:rFonts w:ascii="Arial" w:cs="Arial" w:eastAsia="Arial" w:hAnsi="Arial"/>
                <w:sz w:val="13"/>
                <w:szCs w:val="13"/>
                <w:color w:val="auto"/>
              </w:rPr>
              <w:t>Taxes paid</w:t>
            </w:r>
          </w:p>
        </w:tc>
        <w:tc>
          <w:tcPr>
            <w:tcW w:w="3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3,952</w:t>
            </w:r>
          </w:p>
        </w:tc>
        <w:tc>
          <w:tcPr>
            <w:tcW w:w="2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59</w:t>
      </w:r>
    </w:p>
    <w:p>
      <w:pPr>
        <w:sectPr>
          <w:pgSz w:w="11900" w:h="16838" w:orient="portrait"/>
          <w:cols w:equalWidth="0" w:num="1">
            <w:col w:w="11240"/>
          </w:cols>
          <w:pgMar w:left="320" w:top="459" w:right="3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SCHEDULE OF INVESTMENTS</w:t>
      </w:r>
    </w:p>
    <w:p>
      <w:pPr>
        <w:jc w:val="center"/>
        <w:spacing w:after="0"/>
        <w:rPr>
          <w:sz w:val="20"/>
          <w:szCs w:val="20"/>
          <w:color w:val="auto"/>
        </w:rPr>
      </w:pPr>
      <w:r>
        <w:rPr>
          <w:rFonts w:ascii="Arial" w:cs="Arial" w:eastAsia="Arial" w:hAnsi="Arial"/>
          <w:sz w:val="13"/>
          <w:szCs w:val="13"/>
          <w:b w:val="1"/>
          <w:bCs w:val="1"/>
          <w:color w:val="auto"/>
        </w:rPr>
        <w:t>SEPTEMBER 30, 2012</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0"/>
              </w:rPr>
              <w:t>Basis Point</w:t>
            </w: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0"/>
              </w:rPr>
              <w:t>Spread</w:t>
            </w: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18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1420" w:type="dxa"/>
            <w:vAlign w:val="bottom"/>
            <w:vMerge w:val="restart"/>
          </w:tcPr>
          <w:p>
            <w:pPr>
              <w:jc w:val="center"/>
              <w:ind w:left="513"/>
              <w:spacing w:after="0"/>
              <w:rPr>
                <w:sz w:val="20"/>
                <w:szCs w:val="20"/>
                <w:color w:val="auto"/>
              </w:rPr>
            </w:pPr>
            <w:r>
              <w:rPr>
                <w:rFonts w:ascii="Arial" w:cs="Arial" w:eastAsia="Arial" w:hAnsi="Arial"/>
                <w:sz w:val="13"/>
                <w:szCs w:val="13"/>
                <w:b w:val="1"/>
                <w:bCs w:val="1"/>
                <w:color w:val="auto"/>
              </w:rPr>
              <w:t>Maturity</w:t>
            </w:r>
          </w:p>
        </w:tc>
        <w:tc>
          <w:tcPr>
            <w:tcW w:w="21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1000" w:type="dxa"/>
            <w:vAlign w:val="bottom"/>
          </w:tcPr>
          <w:p>
            <w:pPr>
              <w:ind w:left="140"/>
              <w:spacing w:after="0"/>
              <w:rPr>
                <w:sz w:val="20"/>
                <w:szCs w:val="20"/>
                <w:color w:val="auto"/>
              </w:rPr>
            </w:pPr>
            <w:r>
              <w:rPr>
                <w:rFonts w:ascii="Arial" w:cs="Arial" w:eastAsia="Arial" w:hAnsi="Arial"/>
                <w:sz w:val="13"/>
                <w:szCs w:val="13"/>
                <w:b w:val="1"/>
                <w:bCs w:val="1"/>
                <w:color w:val="auto"/>
              </w:rPr>
              <w:t>Current</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0"/>
              </w:rPr>
              <w:t>Above</w:t>
            </w:r>
          </w:p>
        </w:tc>
        <w:tc>
          <w:tcPr>
            <w:tcW w:w="800" w:type="dxa"/>
            <w:vAlign w:val="bottom"/>
          </w:tcPr>
          <w:p>
            <w:pPr>
              <w:jc w:val="right"/>
              <w:ind w:right="213"/>
              <w:spacing w:after="0"/>
              <w:rPr>
                <w:sz w:val="20"/>
                <w:szCs w:val="20"/>
                <w:color w:val="auto"/>
              </w:rPr>
            </w:pPr>
            <w:r>
              <w:rPr>
                <w:rFonts w:ascii="Arial" w:cs="Arial" w:eastAsia="Arial" w:hAnsi="Arial"/>
                <w:sz w:val="13"/>
                <w:szCs w:val="13"/>
                <w:b w:val="1"/>
                <w:bCs w:val="1"/>
                <w:color w:val="auto"/>
              </w:rPr>
              <w:t>Par/</w:t>
            </w:r>
          </w:p>
        </w:tc>
        <w:tc>
          <w:tcPr>
            <w:tcW w:w="860" w:type="dxa"/>
            <w:vAlign w:val="bottom"/>
            <w:vMerge w:val="restart"/>
          </w:tcPr>
          <w:p>
            <w:pPr>
              <w:jc w:val="right"/>
              <w:ind w:right="233"/>
              <w:spacing w:after="0"/>
              <w:rPr>
                <w:sz w:val="20"/>
                <w:szCs w:val="20"/>
                <w:color w:val="auto"/>
              </w:rPr>
            </w:pPr>
            <w:r>
              <w:rPr>
                <w:rFonts w:ascii="Arial" w:cs="Arial" w:eastAsia="Arial" w:hAnsi="Arial"/>
                <w:sz w:val="13"/>
                <w:szCs w:val="13"/>
                <w:b w:val="1"/>
                <w:bCs w:val="1"/>
                <w:color w:val="auto"/>
              </w:rPr>
              <w:t>Cost</w:t>
            </w:r>
          </w:p>
        </w:tc>
        <w:tc>
          <w:tcPr>
            <w:tcW w:w="9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6"/>
              </w:rPr>
              <w:t>Fair Value</w:t>
            </w:r>
          </w:p>
        </w:tc>
        <w:tc>
          <w:tcPr>
            <w:tcW w:w="0" w:type="dxa"/>
            <w:vAlign w:val="bottom"/>
          </w:tcPr>
          <w:p>
            <w:pPr>
              <w:spacing w:after="0"/>
              <w:rPr>
                <w:sz w:val="1"/>
                <w:szCs w:val="1"/>
                <w:color w:val="auto"/>
              </w:rPr>
            </w:pPr>
          </w:p>
        </w:tc>
      </w:tr>
      <w:tr>
        <w:trPr>
          <w:trHeight w:val="148"/>
        </w:trPr>
        <w:tc>
          <w:tcPr>
            <w:tcW w:w="3180" w:type="dxa"/>
            <w:vAlign w:val="bottom"/>
            <w:tcBorders>
              <w:bottom w:val="single" w:sz="8" w:color="auto"/>
            </w:tcBorders>
            <w:vMerge w:val="continue"/>
          </w:tcPr>
          <w:p>
            <w:pPr>
              <w:spacing w:after="0"/>
              <w:rPr>
                <w:sz w:val="12"/>
                <w:szCs w:val="12"/>
                <w:color w:val="auto"/>
              </w:rPr>
            </w:pPr>
          </w:p>
        </w:tc>
        <w:tc>
          <w:tcPr>
            <w:tcW w:w="1420" w:type="dxa"/>
            <w:vAlign w:val="bottom"/>
            <w:tcBorders>
              <w:bottom w:val="single" w:sz="8" w:color="auto"/>
            </w:tcBorders>
            <w:vMerge w:val="continue"/>
          </w:tcPr>
          <w:p>
            <w:pPr>
              <w:spacing w:after="0"/>
              <w:rPr>
                <w:sz w:val="12"/>
                <w:szCs w:val="12"/>
                <w:color w:val="auto"/>
              </w:rPr>
            </w:pPr>
          </w:p>
        </w:tc>
        <w:tc>
          <w:tcPr>
            <w:tcW w:w="2120" w:type="dxa"/>
            <w:vAlign w:val="bottom"/>
            <w:tcBorders>
              <w:bottom w:val="single" w:sz="8" w:color="auto"/>
            </w:tcBorders>
            <w:vMerge w:val="continue"/>
          </w:tcPr>
          <w:p>
            <w:pPr>
              <w:spacing w:after="0"/>
              <w:rPr>
                <w:sz w:val="12"/>
                <w:szCs w:val="12"/>
                <w:color w:val="auto"/>
              </w:rPr>
            </w:pPr>
          </w:p>
        </w:tc>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Coupon</w:t>
            </w:r>
          </w:p>
        </w:tc>
        <w:tc>
          <w:tcPr>
            <w:tcW w:w="88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(1)</w:t>
            </w:r>
          </w:p>
        </w:tc>
        <w:tc>
          <w:tcPr>
            <w:tcW w:w="80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Shares</w:t>
            </w:r>
          </w:p>
        </w:tc>
        <w:tc>
          <w:tcPr>
            <w:tcW w:w="860" w:type="dxa"/>
            <w:vAlign w:val="bottom"/>
            <w:tcBorders>
              <w:bottom w:val="single" w:sz="8" w:color="auto"/>
            </w:tcBorders>
            <w:vMerge w:val="continue"/>
          </w:tcPr>
          <w:p>
            <w:pPr>
              <w:spacing w:after="0"/>
              <w:rPr>
                <w:sz w:val="12"/>
                <w:szCs w:val="12"/>
                <w:color w:val="auto"/>
              </w:rPr>
            </w:pPr>
          </w:p>
        </w:tc>
        <w:tc>
          <w:tcPr>
            <w:tcW w:w="760" w:type="dxa"/>
            <w:vAlign w:val="bottom"/>
            <w:tcBorders>
              <w:bottom w:val="single" w:sz="8" w:color="auto"/>
            </w:tcBorders>
          </w:tcPr>
          <w:p>
            <w:pPr>
              <w:jc w:val="right"/>
              <w:ind w:right="193"/>
              <w:spacing w:after="0"/>
              <w:rPr>
                <w:sz w:val="20"/>
                <w:szCs w:val="20"/>
                <w:color w:val="auto"/>
              </w:rPr>
            </w:pPr>
            <w:r>
              <w:rPr>
                <w:rFonts w:ascii="Arial" w:cs="Arial" w:eastAsia="Arial" w:hAnsi="Arial"/>
                <w:sz w:val="11"/>
                <w:szCs w:val="11"/>
                <w:b w:val="1"/>
                <w:bCs w:val="1"/>
                <w:color w:val="auto"/>
              </w:rPr>
              <w:t>(2)</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720" w:type="dxa"/>
            <w:vAlign w:val="bottom"/>
            <w:gridSpan w:val="3"/>
            <w:shd w:val="clear" w:color="auto" w:fill="CCEEFF"/>
          </w:tcPr>
          <w:p>
            <w:pPr>
              <w:spacing w:after="0" w:line="129" w:lineRule="exact"/>
              <w:rPr>
                <w:sz w:val="20"/>
                <w:szCs w:val="20"/>
                <w:color w:val="auto"/>
              </w:rPr>
            </w:pPr>
            <w:r>
              <w:rPr>
                <w:rFonts w:ascii="Arial" w:cs="Arial" w:eastAsia="Arial" w:hAnsi="Arial"/>
                <w:sz w:val="9"/>
                <w:szCs w:val="9"/>
                <w:b w:val="1"/>
                <w:bCs w:val="1"/>
                <w:color w:val="auto"/>
              </w:rPr>
              <w:t>Investments in Non-Controlled, Non-Affiliated Portfolio Companies—179.5%</w:t>
            </w:r>
            <w:r>
              <w:rPr>
                <w:rFonts w:ascii="Arial" w:cs="Arial" w:eastAsia="Arial" w:hAnsi="Arial"/>
                <w:sz w:val="14"/>
                <w:szCs w:val="14"/>
                <w:b w:val="1"/>
                <w:bCs w:val="1"/>
                <w:color w:val="auto"/>
                <w:vertAlign w:val="superscript"/>
              </w:rPr>
              <w:t>(3),(4)</w:t>
            </w:r>
          </w:p>
        </w:tc>
        <w:tc>
          <w:tcPr>
            <w:tcW w:w="10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1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First Lien Secured Debt—156.9%</w:t>
            </w:r>
          </w:p>
        </w:tc>
        <w:tc>
          <w:tcPr>
            <w:tcW w:w="142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3"/>
                <w:szCs w:val="13"/>
                <w:color w:val="auto"/>
              </w:rPr>
              <w:t>Airvana Network Solutions Inc.</w:t>
            </w:r>
          </w:p>
        </w:tc>
        <w:tc>
          <w:tcPr>
            <w:tcW w:w="1420" w:type="dxa"/>
            <w:vAlign w:val="bottom"/>
          </w:tcPr>
          <w:p>
            <w:pPr>
              <w:jc w:val="center"/>
              <w:ind w:left="513"/>
              <w:spacing w:after="0"/>
              <w:rPr>
                <w:sz w:val="20"/>
                <w:szCs w:val="20"/>
                <w:color w:val="auto"/>
              </w:rPr>
            </w:pPr>
            <w:r>
              <w:rPr>
                <w:rFonts w:ascii="Arial" w:cs="Arial" w:eastAsia="Arial" w:hAnsi="Arial"/>
                <w:sz w:val="13"/>
                <w:szCs w:val="13"/>
                <w:color w:val="auto"/>
                <w:w w:val="92"/>
              </w:rPr>
              <w:t>03/25/2015</w:t>
            </w:r>
          </w:p>
        </w:tc>
        <w:tc>
          <w:tcPr>
            <w:tcW w:w="2120" w:type="dxa"/>
            <w:vAlign w:val="bottom"/>
          </w:tcPr>
          <w:p>
            <w:pPr>
              <w:jc w:val="center"/>
              <w:spacing w:after="0"/>
              <w:rPr>
                <w:sz w:val="20"/>
                <w:szCs w:val="20"/>
                <w:color w:val="auto"/>
              </w:rPr>
            </w:pPr>
            <w:r>
              <w:rPr>
                <w:rFonts w:ascii="Arial" w:cs="Arial" w:eastAsia="Arial" w:hAnsi="Arial"/>
                <w:sz w:val="13"/>
                <w:szCs w:val="13"/>
                <w:color w:val="auto"/>
                <w:w w:val="93"/>
              </w:rPr>
              <w:t>Telecommunications</w:t>
            </w:r>
          </w:p>
        </w:tc>
        <w:tc>
          <w:tcPr>
            <w:tcW w:w="1000" w:type="dxa"/>
            <w:vAlign w:val="bottom"/>
          </w:tcPr>
          <w:p>
            <w:pPr>
              <w:jc w:val="right"/>
              <w:ind w:right="153"/>
              <w:spacing w:after="0"/>
              <w:rPr>
                <w:sz w:val="20"/>
                <w:szCs w:val="20"/>
                <w:color w:val="auto"/>
              </w:rPr>
            </w:pPr>
            <w:r>
              <w:rPr>
                <w:rFonts w:ascii="Arial" w:cs="Arial" w:eastAsia="Arial" w:hAnsi="Arial"/>
                <w:sz w:val="13"/>
                <w:szCs w:val="13"/>
                <w:color w:val="auto"/>
              </w:rPr>
              <w:t>10.00%</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L+800</w:t>
            </w: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214,286</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  214,838</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  214,018</w:t>
            </w:r>
          </w:p>
        </w:tc>
        <w:tc>
          <w:tcPr>
            <w:tcW w:w="0" w:type="dxa"/>
            <w:vAlign w:val="bottom"/>
          </w:tcPr>
          <w:p>
            <w:pPr>
              <w:spacing w:after="0"/>
              <w:rPr>
                <w:sz w:val="1"/>
                <w:szCs w:val="1"/>
                <w:color w:val="auto"/>
              </w:rPr>
            </w:pPr>
          </w:p>
        </w:tc>
      </w:tr>
      <w:tr>
        <w:trPr>
          <w:trHeight w:val="138"/>
        </w:trPr>
        <w:tc>
          <w:tcPr>
            <w:tcW w:w="31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Archipelago Learning, Inc.</w:t>
            </w:r>
          </w:p>
        </w:tc>
        <w:tc>
          <w:tcPr>
            <w:tcW w:w="1420" w:type="dxa"/>
            <w:vAlign w:val="bottom"/>
            <w:shd w:val="clear" w:color="auto" w:fill="CCEEFF"/>
          </w:tcPr>
          <w:p>
            <w:pPr>
              <w:jc w:val="center"/>
              <w:ind w:left="513"/>
              <w:spacing w:after="0" w:line="138" w:lineRule="exact"/>
              <w:rPr>
                <w:sz w:val="20"/>
                <w:szCs w:val="20"/>
                <w:color w:val="auto"/>
              </w:rPr>
            </w:pPr>
            <w:r>
              <w:rPr>
                <w:rFonts w:ascii="Arial" w:cs="Arial" w:eastAsia="Arial" w:hAnsi="Arial"/>
                <w:sz w:val="13"/>
                <w:szCs w:val="13"/>
                <w:color w:val="auto"/>
                <w:w w:val="92"/>
              </w:rPr>
              <w:t>05/17/2018</w:t>
            </w:r>
          </w:p>
        </w:tc>
        <w:tc>
          <w:tcPr>
            <w:tcW w:w="21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4"/>
              </w:rPr>
              <w:t>Media, Broadcasting and</w:t>
            </w:r>
          </w:p>
        </w:tc>
        <w:tc>
          <w:tcPr>
            <w:tcW w:w="1000" w:type="dxa"/>
            <w:vAlign w:val="bottom"/>
            <w:shd w:val="clear" w:color="auto" w:fill="CCEEFF"/>
          </w:tcPr>
          <w:p>
            <w:pPr>
              <w:jc w:val="right"/>
              <w:ind w:right="153"/>
              <w:spacing w:after="0" w:line="138" w:lineRule="exact"/>
              <w:rPr>
                <w:sz w:val="20"/>
                <w:szCs w:val="20"/>
                <w:color w:val="auto"/>
              </w:rPr>
            </w:pPr>
            <w:r>
              <w:rPr>
                <w:rFonts w:ascii="Arial" w:cs="Arial" w:eastAsia="Arial" w:hAnsi="Arial"/>
                <w:sz w:val="13"/>
                <w:szCs w:val="13"/>
                <w:color w:val="auto"/>
              </w:rPr>
              <w:t>7.50%</w:t>
            </w:r>
          </w:p>
        </w:tc>
        <w:tc>
          <w:tcPr>
            <w:tcW w:w="880" w:type="dxa"/>
            <w:vAlign w:val="bottom"/>
            <w:shd w:val="clear" w:color="auto" w:fill="CCEEFF"/>
          </w:tcPr>
          <w:p>
            <w:pPr>
              <w:jc w:val="right"/>
              <w:ind w:right="73"/>
              <w:spacing w:after="0" w:line="138" w:lineRule="exact"/>
              <w:rPr>
                <w:sz w:val="20"/>
                <w:szCs w:val="20"/>
                <w:color w:val="auto"/>
              </w:rPr>
            </w:pPr>
            <w:r>
              <w:rPr>
                <w:rFonts w:ascii="Arial" w:cs="Arial" w:eastAsia="Arial" w:hAnsi="Arial"/>
                <w:sz w:val="13"/>
                <w:szCs w:val="13"/>
                <w:color w:val="auto"/>
              </w:rPr>
              <w:t>L+600</w:t>
            </w:r>
          </w:p>
        </w:tc>
        <w:tc>
          <w:tcPr>
            <w:tcW w:w="800" w:type="dxa"/>
            <w:vAlign w:val="bottom"/>
            <w:shd w:val="clear" w:color="auto" w:fill="CCEEFF"/>
          </w:tcPr>
          <w:p>
            <w:pPr>
              <w:jc w:val="right"/>
              <w:ind w:right="53"/>
              <w:spacing w:after="0" w:line="138" w:lineRule="exact"/>
              <w:rPr>
                <w:sz w:val="20"/>
                <w:szCs w:val="20"/>
                <w:color w:val="auto"/>
              </w:rPr>
            </w:pPr>
            <w:r>
              <w:rPr>
                <w:rFonts w:ascii="Arial" w:cs="Arial" w:eastAsia="Arial" w:hAnsi="Arial"/>
                <w:sz w:val="13"/>
                <w:szCs w:val="13"/>
                <w:color w:val="auto"/>
              </w:rPr>
              <w:t>987,500</w:t>
            </w:r>
          </w:p>
        </w:tc>
        <w:tc>
          <w:tcPr>
            <w:tcW w:w="860" w:type="dxa"/>
            <w:vAlign w:val="bottom"/>
            <w:shd w:val="clear" w:color="auto" w:fill="CCEEFF"/>
          </w:tcPr>
          <w:p>
            <w:pPr>
              <w:jc w:val="right"/>
              <w:ind w:right="53"/>
              <w:spacing w:after="0" w:line="138" w:lineRule="exact"/>
              <w:rPr>
                <w:sz w:val="20"/>
                <w:szCs w:val="20"/>
                <w:color w:val="auto"/>
              </w:rPr>
            </w:pPr>
            <w:r>
              <w:rPr>
                <w:rFonts w:ascii="Arial" w:cs="Arial" w:eastAsia="Arial" w:hAnsi="Arial"/>
                <w:sz w:val="13"/>
                <w:szCs w:val="13"/>
                <w:color w:val="auto"/>
              </w:rPr>
              <w:t>959,574</w:t>
            </w:r>
          </w:p>
        </w:tc>
        <w:tc>
          <w:tcPr>
            <w:tcW w:w="98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987,500</w:t>
            </w:r>
          </w:p>
        </w:tc>
        <w:tc>
          <w:tcPr>
            <w:tcW w:w="0" w:type="dxa"/>
            <w:vAlign w:val="bottom"/>
          </w:tcPr>
          <w:p>
            <w:pPr>
              <w:spacing w:after="0"/>
              <w:rPr>
                <w:sz w:val="1"/>
                <w:szCs w:val="1"/>
                <w:color w:val="auto"/>
              </w:rPr>
            </w:pPr>
          </w:p>
        </w:tc>
      </w:tr>
      <w:tr>
        <w:trPr>
          <w:trHeight w:val="159"/>
        </w:trPr>
        <w:tc>
          <w:tcPr>
            <w:tcW w:w="31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Subscription</w:t>
            </w:r>
          </w:p>
        </w:tc>
        <w:tc>
          <w:tcPr>
            <w:tcW w:w="10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3"/>
                <w:szCs w:val="13"/>
                <w:color w:val="auto"/>
              </w:rPr>
              <w:t>Aspen Dental Management, Inc.</w:t>
            </w:r>
          </w:p>
        </w:tc>
        <w:tc>
          <w:tcPr>
            <w:tcW w:w="1420" w:type="dxa"/>
            <w:vAlign w:val="bottom"/>
          </w:tcPr>
          <w:p>
            <w:pPr>
              <w:jc w:val="center"/>
              <w:ind w:left="513"/>
              <w:spacing w:after="0"/>
              <w:rPr>
                <w:sz w:val="20"/>
                <w:szCs w:val="20"/>
                <w:color w:val="auto"/>
              </w:rPr>
            </w:pPr>
            <w:r>
              <w:rPr>
                <w:rFonts w:ascii="Arial" w:cs="Arial" w:eastAsia="Arial" w:hAnsi="Arial"/>
                <w:sz w:val="13"/>
                <w:szCs w:val="13"/>
                <w:color w:val="auto"/>
                <w:w w:val="92"/>
              </w:rPr>
              <w:t>10/06/2016</w:t>
            </w:r>
          </w:p>
        </w:tc>
        <w:tc>
          <w:tcPr>
            <w:tcW w:w="2120" w:type="dxa"/>
            <w:vAlign w:val="bottom"/>
          </w:tcPr>
          <w:p>
            <w:pPr>
              <w:jc w:val="center"/>
              <w:spacing w:after="0"/>
              <w:rPr>
                <w:sz w:val="20"/>
                <w:szCs w:val="20"/>
                <w:color w:val="auto"/>
              </w:rPr>
            </w:pPr>
            <w:r>
              <w:rPr>
                <w:rFonts w:ascii="Arial" w:cs="Arial" w:eastAsia="Arial" w:hAnsi="Arial"/>
                <w:sz w:val="13"/>
                <w:szCs w:val="13"/>
                <w:color w:val="auto"/>
                <w:w w:val="91"/>
              </w:rPr>
              <w:t>Consumer Services</w:t>
            </w:r>
          </w:p>
        </w:tc>
        <w:tc>
          <w:tcPr>
            <w:tcW w:w="1000" w:type="dxa"/>
            <w:vAlign w:val="bottom"/>
          </w:tcPr>
          <w:p>
            <w:pPr>
              <w:jc w:val="right"/>
              <w:ind w:right="153"/>
              <w:spacing w:after="0"/>
              <w:rPr>
                <w:sz w:val="20"/>
                <w:szCs w:val="20"/>
                <w:color w:val="auto"/>
              </w:rPr>
            </w:pPr>
            <w:r>
              <w:rPr>
                <w:rFonts w:ascii="Arial" w:cs="Arial" w:eastAsia="Arial" w:hAnsi="Arial"/>
                <w:sz w:val="13"/>
                <w:szCs w:val="13"/>
                <w:color w:val="auto"/>
              </w:rPr>
              <w:t>7.00%</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L+550</w:t>
            </w: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2,977,500</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2,937,079</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2,962,613</w:t>
            </w:r>
          </w:p>
        </w:tc>
        <w:tc>
          <w:tcPr>
            <w:tcW w:w="0" w:type="dxa"/>
            <w:vAlign w:val="bottom"/>
          </w:tcPr>
          <w:p>
            <w:pPr>
              <w:spacing w:after="0"/>
              <w:rPr>
                <w:sz w:val="1"/>
                <w:szCs w:val="1"/>
                <w:color w:val="auto"/>
              </w:rPr>
            </w:pPr>
          </w:p>
        </w:tc>
      </w:tr>
      <w:tr>
        <w:trPr>
          <w:trHeight w:val="148"/>
        </w:trPr>
        <w:tc>
          <w:tcPr>
            <w:tcW w:w="3180" w:type="dxa"/>
            <w:vAlign w:val="bottom"/>
            <w:shd w:val="clear" w:color="auto" w:fill="CCEEFF"/>
          </w:tcPr>
          <w:p>
            <w:pPr>
              <w:spacing w:after="0"/>
              <w:rPr>
                <w:sz w:val="20"/>
                <w:szCs w:val="20"/>
                <w:color w:val="auto"/>
              </w:rPr>
            </w:pPr>
            <w:r>
              <w:rPr>
                <w:rFonts w:ascii="Arial" w:cs="Arial" w:eastAsia="Arial" w:hAnsi="Arial"/>
                <w:sz w:val="13"/>
                <w:szCs w:val="13"/>
                <w:color w:val="auto"/>
              </w:rPr>
              <w:t>Attachmate Corporation</w:t>
            </w:r>
          </w:p>
        </w:tc>
        <w:tc>
          <w:tcPr>
            <w:tcW w:w="1420" w:type="dxa"/>
            <w:vAlign w:val="bottom"/>
            <w:shd w:val="clear" w:color="auto" w:fill="CCEEFF"/>
          </w:tcPr>
          <w:p>
            <w:pPr>
              <w:jc w:val="center"/>
              <w:ind w:left="513"/>
              <w:spacing w:after="0"/>
              <w:rPr>
                <w:sz w:val="20"/>
                <w:szCs w:val="20"/>
                <w:color w:val="auto"/>
              </w:rPr>
            </w:pPr>
            <w:r>
              <w:rPr>
                <w:rFonts w:ascii="Arial" w:cs="Arial" w:eastAsia="Arial" w:hAnsi="Arial"/>
                <w:sz w:val="13"/>
                <w:szCs w:val="13"/>
                <w:color w:val="auto"/>
                <w:w w:val="92"/>
              </w:rPr>
              <w:t>11/22/2017</w:t>
            </w:r>
          </w:p>
        </w:tc>
        <w:tc>
          <w:tcPr>
            <w:tcW w:w="2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High Tech Industries</w:t>
            </w:r>
          </w:p>
        </w:tc>
        <w:tc>
          <w:tcPr>
            <w:tcW w:w="10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7.25%</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L+575</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2,943,750</w:t>
            </w: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2,888,381</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2,960,309</w:t>
            </w:r>
          </w:p>
        </w:tc>
        <w:tc>
          <w:tcPr>
            <w:tcW w:w="0" w:type="dxa"/>
            <w:vAlign w:val="bottom"/>
          </w:tcPr>
          <w:p>
            <w:pPr>
              <w:spacing w:after="0"/>
              <w:rPr>
                <w:sz w:val="1"/>
                <w:szCs w:val="1"/>
                <w:color w:val="auto"/>
              </w:rPr>
            </w:pPr>
          </w:p>
        </w:tc>
      </w:tr>
      <w:tr>
        <w:trPr>
          <w:trHeight w:val="149"/>
        </w:trPr>
        <w:tc>
          <w:tcPr>
            <w:tcW w:w="3180" w:type="dxa"/>
            <w:vAlign w:val="bottom"/>
          </w:tcPr>
          <w:p>
            <w:pPr>
              <w:spacing w:after="0"/>
              <w:rPr>
                <w:sz w:val="20"/>
                <w:szCs w:val="20"/>
                <w:color w:val="auto"/>
              </w:rPr>
            </w:pPr>
            <w:r>
              <w:rPr>
                <w:rFonts w:ascii="Arial" w:cs="Arial" w:eastAsia="Arial" w:hAnsi="Arial"/>
                <w:sz w:val="13"/>
                <w:szCs w:val="13"/>
                <w:color w:val="auto"/>
              </w:rPr>
              <w:t>Autoparts Holdings Limited</w:t>
            </w:r>
          </w:p>
        </w:tc>
        <w:tc>
          <w:tcPr>
            <w:tcW w:w="1420" w:type="dxa"/>
            <w:vAlign w:val="bottom"/>
          </w:tcPr>
          <w:p>
            <w:pPr>
              <w:jc w:val="center"/>
              <w:ind w:left="513"/>
              <w:spacing w:after="0"/>
              <w:rPr>
                <w:sz w:val="20"/>
                <w:szCs w:val="20"/>
                <w:color w:val="auto"/>
              </w:rPr>
            </w:pPr>
            <w:r>
              <w:rPr>
                <w:rFonts w:ascii="Arial" w:cs="Arial" w:eastAsia="Arial" w:hAnsi="Arial"/>
                <w:sz w:val="13"/>
                <w:szCs w:val="13"/>
                <w:color w:val="auto"/>
                <w:w w:val="92"/>
              </w:rPr>
              <w:t>07/28/2017</w:t>
            </w:r>
          </w:p>
        </w:tc>
        <w:tc>
          <w:tcPr>
            <w:tcW w:w="2120" w:type="dxa"/>
            <w:vAlign w:val="bottom"/>
          </w:tcPr>
          <w:p>
            <w:pPr>
              <w:jc w:val="center"/>
              <w:spacing w:after="0"/>
              <w:rPr>
                <w:sz w:val="20"/>
                <w:szCs w:val="20"/>
                <w:color w:val="auto"/>
              </w:rPr>
            </w:pPr>
            <w:r>
              <w:rPr>
                <w:rFonts w:ascii="Arial" w:cs="Arial" w:eastAsia="Arial" w:hAnsi="Arial"/>
                <w:sz w:val="13"/>
                <w:szCs w:val="13"/>
                <w:color w:val="auto"/>
                <w:w w:val="98"/>
              </w:rPr>
              <w:t>Automotive</w:t>
            </w:r>
          </w:p>
        </w:tc>
        <w:tc>
          <w:tcPr>
            <w:tcW w:w="1000" w:type="dxa"/>
            <w:vAlign w:val="bottom"/>
          </w:tcPr>
          <w:p>
            <w:pPr>
              <w:jc w:val="right"/>
              <w:ind w:right="153"/>
              <w:spacing w:after="0"/>
              <w:rPr>
                <w:sz w:val="20"/>
                <w:szCs w:val="20"/>
                <w:color w:val="auto"/>
              </w:rPr>
            </w:pPr>
            <w:r>
              <w:rPr>
                <w:rFonts w:ascii="Arial" w:cs="Arial" w:eastAsia="Arial" w:hAnsi="Arial"/>
                <w:sz w:val="13"/>
                <w:szCs w:val="13"/>
                <w:color w:val="auto"/>
              </w:rPr>
              <w:t>6.50%</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L+500</w:t>
            </w: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990,000</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985,747</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987,525</w:t>
            </w:r>
          </w:p>
        </w:tc>
        <w:tc>
          <w:tcPr>
            <w:tcW w:w="0" w:type="dxa"/>
            <w:vAlign w:val="bottom"/>
          </w:tcPr>
          <w:p>
            <w:pPr>
              <w:spacing w:after="0"/>
              <w:rPr>
                <w:sz w:val="1"/>
                <w:szCs w:val="1"/>
                <w:color w:val="auto"/>
              </w:rPr>
            </w:pPr>
          </w:p>
        </w:tc>
      </w:tr>
      <w:tr>
        <w:trPr>
          <w:trHeight w:val="148"/>
        </w:trPr>
        <w:tc>
          <w:tcPr>
            <w:tcW w:w="3180" w:type="dxa"/>
            <w:vAlign w:val="bottom"/>
            <w:shd w:val="clear" w:color="auto" w:fill="CCEEFF"/>
          </w:tcPr>
          <w:p>
            <w:pPr>
              <w:spacing w:after="0"/>
              <w:rPr>
                <w:sz w:val="20"/>
                <w:szCs w:val="20"/>
                <w:color w:val="auto"/>
              </w:rPr>
            </w:pPr>
            <w:r>
              <w:rPr>
                <w:rFonts w:ascii="Arial" w:cs="Arial" w:eastAsia="Arial" w:hAnsi="Arial"/>
                <w:sz w:val="13"/>
                <w:szCs w:val="13"/>
                <w:color w:val="auto"/>
              </w:rPr>
              <w:t>Blue Coat Systems, Inc.</w:t>
            </w:r>
          </w:p>
        </w:tc>
        <w:tc>
          <w:tcPr>
            <w:tcW w:w="1420" w:type="dxa"/>
            <w:vAlign w:val="bottom"/>
            <w:shd w:val="clear" w:color="auto" w:fill="CCEEFF"/>
          </w:tcPr>
          <w:p>
            <w:pPr>
              <w:jc w:val="center"/>
              <w:ind w:left="513"/>
              <w:spacing w:after="0"/>
              <w:rPr>
                <w:sz w:val="20"/>
                <w:szCs w:val="20"/>
                <w:color w:val="auto"/>
              </w:rPr>
            </w:pPr>
            <w:r>
              <w:rPr>
                <w:rFonts w:ascii="Arial" w:cs="Arial" w:eastAsia="Arial" w:hAnsi="Arial"/>
                <w:sz w:val="13"/>
                <w:szCs w:val="13"/>
                <w:color w:val="auto"/>
                <w:w w:val="92"/>
              </w:rPr>
              <w:t>02/15/2018</w:t>
            </w:r>
          </w:p>
        </w:tc>
        <w:tc>
          <w:tcPr>
            <w:tcW w:w="2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High Tech Industries</w:t>
            </w:r>
          </w:p>
        </w:tc>
        <w:tc>
          <w:tcPr>
            <w:tcW w:w="10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7.50%</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L+600</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3,975,000</w:t>
            </w: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3,902,979</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4,014,750</w:t>
            </w:r>
          </w:p>
        </w:tc>
        <w:tc>
          <w:tcPr>
            <w:tcW w:w="0" w:type="dxa"/>
            <w:vAlign w:val="bottom"/>
          </w:tcPr>
          <w:p>
            <w:pPr>
              <w:spacing w:after="0"/>
              <w:rPr>
                <w:sz w:val="1"/>
                <w:szCs w:val="1"/>
                <w:color w:val="auto"/>
              </w:rPr>
            </w:pPr>
          </w:p>
        </w:tc>
      </w:tr>
      <w:tr>
        <w:trPr>
          <w:trHeight w:val="148"/>
        </w:trPr>
        <w:tc>
          <w:tcPr>
            <w:tcW w:w="3180" w:type="dxa"/>
            <w:vAlign w:val="bottom"/>
          </w:tcPr>
          <w:p>
            <w:pPr>
              <w:spacing w:after="0"/>
              <w:rPr>
                <w:sz w:val="20"/>
                <w:szCs w:val="20"/>
                <w:color w:val="auto"/>
              </w:rPr>
            </w:pPr>
            <w:r>
              <w:rPr>
                <w:rFonts w:ascii="Arial" w:cs="Arial" w:eastAsia="Arial" w:hAnsi="Arial"/>
                <w:sz w:val="13"/>
                <w:szCs w:val="13"/>
                <w:color w:val="auto"/>
              </w:rPr>
              <w:t>C.H.I. Overhead Doors, Inc.</w:t>
            </w:r>
          </w:p>
        </w:tc>
        <w:tc>
          <w:tcPr>
            <w:tcW w:w="1420" w:type="dxa"/>
            <w:vAlign w:val="bottom"/>
          </w:tcPr>
          <w:p>
            <w:pPr>
              <w:jc w:val="center"/>
              <w:ind w:left="513"/>
              <w:spacing w:after="0"/>
              <w:rPr>
                <w:sz w:val="20"/>
                <w:szCs w:val="20"/>
                <w:color w:val="auto"/>
              </w:rPr>
            </w:pPr>
            <w:r>
              <w:rPr>
                <w:rFonts w:ascii="Arial" w:cs="Arial" w:eastAsia="Arial" w:hAnsi="Arial"/>
                <w:sz w:val="13"/>
                <w:szCs w:val="13"/>
                <w:color w:val="auto"/>
                <w:w w:val="92"/>
              </w:rPr>
              <w:t>08/17/2017</w:t>
            </w:r>
          </w:p>
        </w:tc>
        <w:tc>
          <w:tcPr>
            <w:tcW w:w="2120" w:type="dxa"/>
            <w:vAlign w:val="bottom"/>
          </w:tcPr>
          <w:p>
            <w:pPr>
              <w:jc w:val="center"/>
              <w:spacing w:after="0"/>
              <w:rPr>
                <w:sz w:val="20"/>
                <w:szCs w:val="20"/>
                <w:color w:val="auto"/>
              </w:rPr>
            </w:pPr>
            <w:r>
              <w:rPr>
                <w:rFonts w:ascii="Arial" w:cs="Arial" w:eastAsia="Arial" w:hAnsi="Arial"/>
                <w:sz w:val="13"/>
                <w:szCs w:val="13"/>
                <w:color w:val="auto"/>
                <w:w w:val="93"/>
              </w:rPr>
              <w:t>Consumer Goods: Durable</w:t>
            </w:r>
          </w:p>
        </w:tc>
        <w:tc>
          <w:tcPr>
            <w:tcW w:w="1000" w:type="dxa"/>
            <w:vAlign w:val="bottom"/>
          </w:tcPr>
          <w:p>
            <w:pPr>
              <w:jc w:val="right"/>
              <w:ind w:right="153"/>
              <w:spacing w:after="0"/>
              <w:rPr>
                <w:sz w:val="20"/>
                <w:szCs w:val="20"/>
                <w:color w:val="auto"/>
              </w:rPr>
            </w:pPr>
            <w:r>
              <w:rPr>
                <w:rFonts w:ascii="Arial" w:cs="Arial" w:eastAsia="Arial" w:hAnsi="Arial"/>
                <w:sz w:val="13"/>
                <w:szCs w:val="13"/>
                <w:color w:val="auto"/>
              </w:rPr>
              <w:t>7.25%</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L+575</w:t>
            </w: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3,866,119</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3,801,408</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3,859,675</w:t>
            </w:r>
          </w:p>
        </w:tc>
        <w:tc>
          <w:tcPr>
            <w:tcW w:w="0" w:type="dxa"/>
            <w:vAlign w:val="bottom"/>
          </w:tcPr>
          <w:p>
            <w:pPr>
              <w:spacing w:after="0"/>
              <w:rPr>
                <w:sz w:val="1"/>
                <w:szCs w:val="1"/>
                <w:color w:val="auto"/>
              </w:rPr>
            </w:pPr>
          </w:p>
        </w:tc>
      </w:tr>
      <w:tr>
        <w:trPr>
          <w:trHeight w:val="148"/>
        </w:trPr>
        <w:tc>
          <w:tcPr>
            <w:tcW w:w="3180" w:type="dxa"/>
            <w:vAlign w:val="bottom"/>
            <w:shd w:val="clear" w:color="auto" w:fill="CCEEFF"/>
          </w:tcPr>
          <w:p>
            <w:pPr>
              <w:spacing w:after="0"/>
              <w:rPr>
                <w:sz w:val="20"/>
                <w:szCs w:val="20"/>
                <w:color w:val="auto"/>
              </w:rPr>
            </w:pPr>
            <w:r>
              <w:rPr>
                <w:rFonts w:ascii="Arial" w:cs="Arial" w:eastAsia="Arial" w:hAnsi="Arial"/>
                <w:sz w:val="13"/>
                <w:szCs w:val="13"/>
                <w:color w:val="auto"/>
              </w:rPr>
              <w:t>DCS Business Services, Inc.</w:t>
            </w:r>
          </w:p>
        </w:tc>
        <w:tc>
          <w:tcPr>
            <w:tcW w:w="1420" w:type="dxa"/>
            <w:vAlign w:val="bottom"/>
            <w:shd w:val="clear" w:color="auto" w:fill="CCEEFF"/>
          </w:tcPr>
          <w:p>
            <w:pPr>
              <w:jc w:val="center"/>
              <w:ind w:left="513"/>
              <w:spacing w:after="0"/>
              <w:rPr>
                <w:sz w:val="20"/>
                <w:szCs w:val="20"/>
                <w:color w:val="auto"/>
              </w:rPr>
            </w:pPr>
            <w:r>
              <w:rPr>
                <w:rFonts w:ascii="Arial" w:cs="Arial" w:eastAsia="Arial" w:hAnsi="Arial"/>
                <w:sz w:val="13"/>
                <w:szCs w:val="13"/>
                <w:color w:val="auto"/>
                <w:w w:val="92"/>
              </w:rPr>
              <w:t>03/19/2018</w:t>
            </w:r>
          </w:p>
        </w:tc>
        <w:tc>
          <w:tcPr>
            <w:tcW w:w="2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Business Services</w:t>
            </w:r>
          </w:p>
        </w:tc>
        <w:tc>
          <w:tcPr>
            <w:tcW w:w="10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7.25%</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L+575</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3,733,125</w:t>
            </w: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3,673,063</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3,677,128</w:t>
            </w:r>
          </w:p>
        </w:tc>
        <w:tc>
          <w:tcPr>
            <w:tcW w:w="0" w:type="dxa"/>
            <w:vAlign w:val="bottom"/>
          </w:tcPr>
          <w:p>
            <w:pPr>
              <w:spacing w:after="0"/>
              <w:rPr>
                <w:sz w:val="1"/>
                <w:szCs w:val="1"/>
                <w:color w:val="auto"/>
              </w:rPr>
            </w:pPr>
          </w:p>
        </w:tc>
      </w:tr>
      <w:tr>
        <w:trPr>
          <w:trHeight w:val="148"/>
        </w:trPr>
        <w:tc>
          <w:tcPr>
            <w:tcW w:w="3180" w:type="dxa"/>
            <w:vAlign w:val="bottom"/>
          </w:tcPr>
          <w:p>
            <w:pPr>
              <w:spacing w:after="0"/>
              <w:rPr>
                <w:sz w:val="20"/>
                <w:szCs w:val="20"/>
                <w:color w:val="auto"/>
              </w:rPr>
            </w:pPr>
            <w:r>
              <w:rPr>
                <w:rFonts w:ascii="Arial" w:cs="Arial" w:eastAsia="Arial" w:hAnsi="Arial"/>
                <w:sz w:val="13"/>
                <w:szCs w:val="13"/>
                <w:color w:val="auto"/>
              </w:rPr>
              <w:t>Document Technologies, Inc.</w:t>
            </w:r>
          </w:p>
        </w:tc>
        <w:tc>
          <w:tcPr>
            <w:tcW w:w="1420" w:type="dxa"/>
            <w:vAlign w:val="bottom"/>
          </w:tcPr>
          <w:p>
            <w:pPr>
              <w:jc w:val="center"/>
              <w:ind w:left="513"/>
              <w:spacing w:after="0"/>
              <w:rPr>
                <w:sz w:val="20"/>
                <w:szCs w:val="20"/>
                <w:color w:val="auto"/>
              </w:rPr>
            </w:pPr>
            <w:r>
              <w:rPr>
                <w:rFonts w:ascii="Arial" w:cs="Arial" w:eastAsia="Arial" w:hAnsi="Arial"/>
                <w:sz w:val="13"/>
                <w:szCs w:val="13"/>
                <w:color w:val="auto"/>
                <w:w w:val="92"/>
              </w:rPr>
              <w:t>12/01/2016</w:t>
            </w:r>
          </w:p>
        </w:tc>
        <w:tc>
          <w:tcPr>
            <w:tcW w:w="2120" w:type="dxa"/>
            <w:vAlign w:val="bottom"/>
          </w:tcPr>
          <w:p>
            <w:pPr>
              <w:jc w:val="center"/>
              <w:spacing w:after="0"/>
              <w:rPr>
                <w:sz w:val="20"/>
                <w:szCs w:val="20"/>
                <w:color w:val="auto"/>
              </w:rPr>
            </w:pPr>
            <w:r>
              <w:rPr>
                <w:rFonts w:ascii="Arial" w:cs="Arial" w:eastAsia="Arial" w:hAnsi="Arial"/>
                <w:sz w:val="13"/>
                <w:szCs w:val="13"/>
                <w:color w:val="auto"/>
                <w:w w:val="90"/>
              </w:rPr>
              <w:t>Business Services</w:t>
            </w:r>
          </w:p>
        </w:tc>
        <w:tc>
          <w:tcPr>
            <w:tcW w:w="1000" w:type="dxa"/>
            <w:vAlign w:val="bottom"/>
          </w:tcPr>
          <w:p>
            <w:pPr>
              <w:jc w:val="right"/>
              <w:ind w:right="153"/>
              <w:spacing w:after="0"/>
              <w:rPr>
                <w:sz w:val="20"/>
                <w:szCs w:val="20"/>
                <w:color w:val="auto"/>
              </w:rPr>
            </w:pPr>
            <w:r>
              <w:rPr>
                <w:rFonts w:ascii="Arial" w:cs="Arial" w:eastAsia="Arial" w:hAnsi="Arial"/>
                <w:sz w:val="13"/>
                <w:szCs w:val="13"/>
                <w:color w:val="auto"/>
              </w:rPr>
              <w:t>6.50%</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L+500</w:t>
            </w: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990,000</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981,827</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987,525</w:t>
            </w:r>
          </w:p>
        </w:tc>
        <w:tc>
          <w:tcPr>
            <w:tcW w:w="0" w:type="dxa"/>
            <w:vAlign w:val="bottom"/>
          </w:tcPr>
          <w:p>
            <w:pPr>
              <w:spacing w:after="0"/>
              <w:rPr>
                <w:sz w:val="1"/>
                <w:szCs w:val="1"/>
                <w:color w:val="auto"/>
              </w:rPr>
            </w:pPr>
          </w:p>
        </w:tc>
      </w:tr>
      <w:tr>
        <w:trPr>
          <w:trHeight w:val="148"/>
        </w:trPr>
        <w:tc>
          <w:tcPr>
            <w:tcW w:w="3180" w:type="dxa"/>
            <w:vAlign w:val="bottom"/>
            <w:shd w:val="clear" w:color="auto" w:fill="CCEEFF"/>
          </w:tcPr>
          <w:p>
            <w:pPr>
              <w:spacing w:after="0"/>
              <w:rPr>
                <w:sz w:val="20"/>
                <w:szCs w:val="20"/>
                <w:color w:val="auto"/>
              </w:rPr>
            </w:pPr>
            <w:r>
              <w:rPr>
                <w:rFonts w:ascii="Arial" w:cs="Arial" w:eastAsia="Arial" w:hAnsi="Arial"/>
                <w:sz w:val="13"/>
                <w:szCs w:val="13"/>
                <w:color w:val="auto"/>
              </w:rPr>
              <w:t>DS Waters of America, Inc.</w:t>
            </w:r>
          </w:p>
        </w:tc>
        <w:tc>
          <w:tcPr>
            <w:tcW w:w="1420" w:type="dxa"/>
            <w:vAlign w:val="bottom"/>
            <w:shd w:val="clear" w:color="auto" w:fill="CCEEFF"/>
          </w:tcPr>
          <w:p>
            <w:pPr>
              <w:jc w:val="center"/>
              <w:ind w:left="513"/>
              <w:spacing w:after="0"/>
              <w:rPr>
                <w:sz w:val="20"/>
                <w:szCs w:val="20"/>
                <w:color w:val="auto"/>
              </w:rPr>
            </w:pPr>
            <w:r>
              <w:rPr>
                <w:rFonts w:ascii="Arial" w:cs="Arial" w:eastAsia="Arial" w:hAnsi="Arial"/>
                <w:sz w:val="13"/>
                <w:szCs w:val="13"/>
                <w:color w:val="auto"/>
                <w:w w:val="92"/>
              </w:rPr>
              <w:t>08/29/2017</w:t>
            </w:r>
          </w:p>
        </w:tc>
        <w:tc>
          <w:tcPr>
            <w:tcW w:w="2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Beverage, Food and Tobacco</w:t>
            </w:r>
          </w:p>
        </w:tc>
        <w:tc>
          <w:tcPr>
            <w:tcW w:w="10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10.50%</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L+900</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3,980,000</w:t>
            </w: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3,904,846</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4,109,350</w:t>
            </w:r>
          </w:p>
        </w:tc>
        <w:tc>
          <w:tcPr>
            <w:tcW w:w="0" w:type="dxa"/>
            <w:vAlign w:val="bottom"/>
          </w:tcPr>
          <w:p>
            <w:pPr>
              <w:spacing w:after="0"/>
              <w:rPr>
                <w:sz w:val="1"/>
                <w:szCs w:val="1"/>
                <w:color w:val="auto"/>
              </w:rPr>
            </w:pPr>
          </w:p>
        </w:tc>
      </w:tr>
      <w:tr>
        <w:trPr>
          <w:trHeight w:val="149"/>
        </w:trPr>
        <w:tc>
          <w:tcPr>
            <w:tcW w:w="3180" w:type="dxa"/>
            <w:vAlign w:val="bottom"/>
          </w:tcPr>
          <w:p>
            <w:pPr>
              <w:spacing w:after="0"/>
              <w:rPr>
                <w:sz w:val="20"/>
                <w:szCs w:val="20"/>
                <w:color w:val="auto"/>
              </w:rPr>
            </w:pPr>
            <w:r>
              <w:rPr>
                <w:rFonts w:ascii="Arial" w:cs="Arial" w:eastAsia="Arial" w:hAnsi="Arial"/>
                <w:sz w:val="13"/>
                <w:szCs w:val="13"/>
                <w:color w:val="auto"/>
              </w:rPr>
              <w:t>EAG, Inc.</w:t>
            </w:r>
          </w:p>
        </w:tc>
        <w:tc>
          <w:tcPr>
            <w:tcW w:w="1420" w:type="dxa"/>
            <w:vAlign w:val="bottom"/>
          </w:tcPr>
          <w:p>
            <w:pPr>
              <w:jc w:val="center"/>
              <w:ind w:left="513"/>
              <w:spacing w:after="0"/>
              <w:rPr>
                <w:sz w:val="20"/>
                <w:szCs w:val="20"/>
                <w:color w:val="auto"/>
              </w:rPr>
            </w:pPr>
            <w:r>
              <w:rPr>
                <w:rFonts w:ascii="Arial" w:cs="Arial" w:eastAsia="Arial" w:hAnsi="Arial"/>
                <w:sz w:val="13"/>
                <w:szCs w:val="13"/>
                <w:color w:val="auto"/>
                <w:w w:val="92"/>
              </w:rPr>
              <w:t>07/28/2017</w:t>
            </w:r>
          </w:p>
        </w:tc>
        <w:tc>
          <w:tcPr>
            <w:tcW w:w="2120" w:type="dxa"/>
            <w:vAlign w:val="bottom"/>
          </w:tcPr>
          <w:p>
            <w:pPr>
              <w:jc w:val="center"/>
              <w:spacing w:after="0"/>
              <w:rPr>
                <w:sz w:val="20"/>
                <w:szCs w:val="20"/>
                <w:color w:val="auto"/>
              </w:rPr>
            </w:pPr>
            <w:r>
              <w:rPr>
                <w:rFonts w:ascii="Arial" w:cs="Arial" w:eastAsia="Arial" w:hAnsi="Arial"/>
                <w:sz w:val="13"/>
                <w:szCs w:val="13"/>
                <w:color w:val="auto"/>
                <w:w w:val="90"/>
              </w:rPr>
              <w:t>Business Services</w:t>
            </w:r>
          </w:p>
        </w:tc>
        <w:tc>
          <w:tcPr>
            <w:tcW w:w="1000" w:type="dxa"/>
            <w:vAlign w:val="bottom"/>
          </w:tcPr>
          <w:p>
            <w:pPr>
              <w:jc w:val="right"/>
              <w:ind w:right="153"/>
              <w:spacing w:after="0"/>
              <w:rPr>
                <w:sz w:val="20"/>
                <w:szCs w:val="20"/>
                <w:color w:val="auto"/>
              </w:rPr>
            </w:pPr>
            <w:r>
              <w:rPr>
                <w:rFonts w:ascii="Arial" w:cs="Arial" w:eastAsia="Arial" w:hAnsi="Arial"/>
                <w:sz w:val="13"/>
                <w:szCs w:val="13"/>
                <w:color w:val="auto"/>
              </w:rPr>
              <w:t>6.75%</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P+350</w:t>
            </w: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950,104</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946,081</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945,353</w:t>
            </w:r>
          </w:p>
        </w:tc>
        <w:tc>
          <w:tcPr>
            <w:tcW w:w="0" w:type="dxa"/>
            <w:vAlign w:val="bottom"/>
          </w:tcPr>
          <w:p>
            <w:pPr>
              <w:spacing w:after="0"/>
              <w:rPr>
                <w:sz w:val="1"/>
                <w:szCs w:val="1"/>
                <w:color w:val="auto"/>
              </w:rPr>
            </w:pPr>
          </w:p>
        </w:tc>
      </w:tr>
      <w:tr>
        <w:trPr>
          <w:trHeight w:val="148"/>
        </w:trPr>
        <w:tc>
          <w:tcPr>
            <w:tcW w:w="3180" w:type="dxa"/>
            <w:vAlign w:val="bottom"/>
            <w:shd w:val="clear" w:color="auto" w:fill="CCEEFF"/>
          </w:tcPr>
          <w:p>
            <w:pPr>
              <w:spacing w:after="0"/>
              <w:rPr>
                <w:sz w:val="20"/>
                <w:szCs w:val="20"/>
                <w:color w:val="auto"/>
              </w:rPr>
            </w:pPr>
            <w:r>
              <w:rPr>
                <w:rFonts w:ascii="Arial" w:cs="Arial" w:eastAsia="Arial" w:hAnsi="Arial"/>
                <w:sz w:val="13"/>
                <w:szCs w:val="13"/>
                <w:color w:val="auto"/>
              </w:rPr>
              <w:t>EIG Investors Corp.</w:t>
            </w:r>
          </w:p>
        </w:tc>
        <w:tc>
          <w:tcPr>
            <w:tcW w:w="1420" w:type="dxa"/>
            <w:vAlign w:val="bottom"/>
            <w:shd w:val="clear" w:color="auto" w:fill="CCEEFF"/>
          </w:tcPr>
          <w:p>
            <w:pPr>
              <w:jc w:val="center"/>
              <w:ind w:left="513"/>
              <w:spacing w:after="0"/>
              <w:rPr>
                <w:sz w:val="20"/>
                <w:szCs w:val="20"/>
                <w:color w:val="auto"/>
              </w:rPr>
            </w:pPr>
            <w:r>
              <w:rPr>
                <w:rFonts w:ascii="Arial" w:cs="Arial" w:eastAsia="Arial" w:hAnsi="Arial"/>
                <w:sz w:val="13"/>
                <w:szCs w:val="13"/>
                <w:color w:val="auto"/>
                <w:w w:val="92"/>
              </w:rPr>
              <w:t>04/20/2018</w:t>
            </w:r>
          </w:p>
        </w:tc>
        <w:tc>
          <w:tcPr>
            <w:tcW w:w="2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High Tech Industries</w:t>
            </w:r>
          </w:p>
        </w:tc>
        <w:tc>
          <w:tcPr>
            <w:tcW w:w="10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7.75%</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L+625</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3,990,000</w:t>
            </w: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3,952,867</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4,009,950</w:t>
            </w:r>
          </w:p>
        </w:tc>
        <w:tc>
          <w:tcPr>
            <w:tcW w:w="0" w:type="dxa"/>
            <w:vAlign w:val="bottom"/>
          </w:tcPr>
          <w:p>
            <w:pPr>
              <w:spacing w:after="0"/>
              <w:rPr>
                <w:sz w:val="1"/>
                <w:szCs w:val="1"/>
                <w:color w:val="auto"/>
              </w:rPr>
            </w:pPr>
          </w:p>
        </w:tc>
      </w:tr>
      <w:tr>
        <w:trPr>
          <w:trHeight w:val="148"/>
        </w:trPr>
        <w:tc>
          <w:tcPr>
            <w:tcW w:w="3180" w:type="dxa"/>
            <w:vAlign w:val="bottom"/>
          </w:tcPr>
          <w:p>
            <w:pPr>
              <w:spacing w:after="0"/>
              <w:rPr>
                <w:sz w:val="20"/>
                <w:szCs w:val="20"/>
                <w:color w:val="auto"/>
              </w:rPr>
            </w:pPr>
            <w:r>
              <w:rPr>
                <w:rFonts w:ascii="Arial" w:cs="Arial" w:eastAsia="Arial" w:hAnsi="Arial"/>
                <w:sz w:val="13"/>
                <w:szCs w:val="13"/>
                <w:color w:val="auto"/>
              </w:rPr>
              <w:t>Emerald Performance Materials, LLC</w:t>
            </w:r>
          </w:p>
        </w:tc>
        <w:tc>
          <w:tcPr>
            <w:tcW w:w="1420" w:type="dxa"/>
            <w:vAlign w:val="bottom"/>
          </w:tcPr>
          <w:p>
            <w:pPr>
              <w:jc w:val="center"/>
              <w:ind w:left="513"/>
              <w:spacing w:after="0"/>
              <w:rPr>
                <w:sz w:val="20"/>
                <w:szCs w:val="20"/>
                <w:color w:val="auto"/>
              </w:rPr>
            </w:pPr>
            <w:r>
              <w:rPr>
                <w:rFonts w:ascii="Arial" w:cs="Arial" w:eastAsia="Arial" w:hAnsi="Arial"/>
                <w:sz w:val="13"/>
                <w:szCs w:val="13"/>
                <w:color w:val="auto"/>
                <w:w w:val="92"/>
              </w:rPr>
              <w:t>05/18/2018</w:t>
            </w:r>
          </w:p>
        </w:tc>
        <w:tc>
          <w:tcPr>
            <w:tcW w:w="2120" w:type="dxa"/>
            <w:vAlign w:val="bottom"/>
          </w:tcPr>
          <w:p>
            <w:pPr>
              <w:jc w:val="center"/>
              <w:spacing w:after="0"/>
              <w:rPr>
                <w:sz w:val="20"/>
                <w:szCs w:val="20"/>
                <w:color w:val="auto"/>
              </w:rPr>
            </w:pPr>
            <w:r>
              <w:rPr>
                <w:rFonts w:ascii="Arial" w:cs="Arial" w:eastAsia="Arial" w:hAnsi="Arial"/>
                <w:sz w:val="13"/>
                <w:szCs w:val="13"/>
                <w:color w:val="auto"/>
                <w:w w:val="93"/>
              </w:rPr>
              <w:t>Chemicals, Plastics and Rubber</w:t>
            </w:r>
          </w:p>
        </w:tc>
        <w:tc>
          <w:tcPr>
            <w:tcW w:w="1000" w:type="dxa"/>
            <w:vAlign w:val="bottom"/>
          </w:tcPr>
          <w:p>
            <w:pPr>
              <w:jc w:val="right"/>
              <w:ind w:right="153"/>
              <w:spacing w:after="0"/>
              <w:rPr>
                <w:sz w:val="20"/>
                <w:szCs w:val="20"/>
                <w:color w:val="auto"/>
              </w:rPr>
            </w:pPr>
            <w:r>
              <w:rPr>
                <w:rFonts w:ascii="Arial" w:cs="Arial" w:eastAsia="Arial" w:hAnsi="Arial"/>
                <w:sz w:val="13"/>
                <w:szCs w:val="13"/>
                <w:color w:val="auto"/>
              </w:rPr>
              <w:t>6.75%</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L+550</w:t>
            </w: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1,995,000</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1,975,762</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2,004,975</w:t>
            </w:r>
          </w:p>
        </w:tc>
        <w:tc>
          <w:tcPr>
            <w:tcW w:w="0" w:type="dxa"/>
            <w:vAlign w:val="bottom"/>
          </w:tcPr>
          <w:p>
            <w:pPr>
              <w:spacing w:after="0"/>
              <w:rPr>
                <w:sz w:val="1"/>
                <w:szCs w:val="1"/>
                <w:color w:val="auto"/>
              </w:rPr>
            </w:pPr>
          </w:p>
        </w:tc>
      </w:tr>
      <w:tr>
        <w:trPr>
          <w:trHeight w:val="148"/>
        </w:trPr>
        <w:tc>
          <w:tcPr>
            <w:tcW w:w="3180" w:type="dxa"/>
            <w:vAlign w:val="bottom"/>
            <w:shd w:val="clear" w:color="auto" w:fill="CCEEFF"/>
          </w:tcPr>
          <w:p>
            <w:pPr>
              <w:spacing w:after="0"/>
              <w:rPr>
                <w:sz w:val="20"/>
                <w:szCs w:val="20"/>
                <w:color w:val="auto"/>
              </w:rPr>
            </w:pPr>
            <w:r>
              <w:rPr>
                <w:rFonts w:ascii="Arial" w:cs="Arial" w:eastAsia="Arial" w:hAnsi="Arial"/>
                <w:sz w:val="13"/>
                <w:szCs w:val="13"/>
                <w:color w:val="auto"/>
              </w:rPr>
              <w:t>eResearchtechnology, Inc.</w:t>
            </w:r>
          </w:p>
        </w:tc>
        <w:tc>
          <w:tcPr>
            <w:tcW w:w="1420" w:type="dxa"/>
            <w:vAlign w:val="bottom"/>
            <w:shd w:val="clear" w:color="auto" w:fill="CCEEFF"/>
          </w:tcPr>
          <w:p>
            <w:pPr>
              <w:jc w:val="center"/>
              <w:ind w:left="513"/>
              <w:spacing w:after="0"/>
              <w:rPr>
                <w:sz w:val="20"/>
                <w:szCs w:val="20"/>
                <w:color w:val="auto"/>
              </w:rPr>
            </w:pPr>
            <w:r>
              <w:rPr>
                <w:rFonts w:ascii="Arial" w:cs="Arial" w:eastAsia="Arial" w:hAnsi="Arial"/>
                <w:sz w:val="13"/>
                <w:szCs w:val="13"/>
                <w:color w:val="auto"/>
                <w:w w:val="92"/>
              </w:rPr>
              <w:t>05/02/2018</w:t>
            </w:r>
          </w:p>
        </w:tc>
        <w:tc>
          <w:tcPr>
            <w:tcW w:w="2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Healthcare and Pharmaceuticals</w:t>
            </w:r>
          </w:p>
        </w:tc>
        <w:tc>
          <w:tcPr>
            <w:tcW w:w="10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8.00%</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L+650</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3,000,000</w:t>
            </w: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2,884,003</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2,962,500</w:t>
            </w:r>
          </w:p>
        </w:tc>
        <w:tc>
          <w:tcPr>
            <w:tcW w:w="0" w:type="dxa"/>
            <w:vAlign w:val="bottom"/>
          </w:tcPr>
          <w:p>
            <w:pPr>
              <w:spacing w:after="0"/>
              <w:rPr>
                <w:sz w:val="1"/>
                <w:szCs w:val="1"/>
                <w:color w:val="auto"/>
              </w:rPr>
            </w:pPr>
          </w:p>
        </w:tc>
      </w:tr>
      <w:tr>
        <w:trPr>
          <w:trHeight w:val="148"/>
        </w:trPr>
        <w:tc>
          <w:tcPr>
            <w:tcW w:w="3180" w:type="dxa"/>
            <w:vAlign w:val="bottom"/>
          </w:tcPr>
          <w:p>
            <w:pPr>
              <w:spacing w:after="0"/>
              <w:rPr>
                <w:sz w:val="20"/>
                <w:szCs w:val="20"/>
                <w:color w:val="auto"/>
              </w:rPr>
            </w:pPr>
            <w:r>
              <w:rPr>
                <w:rFonts w:ascii="Arial" w:cs="Arial" w:eastAsia="Arial" w:hAnsi="Arial"/>
                <w:sz w:val="13"/>
                <w:szCs w:val="13"/>
                <w:color w:val="auto"/>
              </w:rPr>
              <w:t>Fundtech (US FT HOLDCO, INC.)</w:t>
            </w:r>
          </w:p>
        </w:tc>
        <w:tc>
          <w:tcPr>
            <w:tcW w:w="1420" w:type="dxa"/>
            <w:vAlign w:val="bottom"/>
          </w:tcPr>
          <w:p>
            <w:pPr>
              <w:jc w:val="center"/>
              <w:ind w:left="513"/>
              <w:spacing w:after="0"/>
              <w:rPr>
                <w:sz w:val="20"/>
                <w:szCs w:val="20"/>
                <w:color w:val="auto"/>
              </w:rPr>
            </w:pPr>
            <w:r>
              <w:rPr>
                <w:rFonts w:ascii="Arial" w:cs="Arial" w:eastAsia="Arial" w:hAnsi="Arial"/>
                <w:sz w:val="13"/>
                <w:szCs w:val="13"/>
                <w:color w:val="auto"/>
                <w:w w:val="92"/>
              </w:rPr>
              <w:t>11/30/2017</w:t>
            </w:r>
          </w:p>
        </w:tc>
        <w:tc>
          <w:tcPr>
            <w:tcW w:w="2120" w:type="dxa"/>
            <w:vAlign w:val="bottom"/>
          </w:tcPr>
          <w:p>
            <w:pPr>
              <w:jc w:val="center"/>
              <w:spacing w:after="0"/>
              <w:rPr>
                <w:sz w:val="20"/>
                <w:szCs w:val="20"/>
                <w:color w:val="auto"/>
              </w:rPr>
            </w:pPr>
            <w:r>
              <w:rPr>
                <w:rFonts w:ascii="Arial" w:cs="Arial" w:eastAsia="Arial" w:hAnsi="Arial"/>
                <w:sz w:val="13"/>
                <w:szCs w:val="13"/>
                <w:color w:val="auto"/>
                <w:w w:val="90"/>
              </w:rPr>
              <w:t>Business Services</w:t>
            </w:r>
          </w:p>
        </w:tc>
        <w:tc>
          <w:tcPr>
            <w:tcW w:w="1000" w:type="dxa"/>
            <w:vAlign w:val="bottom"/>
          </w:tcPr>
          <w:p>
            <w:pPr>
              <w:jc w:val="right"/>
              <w:ind w:right="153"/>
              <w:spacing w:after="0"/>
              <w:rPr>
                <w:sz w:val="20"/>
                <w:szCs w:val="20"/>
                <w:color w:val="auto"/>
              </w:rPr>
            </w:pPr>
            <w:r>
              <w:rPr>
                <w:rFonts w:ascii="Arial" w:cs="Arial" w:eastAsia="Arial" w:hAnsi="Arial"/>
                <w:sz w:val="13"/>
                <w:szCs w:val="13"/>
                <w:color w:val="auto"/>
              </w:rPr>
              <w:t>7.50%</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L+600</w:t>
            </w: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2,977,500</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2,898,672</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2,977,500</w:t>
            </w:r>
          </w:p>
        </w:tc>
        <w:tc>
          <w:tcPr>
            <w:tcW w:w="0" w:type="dxa"/>
            <w:vAlign w:val="bottom"/>
          </w:tcPr>
          <w:p>
            <w:pPr>
              <w:spacing w:after="0"/>
              <w:rPr>
                <w:sz w:val="1"/>
                <w:szCs w:val="1"/>
                <w:color w:val="auto"/>
              </w:rPr>
            </w:pPr>
          </w:p>
        </w:tc>
      </w:tr>
      <w:tr>
        <w:trPr>
          <w:trHeight w:val="149"/>
        </w:trPr>
        <w:tc>
          <w:tcPr>
            <w:tcW w:w="3180" w:type="dxa"/>
            <w:vAlign w:val="bottom"/>
            <w:shd w:val="clear" w:color="auto" w:fill="CCEEFF"/>
          </w:tcPr>
          <w:p>
            <w:pPr>
              <w:spacing w:after="0"/>
              <w:rPr>
                <w:sz w:val="20"/>
                <w:szCs w:val="20"/>
                <w:color w:val="auto"/>
              </w:rPr>
            </w:pPr>
            <w:r>
              <w:rPr>
                <w:rFonts w:ascii="Arial" w:cs="Arial" w:eastAsia="Arial" w:hAnsi="Arial"/>
                <w:sz w:val="13"/>
                <w:szCs w:val="13"/>
                <w:color w:val="auto"/>
              </w:rPr>
              <w:t>GFA Brands, Inc.</w:t>
            </w:r>
          </w:p>
        </w:tc>
        <w:tc>
          <w:tcPr>
            <w:tcW w:w="1420" w:type="dxa"/>
            <w:vAlign w:val="bottom"/>
            <w:shd w:val="clear" w:color="auto" w:fill="CCEEFF"/>
          </w:tcPr>
          <w:p>
            <w:pPr>
              <w:jc w:val="center"/>
              <w:ind w:left="513"/>
              <w:spacing w:after="0"/>
              <w:rPr>
                <w:sz w:val="20"/>
                <w:szCs w:val="20"/>
                <w:color w:val="auto"/>
              </w:rPr>
            </w:pPr>
            <w:r>
              <w:rPr>
                <w:rFonts w:ascii="Arial" w:cs="Arial" w:eastAsia="Arial" w:hAnsi="Arial"/>
                <w:sz w:val="13"/>
                <w:szCs w:val="13"/>
                <w:color w:val="auto"/>
                <w:w w:val="92"/>
              </w:rPr>
              <w:t>07/02/2018</w:t>
            </w:r>
          </w:p>
        </w:tc>
        <w:tc>
          <w:tcPr>
            <w:tcW w:w="2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Beverage, Food and Tobacco</w:t>
            </w:r>
          </w:p>
        </w:tc>
        <w:tc>
          <w:tcPr>
            <w:tcW w:w="10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7.00%</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L+575</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1,995,000</w:t>
            </w: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1,956,496</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2,012,456</w:t>
            </w:r>
          </w:p>
        </w:tc>
        <w:tc>
          <w:tcPr>
            <w:tcW w:w="0" w:type="dxa"/>
            <w:vAlign w:val="bottom"/>
          </w:tcPr>
          <w:p>
            <w:pPr>
              <w:spacing w:after="0"/>
              <w:rPr>
                <w:sz w:val="1"/>
                <w:szCs w:val="1"/>
                <w:color w:val="auto"/>
              </w:rPr>
            </w:pPr>
          </w:p>
        </w:tc>
      </w:tr>
      <w:tr>
        <w:trPr>
          <w:trHeight w:val="148"/>
        </w:trPr>
        <w:tc>
          <w:tcPr>
            <w:tcW w:w="3180" w:type="dxa"/>
            <w:vAlign w:val="bottom"/>
          </w:tcPr>
          <w:p>
            <w:pPr>
              <w:spacing w:after="0" w:line="149" w:lineRule="exact"/>
              <w:rPr>
                <w:sz w:val="20"/>
                <w:szCs w:val="20"/>
                <w:color w:val="auto"/>
              </w:rPr>
            </w:pPr>
            <w:r>
              <w:rPr>
                <w:rFonts w:ascii="Arial" w:cs="Arial" w:eastAsia="Arial" w:hAnsi="Arial"/>
                <w:sz w:val="11"/>
                <w:szCs w:val="11"/>
                <w:color w:val="auto"/>
              </w:rPr>
              <w:t>Graton Economic Development Authority</w:t>
            </w:r>
            <w:r>
              <w:rPr>
                <w:rFonts w:ascii="Arial" w:cs="Arial" w:eastAsia="Arial" w:hAnsi="Arial"/>
                <w:sz w:val="17"/>
                <w:szCs w:val="17"/>
                <w:color w:val="auto"/>
                <w:vertAlign w:val="superscript"/>
              </w:rPr>
              <w:t>(8)</w:t>
            </w:r>
          </w:p>
        </w:tc>
        <w:tc>
          <w:tcPr>
            <w:tcW w:w="1420" w:type="dxa"/>
            <w:vAlign w:val="bottom"/>
          </w:tcPr>
          <w:p>
            <w:pPr>
              <w:jc w:val="center"/>
              <w:ind w:left="513"/>
              <w:spacing w:after="0"/>
              <w:rPr>
                <w:sz w:val="20"/>
                <w:szCs w:val="20"/>
                <w:color w:val="auto"/>
              </w:rPr>
            </w:pPr>
            <w:r>
              <w:rPr>
                <w:rFonts w:ascii="Arial" w:cs="Arial" w:eastAsia="Arial" w:hAnsi="Arial"/>
                <w:sz w:val="13"/>
                <w:szCs w:val="13"/>
                <w:color w:val="auto"/>
                <w:w w:val="92"/>
              </w:rPr>
              <w:t>09/02/2019</w:t>
            </w:r>
          </w:p>
        </w:tc>
        <w:tc>
          <w:tcPr>
            <w:tcW w:w="2120" w:type="dxa"/>
            <w:vAlign w:val="bottom"/>
          </w:tcPr>
          <w:p>
            <w:pPr>
              <w:jc w:val="center"/>
              <w:spacing w:after="0"/>
              <w:rPr>
                <w:sz w:val="20"/>
                <w:szCs w:val="20"/>
                <w:color w:val="auto"/>
              </w:rPr>
            </w:pPr>
            <w:r>
              <w:rPr>
                <w:rFonts w:ascii="Arial" w:cs="Arial" w:eastAsia="Arial" w:hAnsi="Arial"/>
                <w:sz w:val="13"/>
                <w:szCs w:val="13"/>
                <w:color w:val="auto"/>
                <w:w w:val="95"/>
              </w:rPr>
              <w:t>Hotel, Gaming and Leisure</w:t>
            </w:r>
          </w:p>
        </w:tc>
        <w:tc>
          <w:tcPr>
            <w:tcW w:w="1000" w:type="dxa"/>
            <w:vAlign w:val="bottom"/>
          </w:tcPr>
          <w:p>
            <w:pPr>
              <w:jc w:val="right"/>
              <w:ind w:right="153"/>
              <w:spacing w:after="0"/>
              <w:rPr>
                <w:sz w:val="20"/>
                <w:szCs w:val="20"/>
                <w:color w:val="auto"/>
              </w:rPr>
            </w:pPr>
            <w:r>
              <w:rPr>
                <w:rFonts w:ascii="Arial" w:cs="Arial" w:eastAsia="Arial" w:hAnsi="Arial"/>
                <w:sz w:val="13"/>
                <w:szCs w:val="13"/>
                <w:color w:val="auto"/>
              </w:rPr>
              <w:t>9.63%</w:t>
            </w:r>
          </w:p>
        </w:tc>
        <w:tc>
          <w:tcPr>
            <w:tcW w:w="88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3,000,000</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3,000,000</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3,120,000</w:t>
            </w:r>
          </w:p>
        </w:tc>
        <w:tc>
          <w:tcPr>
            <w:tcW w:w="0" w:type="dxa"/>
            <w:vAlign w:val="bottom"/>
          </w:tcPr>
          <w:p>
            <w:pPr>
              <w:spacing w:after="0"/>
              <w:rPr>
                <w:sz w:val="1"/>
                <w:szCs w:val="1"/>
                <w:color w:val="auto"/>
              </w:rPr>
            </w:pPr>
          </w:p>
        </w:tc>
      </w:tr>
      <w:tr>
        <w:trPr>
          <w:trHeight w:val="148"/>
        </w:trPr>
        <w:tc>
          <w:tcPr>
            <w:tcW w:w="3180" w:type="dxa"/>
            <w:vAlign w:val="bottom"/>
            <w:shd w:val="clear" w:color="auto" w:fill="CCEEFF"/>
          </w:tcPr>
          <w:p>
            <w:pPr>
              <w:spacing w:after="0"/>
              <w:rPr>
                <w:sz w:val="20"/>
                <w:szCs w:val="20"/>
                <w:color w:val="auto"/>
              </w:rPr>
            </w:pPr>
            <w:r>
              <w:rPr>
                <w:rFonts w:ascii="Arial" w:cs="Arial" w:eastAsia="Arial" w:hAnsi="Arial"/>
                <w:sz w:val="13"/>
                <w:szCs w:val="13"/>
                <w:color w:val="auto"/>
              </w:rPr>
              <w:t>Gundle/SLT Environmental, Inc.</w:t>
            </w:r>
          </w:p>
        </w:tc>
        <w:tc>
          <w:tcPr>
            <w:tcW w:w="1420" w:type="dxa"/>
            <w:vAlign w:val="bottom"/>
            <w:shd w:val="clear" w:color="auto" w:fill="CCEEFF"/>
          </w:tcPr>
          <w:p>
            <w:pPr>
              <w:jc w:val="center"/>
              <w:ind w:left="513"/>
              <w:spacing w:after="0"/>
              <w:rPr>
                <w:sz w:val="20"/>
                <w:szCs w:val="20"/>
                <w:color w:val="auto"/>
              </w:rPr>
            </w:pPr>
            <w:r>
              <w:rPr>
                <w:rFonts w:ascii="Arial" w:cs="Arial" w:eastAsia="Arial" w:hAnsi="Arial"/>
                <w:sz w:val="13"/>
                <w:szCs w:val="13"/>
                <w:color w:val="auto"/>
                <w:w w:val="92"/>
              </w:rPr>
              <w:t>05/27/2016</w:t>
            </w:r>
          </w:p>
        </w:tc>
        <w:tc>
          <w:tcPr>
            <w:tcW w:w="2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Environmental Industries</w:t>
            </w:r>
          </w:p>
        </w:tc>
        <w:tc>
          <w:tcPr>
            <w:tcW w:w="10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7.00%</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L+550</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2,956,829</w:t>
            </w: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2,933,351</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2,934,653</w:t>
            </w:r>
          </w:p>
        </w:tc>
        <w:tc>
          <w:tcPr>
            <w:tcW w:w="0" w:type="dxa"/>
            <w:vAlign w:val="bottom"/>
          </w:tcPr>
          <w:p>
            <w:pPr>
              <w:spacing w:after="0"/>
              <w:rPr>
                <w:sz w:val="1"/>
                <w:szCs w:val="1"/>
                <w:color w:val="auto"/>
              </w:rPr>
            </w:pPr>
          </w:p>
        </w:tc>
      </w:tr>
      <w:tr>
        <w:trPr>
          <w:trHeight w:val="148"/>
        </w:trPr>
        <w:tc>
          <w:tcPr>
            <w:tcW w:w="3180" w:type="dxa"/>
            <w:vAlign w:val="bottom"/>
          </w:tcPr>
          <w:p>
            <w:pPr>
              <w:spacing w:after="0"/>
              <w:rPr>
                <w:sz w:val="20"/>
                <w:szCs w:val="20"/>
                <w:color w:val="auto"/>
              </w:rPr>
            </w:pPr>
            <w:r>
              <w:rPr>
                <w:rFonts w:ascii="Arial" w:cs="Arial" w:eastAsia="Arial" w:hAnsi="Arial"/>
                <w:sz w:val="13"/>
                <w:szCs w:val="13"/>
                <w:color w:val="auto"/>
              </w:rPr>
              <w:t>Healogics, Inc. (f/k/a National Healing Corp.)</w:t>
            </w:r>
          </w:p>
        </w:tc>
        <w:tc>
          <w:tcPr>
            <w:tcW w:w="1420" w:type="dxa"/>
            <w:vAlign w:val="bottom"/>
          </w:tcPr>
          <w:p>
            <w:pPr>
              <w:jc w:val="center"/>
              <w:ind w:left="513"/>
              <w:spacing w:after="0"/>
              <w:rPr>
                <w:sz w:val="20"/>
                <w:szCs w:val="20"/>
                <w:color w:val="auto"/>
              </w:rPr>
            </w:pPr>
            <w:r>
              <w:rPr>
                <w:rFonts w:ascii="Arial" w:cs="Arial" w:eastAsia="Arial" w:hAnsi="Arial"/>
                <w:sz w:val="13"/>
                <w:szCs w:val="13"/>
                <w:color w:val="auto"/>
                <w:w w:val="92"/>
              </w:rPr>
              <w:t>11/30/2017</w:t>
            </w:r>
          </w:p>
        </w:tc>
        <w:tc>
          <w:tcPr>
            <w:tcW w:w="2120" w:type="dxa"/>
            <w:vAlign w:val="bottom"/>
          </w:tcPr>
          <w:p>
            <w:pPr>
              <w:jc w:val="center"/>
              <w:spacing w:after="0"/>
              <w:rPr>
                <w:sz w:val="20"/>
                <w:szCs w:val="20"/>
                <w:color w:val="auto"/>
              </w:rPr>
            </w:pPr>
            <w:r>
              <w:rPr>
                <w:rFonts w:ascii="Arial" w:cs="Arial" w:eastAsia="Arial" w:hAnsi="Arial"/>
                <w:sz w:val="13"/>
                <w:szCs w:val="13"/>
                <w:color w:val="auto"/>
                <w:w w:val="92"/>
              </w:rPr>
              <w:t>Healthcare and Pharmaceuticals</w:t>
            </w:r>
          </w:p>
        </w:tc>
        <w:tc>
          <w:tcPr>
            <w:tcW w:w="1000" w:type="dxa"/>
            <w:vAlign w:val="bottom"/>
          </w:tcPr>
          <w:p>
            <w:pPr>
              <w:jc w:val="right"/>
              <w:ind w:right="153"/>
              <w:spacing w:after="0"/>
              <w:rPr>
                <w:sz w:val="20"/>
                <w:szCs w:val="20"/>
                <w:color w:val="auto"/>
              </w:rPr>
            </w:pPr>
            <w:r>
              <w:rPr>
                <w:rFonts w:ascii="Arial" w:cs="Arial" w:eastAsia="Arial" w:hAnsi="Arial"/>
                <w:sz w:val="13"/>
                <w:szCs w:val="13"/>
                <w:color w:val="auto"/>
              </w:rPr>
              <w:t>8.25%</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L+675</w:t>
            </w: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4,962,500</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4,742,008</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4,925,281</w:t>
            </w:r>
          </w:p>
        </w:tc>
        <w:tc>
          <w:tcPr>
            <w:tcW w:w="0" w:type="dxa"/>
            <w:vAlign w:val="bottom"/>
          </w:tcPr>
          <w:p>
            <w:pPr>
              <w:spacing w:after="0"/>
              <w:rPr>
                <w:sz w:val="1"/>
                <w:szCs w:val="1"/>
                <w:color w:val="auto"/>
              </w:rPr>
            </w:pPr>
          </w:p>
        </w:tc>
      </w:tr>
      <w:tr>
        <w:trPr>
          <w:trHeight w:val="148"/>
        </w:trPr>
        <w:tc>
          <w:tcPr>
            <w:tcW w:w="3180" w:type="dxa"/>
            <w:vAlign w:val="bottom"/>
            <w:shd w:val="clear" w:color="auto" w:fill="CCEEFF"/>
          </w:tcPr>
          <w:p>
            <w:pPr>
              <w:spacing w:after="0"/>
              <w:rPr>
                <w:sz w:val="20"/>
                <w:szCs w:val="20"/>
                <w:color w:val="auto"/>
              </w:rPr>
            </w:pPr>
            <w:r>
              <w:rPr>
                <w:rFonts w:ascii="Arial" w:cs="Arial" w:eastAsia="Arial" w:hAnsi="Arial"/>
                <w:sz w:val="13"/>
                <w:szCs w:val="13"/>
                <w:color w:val="auto"/>
              </w:rPr>
              <w:t>HMK Intermediate Holdings LLC</w:t>
            </w:r>
          </w:p>
        </w:tc>
        <w:tc>
          <w:tcPr>
            <w:tcW w:w="1420" w:type="dxa"/>
            <w:vAlign w:val="bottom"/>
            <w:shd w:val="clear" w:color="auto" w:fill="CCEEFF"/>
          </w:tcPr>
          <w:p>
            <w:pPr>
              <w:jc w:val="center"/>
              <w:ind w:left="513"/>
              <w:spacing w:after="0"/>
              <w:rPr>
                <w:sz w:val="20"/>
                <w:szCs w:val="20"/>
                <w:color w:val="auto"/>
              </w:rPr>
            </w:pPr>
            <w:r>
              <w:rPr>
                <w:rFonts w:ascii="Arial" w:cs="Arial" w:eastAsia="Arial" w:hAnsi="Arial"/>
                <w:sz w:val="13"/>
                <w:szCs w:val="13"/>
                <w:color w:val="auto"/>
                <w:w w:val="92"/>
              </w:rPr>
              <w:t>04/01/2019</w:t>
            </w:r>
          </w:p>
        </w:tc>
        <w:tc>
          <w:tcPr>
            <w:tcW w:w="2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Retail</w:t>
            </w:r>
          </w:p>
        </w:tc>
        <w:tc>
          <w:tcPr>
            <w:tcW w:w="10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7.25%</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L+600</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2,985,000</w:t>
            </w: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2,929,228</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2,992,463</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3"/>
                <w:szCs w:val="13"/>
                <w:color w:val="auto"/>
              </w:rPr>
              <w:t>Howard Berger Co. LLC</w:t>
            </w:r>
          </w:p>
        </w:tc>
        <w:tc>
          <w:tcPr>
            <w:tcW w:w="1420" w:type="dxa"/>
            <w:vAlign w:val="bottom"/>
          </w:tcPr>
          <w:p>
            <w:pPr>
              <w:jc w:val="center"/>
              <w:ind w:left="513"/>
              <w:spacing w:after="0"/>
              <w:rPr>
                <w:sz w:val="20"/>
                <w:szCs w:val="20"/>
                <w:color w:val="auto"/>
              </w:rPr>
            </w:pPr>
            <w:r>
              <w:rPr>
                <w:rFonts w:ascii="Arial" w:cs="Arial" w:eastAsia="Arial" w:hAnsi="Arial"/>
                <w:sz w:val="13"/>
                <w:szCs w:val="13"/>
                <w:color w:val="auto"/>
                <w:w w:val="92"/>
              </w:rPr>
              <w:t>08/03/2017</w:t>
            </w:r>
          </w:p>
        </w:tc>
        <w:tc>
          <w:tcPr>
            <w:tcW w:w="2120" w:type="dxa"/>
            <w:vAlign w:val="bottom"/>
          </w:tcPr>
          <w:p>
            <w:pPr>
              <w:jc w:val="center"/>
              <w:spacing w:after="0"/>
              <w:rPr>
                <w:sz w:val="20"/>
                <w:szCs w:val="20"/>
                <w:color w:val="auto"/>
              </w:rPr>
            </w:pPr>
            <w:r>
              <w:rPr>
                <w:rFonts w:ascii="Arial" w:cs="Arial" w:eastAsia="Arial" w:hAnsi="Arial"/>
                <w:sz w:val="13"/>
                <w:szCs w:val="13"/>
                <w:color w:val="auto"/>
                <w:w w:val="92"/>
              </w:rPr>
              <w:t>Wholesale</w:t>
            </w:r>
          </w:p>
        </w:tc>
        <w:tc>
          <w:tcPr>
            <w:tcW w:w="1000" w:type="dxa"/>
            <w:vAlign w:val="bottom"/>
          </w:tcPr>
          <w:p>
            <w:pPr>
              <w:jc w:val="right"/>
              <w:ind w:right="153"/>
              <w:spacing w:after="0"/>
              <w:rPr>
                <w:sz w:val="20"/>
                <w:szCs w:val="20"/>
                <w:color w:val="auto"/>
              </w:rPr>
            </w:pPr>
            <w:r>
              <w:rPr>
                <w:rFonts w:ascii="Arial" w:cs="Arial" w:eastAsia="Arial" w:hAnsi="Arial"/>
                <w:sz w:val="13"/>
                <w:szCs w:val="13"/>
                <w:color w:val="auto"/>
              </w:rPr>
              <w:t>7.00%</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L+575</w:t>
            </w: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2,743,125</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2,702,953</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2,715,694</w:t>
            </w:r>
          </w:p>
        </w:tc>
        <w:tc>
          <w:tcPr>
            <w:tcW w:w="0" w:type="dxa"/>
            <w:vAlign w:val="bottom"/>
          </w:tcPr>
          <w:p>
            <w:pPr>
              <w:spacing w:after="0"/>
              <w:rPr>
                <w:sz w:val="1"/>
                <w:szCs w:val="1"/>
                <w:color w:val="auto"/>
              </w:rPr>
            </w:pPr>
          </w:p>
        </w:tc>
      </w:tr>
      <w:tr>
        <w:trPr>
          <w:trHeight w:val="148"/>
        </w:trPr>
        <w:tc>
          <w:tcPr>
            <w:tcW w:w="31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IDQ Holdings, Inc. </w:t>
            </w:r>
            <w:r>
              <w:rPr>
                <w:rFonts w:ascii="Arial" w:cs="Arial" w:eastAsia="Arial" w:hAnsi="Arial"/>
                <w:sz w:val="17"/>
                <w:szCs w:val="17"/>
                <w:color w:val="auto"/>
                <w:vertAlign w:val="superscript"/>
              </w:rPr>
              <w:t>(5), (8)</w:t>
            </w:r>
          </w:p>
        </w:tc>
        <w:tc>
          <w:tcPr>
            <w:tcW w:w="1420" w:type="dxa"/>
            <w:vAlign w:val="bottom"/>
            <w:shd w:val="clear" w:color="auto" w:fill="CCEEFF"/>
          </w:tcPr>
          <w:p>
            <w:pPr>
              <w:jc w:val="center"/>
              <w:ind w:left="513"/>
              <w:spacing w:after="0"/>
              <w:rPr>
                <w:sz w:val="20"/>
                <w:szCs w:val="20"/>
                <w:color w:val="auto"/>
              </w:rPr>
            </w:pPr>
            <w:r>
              <w:rPr>
                <w:rFonts w:ascii="Arial" w:cs="Arial" w:eastAsia="Arial" w:hAnsi="Arial"/>
                <w:sz w:val="13"/>
                <w:szCs w:val="13"/>
                <w:color w:val="auto"/>
                <w:w w:val="92"/>
              </w:rPr>
              <w:t>03/30/2017</w:t>
            </w:r>
          </w:p>
        </w:tc>
        <w:tc>
          <w:tcPr>
            <w:tcW w:w="2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Automotive</w:t>
            </w:r>
          </w:p>
        </w:tc>
        <w:tc>
          <w:tcPr>
            <w:tcW w:w="10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11.50%</w:t>
            </w:r>
          </w:p>
        </w:tc>
        <w:tc>
          <w:tcPr>
            <w:tcW w:w="88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2,000,000</w:t>
            </w: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1,963,159</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2,125,000</w:t>
            </w:r>
          </w:p>
        </w:tc>
        <w:tc>
          <w:tcPr>
            <w:tcW w:w="0" w:type="dxa"/>
            <w:vAlign w:val="bottom"/>
          </w:tcPr>
          <w:p>
            <w:pPr>
              <w:spacing w:after="0"/>
              <w:rPr>
                <w:sz w:val="1"/>
                <w:szCs w:val="1"/>
                <w:color w:val="auto"/>
              </w:rPr>
            </w:pPr>
          </w:p>
        </w:tc>
      </w:tr>
      <w:tr>
        <w:trPr>
          <w:trHeight w:val="148"/>
        </w:trPr>
        <w:tc>
          <w:tcPr>
            <w:tcW w:w="3180" w:type="dxa"/>
            <w:vAlign w:val="bottom"/>
          </w:tcPr>
          <w:p>
            <w:pPr>
              <w:spacing w:after="0"/>
              <w:rPr>
                <w:sz w:val="20"/>
                <w:szCs w:val="20"/>
                <w:color w:val="auto"/>
              </w:rPr>
            </w:pPr>
            <w:r>
              <w:rPr>
                <w:rFonts w:ascii="Arial" w:cs="Arial" w:eastAsia="Arial" w:hAnsi="Arial"/>
                <w:sz w:val="13"/>
                <w:szCs w:val="13"/>
                <w:color w:val="auto"/>
              </w:rPr>
              <w:t>Ikaria, Inc.</w:t>
            </w:r>
          </w:p>
        </w:tc>
        <w:tc>
          <w:tcPr>
            <w:tcW w:w="1420" w:type="dxa"/>
            <w:vAlign w:val="bottom"/>
          </w:tcPr>
          <w:p>
            <w:pPr>
              <w:jc w:val="center"/>
              <w:ind w:left="513"/>
              <w:spacing w:after="0"/>
              <w:rPr>
                <w:sz w:val="20"/>
                <w:szCs w:val="20"/>
                <w:color w:val="auto"/>
              </w:rPr>
            </w:pPr>
            <w:r>
              <w:rPr>
                <w:rFonts w:ascii="Arial" w:cs="Arial" w:eastAsia="Arial" w:hAnsi="Arial"/>
                <w:sz w:val="13"/>
                <w:szCs w:val="13"/>
                <w:color w:val="auto"/>
                <w:w w:val="92"/>
              </w:rPr>
              <w:t>06/22/2016</w:t>
            </w:r>
          </w:p>
        </w:tc>
        <w:tc>
          <w:tcPr>
            <w:tcW w:w="2120" w:type="dxa"/>
            <w:vAlign w:val="bottom"/>
          </w:tcPr>
          <w:p>
            <w:pPr>
              <w:jc w:val="center"/>
              <w:spacing w:after="0"/>
              <w:rPr>
                <w:sz w:val="20"/>
                <w:szCs w:val="20"/>
                <w:color w:val="auto"/>
              </w:rPr>
            </w:pPr>
            <w:r>
              <w:rPr>
                <w:rFonts w:ascii="Arial" w:cs="Arial" w:eastAsia="Arial" w:hAnsi="Arial"/>
                <w:sz w:val="13"/>
                <w:szCs w:val="13"/>
                <w:color w:val="auto"/>
                <w:w w:val="92"/>
              </w:rPr>
              <w:t>Healthcare and Pharmaceuticals</w:t>
            </w:r>
          </w:p>
        </w:tc>
        <w:tc>
          <w:tcPr>
            <w:tcW w:w="1000" w:type="dxa"/>
            <w:vAlign w:val="bottom"/>
          </w:tcPr>
          <w:p>
            <w:pPr>
              <w:jc w:val="right"/>
              <w:ind w:right="153"/>
              <w:spacing w:after="0"/>
              <w:rPr>
                <w:sz w:val="20"/>
                <w:szCs w:val="20"/>
                <w:color w:val="auto"/>
              </w:rPr>
            </w:pPr>
            <w:r>
              <w:rPr>
                <w:rFonts w:ascii="Arial" w:cs="Arial" w:eastAsia="Arial" w:hAnsi="Arial"/>
                <w:sz w:val="13"/>
                <w:szCs w:val="13"/>
                <w:color w:val="auto"/>
              </w:rPr>
              <w:t>7.75%</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L+650</w:t>
            </w: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1,700,000</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1,691,500</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1,649,000</w:t>
            </w:r>
          </w:p>
        </w:tc>
        <w:tc>
          <w:tcPr>
            <w:tcW w:w="0" w:type="dxa"/>
            <w:vAlign w:val="bottom"/>
          </w:tcPr>
          <w:p>
            <w:pPr>
              <w:spacing w:after="0"/>
              <w:rPr>
                <w:sz w:val="1"/>
                <w:szCs w:val="1"/>
                <w:color w:val="auto"/>
              </w:rPr>
            </w:pPr>
          </w:p>
        </w:tc>
      </w:tr>
      <w:tr>
        <w:trPr>
          <w:trHeight w:val="138"/>
        </w:trPr>
        <w:tc>
          <w:tcPr>
            <w:tcW w:w="31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Instant Web, Inc.</w:t>
            </w:r>
          </w:p>
        </w:tc>
        <w:tc>
          <w:tcPr>
            <w:tcW w:w="1420" w:type="dxa"/>
            <w:vAlign w:val="bottom"/>
            <w:shd w:val="clear" w:color="auto" w:fill="CCEEFF"/>
          </w:tcPr>
          <w:p>
            <w:pPr>
              <w:jc w:val="center"/>
              <w:ind w:left="513"/>
              <w:spacing w:after="0" w:line="138" w:lineRule="exact"/>
              <w:rPr>
                <w:sz w:val="20"/>
                <w:szCs w:val="20"/>
                <w:color w:val="auto"/>
              </w:rPr>
            </w:pPr>
            <w:r>
              <w:rPr>
                <w:rFonts w:ascii="Arial" w:cs="Arial" w:eastAsia="Arial" w:hAnsi="Arial"/>
                <w:sz w:val="13"/>
                <w:szCs w:val="13"/>
                <w:color w:val="auto"/>
                <w:w w:val="92"/>
              </w:rPr>
              <w:t>08/07/2014</w:t>
            </w:r>
          </w:p>
        </w:tc>
        <w:tc>
          <w:tcPr>
            <w:tcW w:w="21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Media: Advertising, Printing and</w:t>
            </w:r>
          </w:p>
        </w:tc>
        <w:tc>
          <w:tcPr>
            <w:tcW w:w="1000" w:type="dxa"/>
            <w:vAlign w:val="bottom"/>
            <w:shd w:val="clear" w:color="auto" w:fill="CCEEFF"/>
          </w:tcPr>
          <w:p>
            <w:pPr>
              <w:jc w:val="right"/>
              <w:ind w:right="33"/>
              <w:spacing w:after="0" w:line="138" w:lineRule="exact"/>
              <w:rPr>
                <w:sz w:val="20"/>
                <w:szCs w:val="20"/>
                <w:color w:val="auto"/>
              </w:rPr>
            </w:pPr>
            <w:r>
              <w:rPr>
                <w:rFonts w:ascii="Arial" w:cs="Arial" w:eastAsia="Arial" w:hAnsi="Arial"/>
                <w:sz w:val="10"/>
                <w:szCs w:val="10"/>
                <w:color w:val="auto"/>
              </w:rPr>
              <w:t>3.59%</w:t>
            </w:r>
            <w:r>
              <w:rPr>
                <w:rFonts w:ascii="Arial" w:cs="Arial" w:eastAsia="Arial" w:hAnsi="Arial"/>
                <w:sz w:val="15"/>
                <w:szCs w:val="15"/>
                <w:color w:val="auto"/>
                <w:vertAlign w:val="superscript"/>
              </w:rPr>
              <w:t>(9)</w:t>
            </w:r>
          </w:p>
        </w:tc>
        <w:tc>
          <w:tcPr>
            <w:tcW w:w="880" w:type="dxa"/>
            <w:vAlign w:val="bottom"/>
            <w:shd w:val="clear" w:color="auto" w:fill="CCEEFF"/>
          </w:tcPr>
          <w:p>
            <w:pPr>
              <w:jc w:val="right"/>
              <w:ind w:right="73"/>
              <w:spacing w:after="0" w:line="138" w:lineRule="exact"/>
              <w:rPr>
                <w:sz w:val="20"/>
                <w:szCs w:val="20"/>
                <w:color w:val="auto"/>
              </w:rPr>
            </w:pPr>
            <w:r>
              <w:rPr>
                <w:rFonts w:ascii="Arial" w:cs="Arial" w:eastAsia="Arial" w:hAnsi="Arial"/>
                <w:sz w:val="13"/>
                <w:szCs w:val="13"/>
                <w:color w:val="auto"/>
              </w:rPr>
              <w:t>L+338</w:t>
            </w:r>
          </w:p>
        </w:tc>
        <w:tc>
          <w:tcPr>
            <w:tcW w:w="800" w:type="dxa"/>
            <w:vAlign w:val="bottom"/>
            <w:shd w:val="clear" w:color="auto" w:fill="CCEEFF"/>
          </w:tcPr>
          <w:p>
            <w:pPr>
              <w:jc w:val="right"/>
              <w:ind w:right="53"/>
              <w:spacing w:after="0" w:line="138" w:lineRule="exact"/>
              <w:rPr>
                <w:sz w:val="20"/>
                <w:szCs w:val="20"/>
                <w:color w:val="auto"/>
              </w:rPr>
            </w:pPr>
            <w:r>
              <w:rPr>
                <w:rFonts w:ascii="Arial" w:cs="Arial" w:eastAsia="Arial" w:hAnsi="Arial"/>
                <w:sz w:val="13"/>
                <w:szCs w:val="13"/>
                <w:color w:val="auto"/>
              </w:rPr>
              <w:t>6,836,508</w:t>
            </w:r>
          </w:p>
        </w:tc>
        <w:tc>
          <w:tcPr>
            <w:tcW w:w="860" w:type="dxa"/>
            <w:vAlign w:val="bottom"/>
            <w:shd w:val="clear" w:color="auto" w:fill="CCEEFF"/>
          </w:tcPr>
          <w:p>
            <w:pPr>
              <w:jc w:val="right"/>
              <w:ind w:right="53"/>
              <w:spacing w:after="0" w:line="138" w:lineRule="exact"/>
              <w:rPr>
                <w:sz w:val="20"/>
                <w:szCs w:val="20"/>
                <w:color w:val="auto"/>
              </w:rPr>
            </w:pPr>
            <w:r>
              <w:rPr>
                <w:rFonts w:ascii="Arial" w:cs="Arial" w:eastAsia="Arial" w:hAnsi="Arial"/>
                <w:sz w:val="13"/>
                <w:szCs w:val="13"/>
                <w:color w:val="auto"/>
              </w:rPr>
              <w:t>6,534,349</w:t>
            </w:r>
          </w:p>
        </w:tc>
        <w:tc>
          <w:tcPr>
            <w:tcW w:w="98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5,247,020</w:t>
            </w:r>
          </w:p>
        </w:tc>
        <w:tc>
          <w:tcPr>
            <w:tcW w:w="0" w:type="dxa"/>
            <w:vAlign w:val="bottom"/>
          </w:tcPr>
          <w:p>
            <w:pPr>
              <w:spacing w:after="0"/>
              <w:rPr>
                <w:sz w:val="1"/>
                <w:szCs w:val="1"/>
                <w:color w:val="auto"/>
              </w:rPr>
            </w:pPr>
          </w:p>
        </w:tc>
      </w:tr>
      <w:tr>
        <w:trPr>
          <w:trHeight w:val="159"/>
        </w:trPr>
        <w:tc>
          <w:tcPr>
            <w:tcW w:w="31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Publishing</w:t>
            </w:r>
          </w:p>
        </w:tc>
        <w:tc>
          <w:tcPr>
            <w:tcW w:w="10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180" w:type="dxa"/>
            <w:vAlign w:val="bottom"/>
          </w:tcPr>
          <w:p>
            <w:pPr>
              <w:spacing w:after="0"/>
              <w:rPr>
                <w:sz w:val="20"/>
                <w:szCs w:val="20"/>
                <w:color w:val="auto"/>
              </w:rPr>
            </w:pPr>
            <w:r>
              <w:rPr>
                <w:rFonts w:ascii="Arial" w:cs="Arial" w:eastAsia="Arial" w:hAnsi="Arial"/>
                <w:sz w:val="13"/>
                <w:szCs w:val="13"/>
                <w:color w:val="auto"/>
              </w:rPr>
              <w:t>K2 Pure Solutions NoCal, L.P.</w:t>
            </w:r>
          </w:p>
        </w:tc>
        <w:tc>
          <w:tcPr>
            <w:tcW w:w="1420" w:type="dxa"/>
            <w:vAlign w:val="bottom"/>
          </w:tcPr>
          <w:p>
            <w:pPr>
              <w:jc w:val="center"/>
              <w:ind w:left="513"/>
              <w:spacing w:after="0"/>
              <w:rPr>
                <w:sz w:val="20"/>
                <w:szCs w:val="20"/>
                <w:color w:val="auto"/>
              </w:rPr>
            </w:pPr>
            <w:r>
              <w:rPr>
                <w:rFonts w:ascii="Arial" w:cs="Arial" w:eastAsia="Arial" w:hAnsi="Arial"/>
                <w:sz w:val="13"/>
                <w:szCs w:val="13"/>
                <w:color w:val="auto"/>
                <w:w w:val="92"/>
              </w:rPr>
              <w:t>09/10/2015</w:t>
            </w:r>
          </w:p>
        </w:tc>
        <w:tc>
          <w:tcPr>
            <w:tcW w:w="2120" w:type="dxa"/>
            <w:vAlign w:val="bottom"/>
          </w:tcPr>
          <w:p>
            <w:pPr>
              <w:jc w:val="center"/>
              <w:spacing w:after="0"/>
              <w:rPr>
                <w:sz w:val="20"/>
                <w:szCs w:val="20"/>
                <w:color w:val="auto"/>
              </w:rPr>
            </w:pPr>
            <w:r>
              <w:rPr>
                <w:rFonts w:ascii="Arial" w:cs="Arial" w:eastAsia="Arial" w:hAnsi="Arial"/>
                <w:sz w:val="13"/>
                <w:szCs w:val="13"/>
                <w:color w:val="auto"/>
                <w:w w:val="93"/>
              </w:rPr>
              <w:t>Chemicals, Plastics and Rubber</w:t>
            </w:r>
          </w:p>
        </w:tc>
        <w:tc>
          <w:tcPr>
            <w:tcW w:w="1000" w:type="dxa"/>
            <w:vAlign w:val="bottom"/>
          </w:tcPr>
          <w:p>
            <w:pPr>
              <w:jc w:val="right"/>
              <w:ind w:right="153"/>
              <w:spacing w:after="0"/>
              <w:rPr>
                <w:sz w:val="20"/>
                <w:szCs w:val="20"/>
                <w:color w:val="auto"/>
              </w:rPr>
            </w:pPr>
            <w:r>
              <w:rPr>
                <w:rFonts w:ascii="Arial" w:cs="Arial" w:eastAsia="Arial" w:hAnsi="Arial"/>
                <w:sz w:val="13"/>
                <w:szCs w:val="13"/>
                <w:color w:val="auto"/>
              </w:rPr>
              <w:t>10.00%</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L+775</w:t>
            </w: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5,476,250</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5,512,699</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5,558,394</w:t>
            </w:r>
          </w:p>
        </w:tc>
        <w:tc>
          <w:tcPr>
            <w:tcW w:w="0" w:type="dxa"/>
            <w:vAlign w:val="bottom"/>
          </w:tcPr>
          <w:p>
            <w:pPr>
              <w:spacing w:after="0"/>
              <w:rPr>
                <w:sz w:val="1"/>
                <w:szCs w:val="1"/>
                <w:color w:val="auto"/>
              </w:rPr>
            </w:pPr>
          </w:p>
        </w:tc>
      </w:tr>
      <w:tr>
        <w:trPr>
          <w:trHeight w:val="44"/>
        </w:trPr>
        <w:tc>
          <w:tcPr>
            <w:tcW w:w="31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31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KIK Custom Products Inc. </w:t>
            </w:r>
            <w:r>
              <w:rPr>
                <w:rFonts w:ascii="Arial" w:cs="Arial" w:eastAsia="Arial" w:hAnsi="Arial"/>
                <w:sz w:val="17"/>
                <w:szCs w:val="17"/>
                <w:color w:val="auto"/>
                <w:vertAlign w:val="superscript"/>
              </w:rPr>
              <w:t>(6), (8)</w:t>
            </w:r>
          </w:p>
        </w:tc>
        <w:tc>
          <w:tcPr>
            <w:tcW w:w="1420" w:type="dxa"/>
            <w:vAlign w:val="bottom"/>
            <w:shd w:val="clear" w:color="auto" w:fill="CCEEFF"/>
          </w:tcPr>
          <w:p>
            <w:pPr>
              <w:jc w:val="center"/>
              <w:ind w:left="513"/>
              <w:spacing w:after="0"/>
              <w:rPr>
                <w:sz w:val="20"/>
                <w:szCs w:val="20"/>
                <w:color w:val="auto"/>
              </w:rPr>
            </w:pPr>
            <w:r>
              <w:rPr>
                <w:rFonts w:ascii="Arial" w:cs="Arial" w:eastAsia="Arial" w:hAnsi="Arial"/>
                <w:sz w:val="13"/>
                <w:szCs w:val="13"/>
                <w:color w:val="auto"/>
                <w:w w:val="92"/>
              </w:rPr>
              <w:t>06/02/2014</w:t>
            </w:r>
          </w:p>
        </w:tc>
        <w:tc>
          <w:tcPr>
            <w:tcW w:w="2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Consumer Goods: Non-Durable</w:t>
            </w:r>
          </w:p>
        </w:tc>
        <w:tc>
          <w:tcPr>
            <w:tcW w:w="10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8.50%</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L+700</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4,937,500</w:t>
            </w: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4,845,282</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4,863,438</w:t>
            </w:r>
          </w:p>
        </w:tc>
        <w:tc>
          <w:tcPr>
            <w:tcW w:w="0" w:type="dxa"/>
            <w:vAlign w:val="bottom"/>
          </w:tcPr>
          <w:p>
            <w:pPr>
              <w:spacing w:after="0"/>
              <w:rPr>
                <w:sz w:val="1"/>
                <w:szCs w:val="1"/>
                <w:color w:val="auto"/>
              </w:rPr>
            </w:pPr>
          </w:p>
        </w:tc>
      </w:tr>
      <w:tr>
        <w:trPr>
          <w:trHeight w:val="149"/>
        </w:trPr>
        <w:tc>
          <w:tcPr>
            <w:tcW w:w="3180" w:type="dxa"/>
            <w:vAlign w:val="bottom"/>
          </w:tcPr>
          <w:p>
            <w:pPr>
              <w:spacing w:after="0"/>
              <w:rPr>
                <w:sz w:val="20"/>
                <w:szCs w:val="20"/>
                <w:color w:val="auto"/>
              </w:rPr>
            </w:pPr>
            <w:r>
              <w:rPr>
                <w:rFonts w:ascii="Arial" w:cs="Arial" w:eastAsia="Arial" w:hAnsi="Arial"/>
                <w:sz w:val="13"/>
                <w:szCs w:val="13"/>
                <w:color w:val="auto"/>
              </w:rPr>
              <w:t>Medpace Intermediateco, Inc.</w:t>
            </w:r>
          </w:p>
        </w:tc>
        <w:tc>
          <w:tcPr>
            <w:tcW w:w="1420" w:type="dxa"/>
            <w:vAlign w:val="bottom"/>
          </w:tcPr>
          <w:p>
            <w:pPr>
              <w:jc w:val="center"/>
              <w:ind w:left="513"/>
              <w:spacing w:after="0"/>
              <w:rPr>
                <w:sz w:val="20"/>
                <w:szCs w:val="20"/>
                <w:color w:val="auto"/>
              </w:rPr>
            </w:pPr>
            <w:r>
              <w:rPr>
                <w:rFonts w:ascii="Arial" w:cs="Arial" w:eastAsia="Arial" w:hAnsi="Arial"/>
                <w:sz w:val="13"/>
                <w:szCs w:val="13"/>
                <w:color w:val="auto"/>
                <w:w w:val="92"/>
              </w:rPr>
              <w:t>06/19/2017</w:t>
            </w:r>
          </w:p>
        </w:tc>
        <w:tc>
          <w:tcPr>
            <w:tcW w:w="2120" w:type="dxa"/>
            <w:vAlign w:val="bottom"/>
          </w:tcPr>
          <w:p>
            <w:pPr>
              <w:jc w:val="center"/>
              <w:spacing w:after="0"/>
              <w:rPr>
                <w:sz w:val="20"/>
                <w:szCs w:val="20"/>
                <w:color w:val="auto"/>
              </w:rPr>
            </w:pPr>
            <w:r>
              <w:rPr>
                <w:rFonts w:ascii="Arial" w:cs="Arial" w:eastAsia="Arial" w:hAnsi="Arial"/>
                <w:sz w:val="13"/>
                <w:szCs w:val="13"/>
                <w:color w:val="auto"/>
                <w:w w:val="90"/>
              </w:rPr>
              <w:t>Business Services</w:t>
            </w:r>
          </w:p>
        </w:tc>
        <w:tc>
          <w:tcPr>
            <w:tcW w:w="1000" w:type="dxa"/>
            <w:vAlign w:val="bottom"/>
          </w:tcPr>
          <w:p>
            <w:pPr>
              <w:jc w:val="right"/>
              <w:ind w:right="153"/>
              <w:spacing w:after="0"/>
              <w:rPr>
                <w:sz w:val="20"/>
                <w:szCs w:val="20"/>
                <w:color w:val="auto"/>
              </w:rPr>
            </w:pPr>
            <w:r>
              <w:rPr>
                <w:rFonts w:ascii="Arial" w:cs="Arial" w:eastAsia="Arial" w:hAnsi="Arial"/>
                <w:sz w:val="13"/>
                <w:szCs w:val="13"/>
                <w:color w:val="auto"/>
              </w:rPr>
              <w:t>6.50%</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L+500</w:t>
            </w: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1,844,649</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1,821,373</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1,766,252</w:t>
            </w:r>
          </w:p>
        </w:tc>
        <w:tc>
          <w:tcPr>
            <w:tcW w:w="0" w:type="dxa"/>
            <w:vAlign w:val="bottom"/>
          </w:tcPr>
          <w:p>
            <w:pPr>
              <w:spacing w:after="0"/>
              <w:rPr>
                <w:sz w:val="1"/>
                <w:szCs w:val="1"/>
                <w:color w:val="auto"/>
              </w:rPr>
            </w:pPr>
          </w:p>
        </w:tc>
      </w:tr>
      <w:tr>
        <w:trPr>
          <w:trHeight w:val="148"/>
        </w:trPr>
        <w:tc>
          <w:tcPr>
            <w:tcW w:w="3180" w:type="dxa"/>
            <w:vAlign w:val="bottom"/>
            <w:shd w:val="clear" w:color="auto" w:fill="CCEEFF"/>
          </w:tcPr>
          <w:p>
            <w:pPr>
              <w:spacing w:after="0"/>
              <w:rPr>
                <w:sz w:val="20"/>
                <w:szCs w:val="20"/>
                <w:color w:val="auto"/>
              </w:rPr>
            </w:pPr>
            <w:r>
              <w:rPr>
                <w:rFonts w:ascii="Arial" w:cs="Arial" w:eastAsia="Arial" w:hAnsi="Arial"/>
                <w:sz w:val="13"/>
                <w:szCs w:val="13"/>
                <w:color w:val="auto"/>
              </w:rPr>
              <w:t>MModal Inc.</w:t>
            </w:r>
          </w:p>
        </w:tc>
        <w:tc>
          <w:tcPr>
            <w:tcW w:w="1420" w:type="dxa"/>
            <w:vAlign w:val="bottom"/>
            <w:shd w:val="clear" w:color="auto" w:fill="CCEEFF"/>
          </w:tcPr>
          <w:p>
            <w:pPr>
              <w:jc w:val="center"/>
              <w:ind w:left="513"/>
              <w:spacing w:after="0"/>
              <w:rPr>
                <w:sz w:val="20"/>
                <w:szCs w:val="20"/>
                <w:color w:val="auto"/>
              </w:rPr>
            </w:pPr>
            <w:r>
              <w:rPr>
                <w:rFonts w:ascii="Arial" w:cs="Arial" w:eastAsia="Arial" w:hAnsi="Arial"/>
                <w:sz w:val="13"/>
                <w:szCs w:val="13"/>
                <w:color w:val="auto"/>
                <w:w w:val="92"/>
              </w:rPr>
              <w:t>08/16/2019</w:t>
            </w:r>
          </w:p>
        </w:tc>
        <w:tc>
          <w:tcPr>
            <w:tcW w:w="2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Business Services</w:t>
            </w:r>
          </w:p>
        </w:tc>
        <w:tc>
          <w:tcPr>
            <w:tcW w:w="10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6.75%</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L+550</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3,400,000</w:t>
            </w: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3,349,374</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3,351,125</w:t>
            </w:r>
          </w:p>
        </w:tc>
        <w:tc>
          <w:tcPr>
            <w:tcW w:w="0" w:type="dxa"/>
            <w:vAlign w:val="bottom"/>
          </w:tcPr>
          <w:p>
            <w:pPr>
              <w:spacing w:after="0"/>
              <w:rPr>
                <w:sz w:val="1"/>
                <w:szCs w:val="1"/>
                <w:color w:val="auto"/>
              </w:rPr>
            </w:pPr>
          </w:p>
        </w:tc>
      </w:tr>
      <w:tr>
        <w:trPr>
          <w:trHeight w:val="216"/>
        </w:trPr>
        <w:tc>
          <w:tcPr>
            <w:tcW w:w="3180" w:type="dxa"/>
            <w:vAlign w:val="bottom"/>
          </w:tcPr>
          <w:p>
            <w:pPr>
              <w:spacing w:after="0" w:line="216" w:lineRule="exact"/>
              <w:rPr>
                <w:sz w:val="20"/>
                <w:szCs w:val="20"/>
                <w:color w:val="auto"/>
              </w:rPr>
            </w:pPr>
            <w:r>
              <w:rPr>
                <w:rFonts w:ascii="Arial" w:cs="Arial" w:eastAsia="Arial" w:hAnsi="Arial"/>
                <w:sz w:val="13"/>
                <w:szCs w:val="13"/>
                <w:color w:val="auto"/>
              </w:rPr>
              <w:t xml:space="preserve">Mood Media Corporation </w:t>
            </w:r>
            <w:r>
              <w:rPr>
                <w:rFonts w:ascii="Arial" w:cs="Arial" w:eastAsia="Arial" w:hAnsi="Arial"/>
                <w:sz w:val="22"/>
                <w:szCs w:val="22"/>
                <w:color w:val="auto"/>
                <w:vertAlign w:val="superscript"/>
              </w:rPr>
              <w:t>(6)</w:t>
            </w:r>
          </w:p>
        </w:tc>
        <w:tc>
          <w:tcPr>
            <w:tcW w:w="1420" w:type="dxa"/>
            <w:vAlign w:val="bottom"/>
          </w:tcPr>
          <w:p>
            <w:pPr>
              <w:jc w:val="center"/>
              <w:ind w:left="513"/>
              <w:spacing w:after="0"/>
              <w:rPr>
                <w:sz w:val="20"/>
                <w:szCs w:val="20"/>
                <w:color w:val="auto"/>
              </w:rPr>
            </w:pPr>
            <w:r>
              <w:rPr>
                <w:rFonts w:ascii="Arial" w:cs="Arial" w:eastAsia="Arial" w:hAnsi="Arial"/>
                <w:sz w:val="13"/>
                <w:szCs w:val="13"/>
                <w:color w:val="auto"/>
                <w:w w:val="92"/>
              </w:rPr>
              <w:t>05/07/2018</w:t>
            </w:r>
          </w:p>
        </w:tc>
        <w:tc>
          <w:tcPr>
            <w:tcW w:w="2120" w:type="dxa"/>
            <w:vAlign w:val="bottom"/>
          </w:tcPr>
          <w:p>
            <w:pPr>
              <w:jc w:val="center"/>
              <w:spacing w:after="0"/>
              <w:rPr>
                <w:sz w:val="20"/>
                <w:szCs w:val="20"/>
                <w:color w:val="auto"/>
              </w:rPr>
            </w:pPr>
            <w:r>
              <w:rPr>
                <w:rFonts w:ascii="Arial" w:cs="Arial" w:eastAsia="Arial" w:hAnsi="Arial"/>
                <w:sz w:val="13"/>
                <w:szCs w:val="13"/>
                <w:color w:val="auto"/>
                <w:w w:val="96"/>
              </w:rPr>
              <w:t>Media: Diversified and Production</w:t>
            </w:r>
          </w:p>
        </w:tc>
        <w:tc>
          <w:tcPr>
            <w:tcW w:w="1000" w:type="dxa"/>
            <w:vAlign w:val="bottom"/>
          </w:tcPr>
          <w:p>
            <w:pPr>
              <w:jc w:val="right"/>
              <w:ind w:right="153"/>
              <w:spacing w:after="0"/>
              <w:rPr>
                <w:sz w:val="20"/>
                <w:szCs w:val="20"/>
                <w:color w:val="auto"/>
              </w:rPr>
            </w:pPr>
            <w:r>
              <w:rPr>
                <w:rFonts w:ascii="Arial" w:cs="Arial" w:eastAsia="Arial" w:hAnsi="Arial"/>
                <w:sz w:val="13"/>
                <w:szCs w:val="13"/>
                <w:color w:val="auto"/>
              </w:rPr>
              <w:t>7.00%</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L+550</w:t>
            </w: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3,950,000</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3,916,596</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3,921,611</w:t>
            </w:r>
          </w:p>
        </w:tc>
        <w:tc>
          <w:tcPr>
            <w:tcW w:w="0" w:type="dxa"/>
            <w:vAlign w:val="bottom"/>
          </w:tcPr>
          <w:p>
            <w:pPr>
              <w:spacing w:after="0"/>
              <w:rPr>
                <w:sz w:val="1"/>
                <w:szCs w:val="1"/>
                <w:color w:val="auto"/>
              </w:rPr>
            </w:pPr>
          </w:p>
        </w:tc>
      </w:tr>
      <w:tr>
        <w:trPr>
          <w:trHeight w:val="149"/>
        </w:trPr>
        <w:tc>
          <w:tcPr>
            <w:tcW w:w="31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MOSAID Technologies Incorporated </w:t>
            </w:r>
            <w:r>
              <w:rPr>
                <w:rFonts w:ascii="Arial" w:cs="Arial" w:eastAsia="Arial" w:hAnsi="Arial"/>
                <w:sz w:val="17"/>
                <w:szCs w:val="17"/>
                <w:color w:val="auto"/>
                <w:vertAlign w:val="superscript"/>
              </w:rPr>
              <w:t>(6)</w:t>
            </w:r>
          </w:p>
        </w:tc>
        <w:tc>
          <w:tcPr>
            <w:tcW w:w="1420" w:type="dxa"/>
            <w:vAlign w:val="bottom"/>
            <w:shd w:val="clear" w:color="auto" w:fill="CCEEFF"/>
          </w:tcPr>
          <w:p>
            <w:pPr>
              <w:jc w:val="center"/>
              <w:ind w:left="513"/>
              <w:spacing w:after="0"/>
              <w:rPr>
                <w:sz w:val="20"/>
                <w:szCs w:val="20"/>
                <w:color w:val="auto"/>
              </w:rPr>
            </w:pPr>
            <w:r>
              <w:rPr>
                <w:rFonts w:ascii="Arial" w:cs="Arial" w:eastAsia="Arial" w:hAnsi="Arial"/>
                <w:sz w:val="13"/>
                <w:szCs w:val="13"/>
                <w:color w:val="auto"/>
                <w:w w:val="92"/>
              </w:rPr>
              <w:t>12/23/2016</w:t>
            </w:r>
          </w:p>
        </w:tc>
        <w:tc>
          <w:tcPr>
            <w:tcW w:w="2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High Tech Industries</w:t>
            </w:r>
          </w:p>
        </w:tc>
        <w:tc>
          <w:tcPr>
            <w:tcW w:w="10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8.50%</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L+700</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2,887,500</w:t>
            </w: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2,826,368</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2,887,500</w:t>
            </w:r>
          </w:p>
        </w:tc>
        <w:tc>
          <w:tcPr>
            <w:tcW w:w="0" w:type="dxa"/>
            <w:vAlign w:val="bottom"/>
          </w:tcPr>
          <w:p>
            <w:pPr>
              <w:spacing w:after="0"/>
              <w:rPr>
                <w:sz w:val="1"/>
                <w:szCs w:val="1"/>
                <w:color w:val="auto"/>
              </w:rPr>
            </w:pPr>
          </w:p>
        </w:tc>
      </w:tr>
      <w:tr>
        <w:trPr>
          <w:trHeight w:val="148"/>
        </w:trPr>
        <w:tc>
          <w:tcPr>
            <w:tcW w:w="3180" w:type="dxa"/>
            <w:vAlign w:val="bottom"/>
          </w:tcPr>
          <w:p>
            <w:pPr>
              <w:spacing w:after="0"/>
              <w:rPr>
                <w:sz w:val="20"/>
                <w:szCs w:val="20"/>
                <w:color w:val="auto"/>
              </w:rPr>
            </w:pPr>
            <w:r>
              <w:rPr>
                <w:rFonts w:ascii="Arial" w:cs="Arial" w:eastAsia="Arial" w:hAnsi="Arial"/>
                <w:sz w:val="13"/>
                <w:szCs w:val="13"/>
                <w:color w:val="auto"/>
              </w:rPr>
              <w:t>MX USA, INC and KAN-DI-KI, LLC</w:t>
            </w:r>
          </w:p>
        </w:tc>
        <w:tc>
          <w:tcPr>
            <w:tcW w:w="1420" w:type="dxa"/>
            <w:vAlign w:val="bottom"/>
          </w:tcPr>
          <w:p>
            <w:pPr>
              <w:jc w:val="center"/>
              <w:ind w:left="513"/>
              <w:spacing w:after="0"/>
              <w:rPr>
                <w:sz w:val="20"/>
                <w:szCs w:val="20"/>
                <w:color w:val="auto"/>
              </w:rPr>
            </w:pPr>
            <w:r>
              <w:rPr>
                <w:rFonts w:ascii="Arial" w:cs="Arial" w:eastAsia="Arial" w:hAnsi="Arial"/>
                <w:sz w:val="13"/>
                <w:szCs w:val="13"/>
                <w:color w:val="auto"/>
                <w:w w:val="92"/>
              </w:rPr>
              <w:t>05/01/2017</w:t>
            </w:r>
          </w:p>
        </w:tc>
        <w:tc>
          <w:tcPr>
            <w:tcW w:w="2120" w:type="dxa"/>
            <w:vAlign w:val="bottom"/>
          </w:tcPr>
          <w:p>
            <w:pPr>
              <w:jc w:val="center"/>
              <w:spacing w:after="0"/>
              <w:rPr>
                <w:sz w:val="20"/>
                <w:szCs w:val="20"/>
                <w:color w:val="auto"/>
              </w:rPr>
            </w:pPr>
            <w:r>
              <w:rPr>
                <w:rFonts w:ascii="Arial" w:cs="Arial" w:eastAsia="Arial" w:hAnsi="Arial"/>
                <w:sz w:val="13"/>
                <w:szCs w:val="13"/>
                <w:color w:val="auto"/>
                <w:w w:val="92"/>
              </w:rPr>
              <w:t>Healthcare and Pharmaceuticals</w:t>
            </w:r>
          </w:p>
        </w:tc>
        <w:tc>
          <w:tcPr>
            <w:tcW w:w="1000" w:type="dxa"/>
            <w:vAlign w:val="bottom"/>
          </w:tcPr>
          <w:p>
            <w:pPr>
              <w:jc w:val="right"/>
              <w:ind w:right="153"/>
              <w:spacing w:after="0"/>
              <w:rPr>
                <w:sz w:val="20"/>
                <w:szCs w:val="20"/>
                <w:color w:val="auto"/>
              </w:rPr>
            </w:pPr>
            <w:r>
              <w:rPr>
                <w:rFonts w:ascii="Arial" w:cs="Arial" w:eastAsia="Arial" w:hAnsi="Arial"/>
                <w:sz w:val="13"/>
                <w:szCs w:val="13"/>
                <w:color w:val="auto"/>
              </w:rPr>
              <w:t>6.50%</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L+525</w:t>
            </w: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2,985,000</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2,943,607</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2,955,150</w:t>
            </w:r>
          </w:p>
        </w:tc>
        <w:tc>
          <w:tcPr>
            <w:tcW w:w="0" w:type="dxa"/>
            <w:vAlign w:val="bottom"/>
          </w:tcPr>
          <w:p>
            <w:pPr>
              <w:spacing w:after="0"/>
              <w:rPr>
                <w:sz w:val="1"/>
                <w:szCs w:val="1"/>
                <w:color w:val="auto"/>
              </w:rPr>
            </w:pPr>
          </w:p>
        </w:tc>
      </w:tr>
      <w:tr>
        <w:trPr>
          <w:trHeight w:val="138"/>
        </w:trPr>
        <w:tc>
          <w:tcPr>
            <w:tcW w:w="31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NAB Holdings, LLC</w:t>
            </w:r>
          </w:p>
        </w:tc>
        <w:tc>
          <w:tcPr>
            <w:tcW w:w="1420" w:type="dxa"/>
            <w:vAlign w:val="bottom"/>
            <w:shd w:val="clear" w:color="auto" w:fill="CCEEFF"/>
          </w:tcPr>
          <w:p>
            <w:pPr>
              <w:jc w:val="center"/>
              <w:ind w:left="513"/>
              <w:spacing w:after="0" w:line="138" w:lineRule="exact"/>
              <w:rPr>
                <w:sz w:val="20"/>
                <w:szCs w:val="20"/>
                <w:color w:val="auto"/>
              </w:rPr>
            </w:pPr>
            <w:r>
              <w:rPr>
                <w:rFonts w:ascii="Arial" w:cs="Arial" w:eastAsia="Arial" w:hAnsi="Arial"/>
                <w:sz w:val="13"/>
                <w:szCs w:val="13"/>
                <w:color w:val="auto"/>
                <w:w w:val="92"/>
              </w:rPr>
              <w:t>04/24/2018</w:t>
            </w:r>
          </w:p>
        </w:tc>
        <w:tc>
          <w:tcPr>
            <w:tcW w:w="21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3"/>
              </w:rPr>
              <w:t>Banking, Finance, Insurance and</w:t>
            </w:r>
          </w:p>
        </w:tc>
        <w:tc>
          <w:tcPr>
            <w:tcW w:w="1000" w:type="dxa"/>
            <w:vAlign w:val="bottom"/>
            <w:shd w:val="clear" w:color="auto" w:fill="CCEEFF"/>
          </w:tcPr>
          <w:p>
            <w:pPr>
              <w:jc w:val="right"/>
              <w:ind w:right="153"/>
              <w:spacing w:after="0" w:line="138" w:lineRule="exact"/>
              <w:rPr>
                <w:sz w:val="20"/>
                <w:szCs w:val="20"/>
                <w:color w:val="auto"/>
              </w:rPr>
            </w:pPr>
            <w:r>
              <w:rPr>
                <w:rFonts w:ascii="Arial" w:cs="Arial" w:eastAsia="Arial" w:hAnsi="Arial"/>
                <w:sz w:val="13"/>
                <w:szCs w:val="13"/>
                <w:color w:val="auto"/>
              </w:rPr>
              <w:t>7.00%</w:t>
            </w:r>
          </w:p>
        </w:tc>
        <w:tc>
          <w:tcPr>
            <w:tcW w:w="880" w:type="dxa"/>
            <w:vAlign w:val="bottom"/>
            <w:shd w:val="clear" w:color="auto" w:fill="CCEEFF"/>
          </w:tcPr>
          <w:p>
            <w:pPr>
              <w:jc w:val="right"/>
              <w:ind w:right="73"/>
              <w:spacing w:after="0" w:line="138" w:lineRule="exact"/>
              <w:rPr>
                <w:sz w:val="20"/>
                <w:szCs w:val="20"/>
                <w:color w:val="auto"/>
              </w:rPr>
            </w:pPr>
            <w:r>
              <w:rPr>
                <w:rFonts w:ascii="Arial" w:cs="Arial" w:eastAsia="Arial" w:hAnsi="Arial"/>
                <w:sz w:val="13"/>
                <w:szCs w:val="13"/>
                <w:color w:val="auto"/>
              </w:rPr>
              <w:t>L+550</w:t>
            </w:r>
          </w:p>
        </w:tc>
        <w:tc>
          <w:tcPr>
            <w:tcW w:w="800" w:type="dxa"/>
            <w:vAlign w:val="bottom"/>
            <w:shd w:val="clear" w:color="auto" w:fill="CCEEFF"/>
          </w:tcPr>
          <w:p>
            <w:pPr>
              <w:jc w:val="right"/>
              <w:ind w:right="53"/>
              <w:spacing w:after="0" w:line="138" w:lineRule="exact"/>
              <w:rPr>
                <w:sz w:val="20"/>
                <w:szCs w:val="20"/>
                <w:color w:val="auto"/>
              </w:rPr>
            </w:pPr>
            <w:r>
              <w:rPr>
                <w:rFonts w:ascii="Arial" w:cs="Arial" w:eastAsia="Arial" w:hAnsi="Arial"/>
                <w:sz w:val="13"/>
                <w:szCs w:val="13"/>
                <w:color w:val="auto"/>
              </w:rPr>
              <w:t>987,500</w:t>
            </w:r>
          </w:p>
        </w:tc>
        <w:tc>
          <w:tcPr>
            <w:tcW w:w="860" w:type="dxa"/>
            <w:vAlign w:val="bottom"/>
            <w:shd w:val="clear" w:color="auto" w:fill="CCEEFF"/>
          </w:tcPr>
          <w:p>
            <w:pPr>
              <w:jc w:val="right"/>
              <w:ind w:right="53"/>
              <w:spacing w:after="0" w:line="138" w:lineRule="exact"/>
              <w:rPr>
                <w:sz w:val="20"/>
                <w:szCs w:val="20"/>
                <w:color w:val="auto"/>
              </w:rPr>
            </w:pPr>
            <w:r>
              <w:rPr>
                <w:rFonts w:ascii="Arial" w:cs="Arial" w:eastAsia="Arial" w:hAnsi="Arial"/>
                <w:sz w:val="13"/>
                <w:szCs w:val="13"/>
                <w:color w:val="auto"/>
              </w:rPr>
              <w:t>973,817</w:t>
            </w:r>
          </w:p>
        </w:tc>
        <w:tc>
          <w:tcPr>
            <w:tcW w:w="98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997,375</w:t>
            </w:r>
          </w:p>
        </w:tc>
        <w:tc>
          <w:tcPr>
            <w:tcW w:w="0" w:type="dxa"/>
            <w:vAlign w:val="bottom"/>
          </w:tcPr>
          <w:p>
            <w:pPr>
              <w:spacing w:after="0"/>
              <w:rPr>
                <w:sz w:val="1"/>
                <w:szCs w:val="1"/>
                <w:color w:val="auto"/>
              </w:rPr>
            </w:pPr>
          </w:p>
        </w:tc>
      </w:tr>
      <w:tr>
        <w:trPr>
          <w:trHeight w:val="159"/>
        </w:trPr>
        <w:tc>
          <w:tcPr>
            <w:tcW w:w="31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Real Estate</w:t>
            </w:r>
          </w:p>
        </w:tc>
        <w:tc>
          <w:tcPr>
            <w:tcW w:w="10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80" w:type="dxa"/>
            <w:vAlign w:val="bottom"/>
          </w:tcPr>
          <w:p>
            <w:pPr>
              <w:spacing w:after="0"/>
              <w:rPr>
                <w:sz w:val="20"/>
                <w:szCs w:val="20"/>
                <w:color w:val="auto"/>
              </w:rPr>
            </w:pPr>
            <w:r>
              <w:rPr>
                <w:rFonts w:ascii="Arial" w:cs="Arial" w:eastAsia="Arial" w:hAnsi="Arial"/>
                <w:sz w:val="13"/>
                <w:szCs w:val="13"/>
                <w:color w:val="auto"/>
              </w:rPr>
              <w:t>Pelican Products, Inc.</w:t>
            </w:r>
          </w:p>
        </w:tc>
        <w:tc>
          <w:tcPr>
            <w:tcW w:w="1420" w:type="dxa"/>
            <w:vAlign w:val="bottom"/>
          </w:tcPr>
          <w:p>
            <w:pPr>
              <w:jc w:val="center"/>
              <w:ind w:left="513"/>
              <w:spacing w:after="0"/>
              <w:rPr>
                <w:sz w:val="20"/>
                <w:szCs w:val="20"/>
                <w:color w:val="auto"/>
              </w:rPr>
            </w:pPr>
            <w:r>
              <w:rPr>
                <w:rFonts w:ascii="Arial" w:cs="Arial" w:eastAsia="Arial" w:hAnsi="Arial"/>
                <w:sz w:val="13"/>
                <w:szCs w:val="13"/>
                <w:color w:val="auto"/>
                <w:w w:val="92"/>
              </w:rPr>
              <w:t>07/11/2018</w:t>
            </w:r>
          </w:p>
        </w:tc>
        <w:tc>
          <w:tcPr>
            <w:tcW w:w="2120" w:type="dxa"/>
            <w:vAlign w:val="bottom"/>
          </w:tcPr>
          <w:p>
            <w:pPr>
              <w:jc w:val="center"/>
              <w:spacing w:after="0"/>
              <w:rPr>
                <w:sz w:val="20"/>
                <w:szCs w:val="20"/>
                <w:color w:val="auto"/>
              </w:rPr>
            </w:pPr>
            <w:r>
              <w:rPr>
                <w:rFonts w:ascii="Arial" w:cs="Arial" w:eastAsia="Arial" w:hAnsi="Arial"/>
                <w:sz w:val="13"/>
                <w:szCs w:val="13"/>
                <w:color w:val="auto"/>
                <w:w w:val="92"/>
              </w:rPr>
              <w:t>Containers, Packaging and Glass</w:t>
            </w:r>
          </w:p>
        </w:tc>
        <w:tc>
          <w:tcPr>
            <w:tcW w:w="1000" w:type="dxa"/>
            <w:vAlign w:val="bottom"/>
          </w:tcPr>
          <w:p>
            <w:pPr>
              <w:jc w:val="right"/>
              <w:ind w:right="153"/>
              <w:spacing w:after="0"/>
              <w:rPr>
                <w:sz w:val="20"/>
                <w:szCs w:val="20"/>
                <w:color w:val="auto"/>
              </w:rPr>
            </w:pPr>
            <w:r>
              <w:rPr>
                <w:rFonts w:ascii="Arial" w:cs="Arial" w:eastAsia="Arial" w:hAnsi="Arial"/>
                <w:sz w:val="13"/>
                <w:szCs w:val="13"/>
                <w:color w:val="auto"/>
              </w:rPr>
              <w:t>7.00%</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L+550</w:t>
            </w: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1,496,250</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1,467,389</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1,492,509</w:t>
            </w:r>
          </w:p>
        </w:tc>
        <w:tc>
          <w:tcPr>
            <w:tcW w:w="0" w:type="dxa"/>
            <w:vAlign w:val="bottom"/>
          </w:tcPr>
          <w:p>
            <w:pPr>
              <w:spacing w:after="0"/>
              <w:rPr>
                <w:sz w:val="1"/>
                <w:szCs w:val="1"/>
                <w:color w:val="auto"/>
              </w:rPr>
            </w:pPr>
          </w:p>
        </w:tc>
      </w:tr>
      <w:tr>
        <w:trPr>
          <w:trHeight w:val="138"/>
        </w:trPr>
        <w:tc>
          <w:tcPr>
            <w:tcW w:w="31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Penton Media, Inc.</w:t>
            </w:r>
          </w:p>
        </w:tc>
        <w:tc>
          <w:tcPr>
            <w:tcW w:w="1420" w:type="dxa"/>
            <w:vAlign w:val="bottom"/>
            <w:shd w:val="clear" w:color="auto" w:fill="CCEEFF"/>
          </w:tcPr>
          <w:p>
            <w:pPr>
              <w:jc w:val="center"/>
              <w:ind w:left="513"/>
              <w:spacing w:after="0" w:line="138" w:lineRule="exact"/>
              <w:rPr>
                <w:sz w:val="20"/>
                <w:szCs w:val="20"/>
                <w:color w:val="auto"/>
              </w:rPr>
            </w:pPr>
            <w:r>
              <w:rPr>
                <w:rFonts w:ascii="Arial" w:cs="Arial" w:eastAsia="Arial" w:hAnsi="Arial"/>
                <w:sz w:val="13"/>
                <w:szCs w:val="13"/>
                <w:color w:val="auto"/>
                <w:w w:val="92"/>
              </w:rPr>
              <w:t>08/01/2014</w:t>
            </w:r>
          </w:p>
        </w:tc>
        <w:tc>
          <w:tcPr>
            <w:tcW w:w="21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Media: Diversified and Production</w:t>
            </w:r>
          </w:p>
        </w:tc>
        <w:tc>
          <w:tcPr>
            <w:tcW w:w="1000" w:type="dxa"/>
            <w:vAlign w:val="bottom"/>
            <w:shd w:val="clear" w:color="auto" w:fill="CCEEFF"/>
          </w:tcPr>
          <w:p>
            <w:pPr>
              <w:jc w:val="right"/>
              <w:ind w:right="153"/>
              <w:spacing w:after="0" w:line="138" w:lineRule="exact"/>
              <w:rPr>
                <w:sz w:val="20"/>
                <w:szCs w:val="20"/>
                <w:color w:val="auto"/>
              </w:rPr>
            </w:pPr>
            <w:r>
              <w:rPr>
                <w:rFonts w:ascii="Arial" w:cs="Arial" w:eastAsia="Arial" w:hAnsi="Arial"/>
                <w:sz w:val="13"/>
                <w:szCs w:val="13"/>
                <w:color w:val="auto"/>
              </w:rPr>
              <w:t>5.00%</w:t>
            </w:r>
          </w:p>
        </w:tc>
        <w:tc>
          <w:tcPr>
            <w:tcW w:w="880" w:type="dxa"/>
            <w:vAlign w:val="bottom"/>
            <w:shd w:val="clear" w:color="auto" w:fill="CCEEFF"/>
          </w:tcPr>
          <w:p>
            <w:pPr>
              <w:jc w:val="right"/>
              <w:ind w:right="73"/>
              <w:spacing w:after="0" w:line="138" w:lineRule="exact"/>
              <w:rPr>
                <w:sz w:val="20"/>
                <w:szCs w:val="20"/>
                <w:color w:val="auto"/>
              </w:rPr>
            </w:pPr>
            <w:r>
              <w:rPr>
                <w:rFonts w:ascii="Arial" w:cs="Arial" w:eastAsia="Arial" w:hAnsi="Arial"/>
                <w:sz w:val="13"/>
                <w:szCs w:val="13"/>
                <w:color w:val="auto"/>
              </w:rPr>
              <w:t>L+400</w:t>
            </w:r>
          </w:p>
        </w:tc>
        <w:tc>
          <w:tcPr>
            <w:tcW w:w="800" w:type="dxa"/>
            <w:vAlign w:val="bottom"/>
            <w:shd w:val="clear" w:color="auto" w:fill="CCEEFF"/>
          </w:tcPr>
          <w:p>
            <w:pPr>
              <w:jc w:val="right"/>
              <w:ind w:right="53"/>
              <w:spacing w:after="0" w:line="138" w:lineRule="exact"/>
              <w:rPr>
                <w:sz w:val="20"/>
                <w:szCs w:val="20"/>
                <w:color w:val="auto"/>
              </w:rPr>
            </w:pPr>
            <w:r>
              <w:rPr>
                <w:rFonts w:ascii="Arial" w:cs="Arial" w:eastAsia="Arial" w:hAnsi="Arial"/>
                <w:sz w:val="13"/>
                <w:szCs w:val="13"/>
                <w:color w:val="auto"/>
              </w:rPr>
              <w:t>5,497,407</w:t>
            </w:r>
          </w:p>
        </w:tc>
        <w:tc>
          <w:tcPr>
            <w:tcW w:w="860" w:type="dxa"/>
            <w:vAlign w:val="bottom"/>
            <w:shd w:val="clear" w:color="auto" w:fill="CCEEFF"/>
          </w:tcPr>
          <w:p>
            <w:pPr>
              <w:jc w:val="right"/>
              <w:ind w:right="53"/>
              <w:spacing w:after="0" w:line="138" w:lineRule="exact"/>
              <w:rPr>
                <w:sz w:val="20"/>
                <w:szCs w:val="20"/>
                <w:color w:val="auto"/>
              </w:rPr>
            </w:pPr>
            <w:r>
              <w:rPr>
                <w:rFonts w:ascii="Arial" w:cs="Arial" w:eastAsia="Arial" w:hAnsi="Arial"/>
                <w:sz w:val="13"/>
                <w:szCs w:val="13"/>
                <w:color w:val="auto"/>
              </w:rPr>
              <w:t>4,931,995</w:t>
            </w:r>
          </w:p>
        </w:tc>
        <w:tc>
          <w:tcPr>
            <w:tcW w:w="98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4,439,156</w:t>
            </w:r>
          </w:p>
        </w:tc>
        <w:tc>
          <w:tcPr>
            <w:tcW w:w="0" w:type="dxa"/>
            <w:vAlign w:val="bottom"/>
          </w:tcPr>
          <w:p>
            <w:pPr>
              <w:spacing w:after="0"/>
              <w:rPr>
                <w:sz w:val="1"/>
                <w:szCs w:val="1"/>
                <w:color w:val="auto"/>
              </w:rPr>
            </w:pPr>
          </w:p>
        </w:tc>
      </w:tr>
      <w:tr>
        <w:trPr>
          <w:trHeight w:val="173"/>
        </w:trPr>
        <w:tc>
          <w:tcPr>
            <w:tcW w:w="31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1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(PIK 1.00%)</w:t>
            </w:r>
          </w:p>
        </w:tc>
        <w:tc>
          <w:tcPr>
            <w:tcW w:w="8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20"/>
                <w:szCs w:val="20"/>
                <w:color w:val="auto"/>
              </w:rPr>
            </w:pPr>
            <w:r>
              <w:rPr>
                <w:rFonts w:ascii="Arial" w:cs="Arial" w:eastAsia="Arial" w:hAnsi="Arial"/>
                <w:sz w:val="13"/>
                <w:szCs w:val="13"/>
                <w:color w:val="auto"/>
              </w:rPr>
              <w:t>Potter’s Holdings II, L.P.</w:t>
            </w:r>
          </w:p>
        </w:tc>
        <w:tc>
          <w:tcPr>
            <w:tcW w:w="1420" w:type="dxa"/>
            <w:vAlign w:val="bottom"/>
          </w:tcPr>
          <w:p>
            <w:pPr>
              <w:jc w:val="center"/>
              <w:ind w:left="513"/>
              <w:spacing w:after="0"/>
              <w:rPr>
                <w:sz w:val="20"/>
                <w:szCs w:val="20"/>
                <w:color w:val="auto"/>
              </w:rPr>
            </w:pPr>
            <w:r>
              <w:rPr>
                <w:rFonts w:ascii="Arial" w:cs="Arial" w:eastAsia="Arial" w:hAnsi="Arial"/>
                <w:sz w:val="13"/>
                <w:szCs w:val="13"/>
                <w:color w:val="auto"/>
                <w:w w:val="92"/>
              </w:rPr>
              <w:t>05/08/2017</w:t>
            </w:r>
          </w:p>
        </w:tc>
        <w:tc>
          <w:tcPr>
            <w:tcW w:w="2120" w:type="dxa"/>
            <w:vAlign w:val="bottom"/>
          </w:tcPr>
          <w:p>
            <w:pPr>
              <w:jc w:val="center"/>
              <w:spacing w:after="0"/>
              <w:rPr>
                <w:sz w:val="20"/>
                <w:szCs w:val="20"/>
                <w:color w:val="auto"/>
              </w:rPr>
            </w:pPr>
            <w:r>
              <w:rPr>
                <w:rFonts w:ascii="Arial" w:cs="Arial" w:eastAsia="Arial" w:hAnsi="Arial"/>
                <w:sz w:val="13"/>
                <w:szCs w:val="13"/>
                <w:color w:val="auto"/>
                <w:w w:val="92"/>
              </w:rPr>
              <w:t>Containers, Packaging and Glass</w:t>
            </w:r>
          </w:p>
        </w:tc>
        <w:tc>
          <w:tcPr>
            <w:tcW w:w="1000" w:type="dxa"/>
            <w:vAlign w:val="bottom"/>
          </w:tcPr>
          <w:p>
            <w:pPr>
              <w:jc w:val="right"/>
              <w:ind w:right="153"/>
              <w:spacing w:after="0"/>
              <w:rPr>
                <w:sz w:val="20"/>
                <w:szCs w:val="20"/>
                <w:color w:val="auto"/>
              </w:rPr>
            </w:pPr>
            <w:r>
              <w:rPr>
                <w:rFonts w:ascii="Arial" w:cs="Arial" w:eastAsia="Arial" w:hAnsi="Arial"/>
                <w:sz w:val="13"/>
                <w:szCs w:val="13"/>
                <w:color w:val="auto"/>
              </w:rPr>
              <w:t>6.00%</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L+450</w:t>
            </w: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1,975,000</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1,958,715</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1,967,594</w:t>
            </w:r>
          </w:p>
        </w:tc>
        <w:tc>
          <w:tcPr>
            <w:tcW w:w="0" w:type="dxa"/>
            <w:vAlign w:val="bottom"/>
          </w:tcPr>
          <w:p>
            <w:pPr>
              <w:spacing w:after="0"/>
              <w:rPr>
                <w:sz w:val="1"/>
                <w:szCs w:val="1"/>
                <w:color w:val="auto"/>
              </w:rPr>
            </w:pPr>
          </w:p>
        </w:tc>
      </w:tr>
      <w:tr>
        <w:trPr>
          <w:trHeight w:val="148"/>
        </w:trPr>
        <w:tc>
          <w:tcPr>
            <w:tcW w:w="3180" w:type="dxa"/>
            <w:vAlign w:val="bottom"/>
            <w:shd w:val="clear" w:color="auto" w:fill="CCEEFF"/>
          </w:tcPr>
          <w:p>
            <w:pPr>
              <w:spacing w:after="0"/>
              <w:rPr>
                <w:sz w:val="20"/>
                <w:szCs w:val="20"/>
                <w:color w:val="auto"/>
              </w:rPr>
            </w:pPr>
            <w:r>
              <w:rPr>
                <w:rFonts w:ascii="Arial" w:cs="Arial" w:eastAsia="Arial" w:hAnsi="Arial"/>
                <w:sz w:val="13"/>
                <w:szCs w:val="13"/>
                <w:color w:val="auto"/>
              </w:rPr>
              <w:t>Pro Mach, Inc.</w:t>
            </w:r>
          </w:p>
        </w:tc>
        <w:tc>
          <w:tcPr>
            <w:tcW w:w="1420" w:type="dxa"/>
            <w:vAlign w:val="bottom"/>
            <w:shd w:val="clear" w:color="auto" w:fill="CCEEFF"/>
          </w:tcPr>
          <w:p>
            <w:pPr>
              <w:jc w:val="center"/>
              <w:ind w:left="513"/>
              <w:spacing w:after="0"/>
              <w:rPr>
                <w:sz w:val="20"/>
                <w:szCs w:val="20"/>
                <w:color w:val="auto"/>
              </w:rPr>
            </w:pPr>
            <w:r>
              <w:rPr>
                <w:rFonts w:ascii="Arial" w:cs="Arial" w:eastAsia="Arial" w:hAnsi="Arial"/>
                <w:sz w:val="13"/>
                <w:szCs w:val="13"/>
                <w:color w:val="auto"/>
                <w:w w:val="92"/>
              </w:rPr>
              <w:t>07/06/2017</w:t>
            </w:r>
          </w:p>
        </w:tc>
        <w:tc>
          <w:tcPr>
            <w:tcW w:w="2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Capital Equipment</w:t>
            </w:r>
          </w:p>
        </w:tc>
        <w:tc>
          <w:tcPr>
            <w:tcW w:w="10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6.25%</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L+475</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978,077</w:t>
            </w: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970,036</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967,889</w:t>
            </w:r>
          </w:p>
        </w:tc>
        <w:tc>
          <w:tcPr>
            <w:tcW w:w="0" w:type="dxa"/>
            <w:vAlign w:val="bottom"/>
          </w:tcPr>
          <w:p>
            <w:pPr>
              <w:spacing w:after="0"/>
              <w:rPr>
                <w:sz w:val="1"/>
                <w:szCs w:val="1"/>
                <w:color w:val="auto"/>
              </w:rPr>
            </w:pPr>
          </w:p>
        </w:tc>
      </w:tr>
      <w:tr>
        <w:trPr>
          <w:trHeight w:val="138"/>
        </w:trPr>
        <w:tc>
          <w:tcPr>
            <w:tcW w:w="3180" w:type="dxa"/>
            <w:vAlign w:val="bottom"/>
          </w:tcPr>
          <w:p>
            <w:pPr>
              <w:spacing w:after="0" w:line="138" w:lineRule="exact"/>
              <w:rPr>
                <w:sz w:val="20"/>
                <w:szCs w:val="20"/>
                <w:color w:val="auto"/>
              </w:rPr>
            </w:pPr>
            <w:r>
              <w:rPr>
                <w:rFonts w:ascii="Arial" w:cs="Arial" w:eastAsia="Arial" w:hAnsi="Arial"/>
                <w:sz w:val="13"/>
                <w:szCs w:val="13"/>
                <w:color w:val="auto"/>
              </w:rPr>
              <w:t>Renaissance Learning, Inc.</w:t>
            </w:r>
          </w:p>
        </w:tc>
        <w:tc>
          <w:tcPr>
            <w:tcW w:w="1420" w:type="dxa"/>
            <w:vAlign w:val="bottom"/>
          </w:tcPr>
          <w:p>
            <w:pPr>
              <w:jc w:val="center"/>
              <w:ind w:left="513"/>
              <w:spacing w:after="0" w:line="138" w:lineRule="exact"/>
              <w:rPr>
                <w:sz w:val="20"/>
                <w:szCs w:val="20"/>
                <w:color w:val="auto"/>
              </w:rPr>
            </w:pPr>
            <w:r>
              <w:rPr>
                <w:rFonts w:ascii="Arial" w:cs="Arial" w:eastAsia="Arial" w:hAnsi="Arial"/>
                <w:sz w:val="13"/>
                <w:szCs w:val="13"/>
                <w:color w:val="auto"/>
                <w:w w:val="92"/>
              </w:rPr>
              <w:t>10/19/2017</w:t>
            </w:r>
          </w:p>
        </w:tc>
        <w:tc>
          <w:tcPr>
            <w:tcW w:w="2120" w:type="dxa"/>
            <w:vAlign w:val="bottom"/>
          </w:tcPr>
          <w:p>
            <w:pPr>
              <w:jc w:val="center"/>
              <w:spacing w:after="0" w:line="138" w:lineRule="exact"/>
              <w:rPr>
                <w:sz w:val="20"/>
                <w:szCs w:val="20"/>
                <w:color w:val="auto"/>
              </w:rPr>
            </w:pPr>
            <w:r>
              <w:rPr>
                <w:rFonts w:ascii="Arial" w:cs="Arial" w:eastAsia="Arial" w:hAnsi="Arial"/>
                <w:sz w:val="13"/>
                <w:szCs w:val="13"/>
                <w:color w:val="auto"/>
                <w:w w:val="94"/>
              </w:rPr>
              <w:t>Media: Broadcasting and</w:t>
            </w:r>
          </w:p>
        </w:tc>
        <w:tc>
          <w:tcPr>
            <w:tcW w:w="1000" w:type="dxa"/>
            <w:vAlign w:val="bottom"/>
          </w:tcPr>
          <w:p>
            <w:pPr>
              <w:jc w:val="right"/>
              <w:ind w:right="153"/>
              <w:spacing w:after="0" w:line="138" w:lineRule="exact"/>
              <w:rPr>
                <w:sz w:val="20"/>
                <w:szCs w:val="20"/>
                <w:color w:val="auto"/>
              </w:rPr>
            </w:pPr>
            <w:r>
              <w:rPr>
                <w:rFonts w:ascii="Arial" w:cs="Arial" w:eastAsia="Arial" w:hAnsi="Arial"/>
                <w:sz w:val="13"/>
                <w:szCs w:val="13"/>
                <w:color w:val="auto"/>
              </w:rPr>
              <w:t>7.75%</w:t>
            </w:r>
          </w:p>
        </w:tc>
        <w:tc>
          <w:tcPr>
            <w:tcW w:w="880" w:type="dxa"/>
            <w:vAlign w:val="bottom"/>
          </w:tcPr>
          <w:p>
            <w:pPr>
              <w:jc w:val="right"/>
              <w:ind w:right="73"/>
              <w:spacing w:after="0" w:line="138" w:lineRule="exact"/>
              <w:rPr>
                <w:sz w:val="20"/>
                <w:szCs w:val="20"/>
                <w:color w:val="auto"/>
              </w:rPr>
            </w:pPr>
            <w:r>
              <w:rPr>
                <w:rFonts w:ascii="Arial" w:cs="Arial" w:eastAsia="Arial" w:hAnsi="Arial"/>
                <w:sz w:val="13"/>
                <w:szCs w:val="13"/>
                <w:color w:val="auto"/>
              </w:rPr>
              <w:t>L+625</w:t>
            </w:r>
          </w:p>
        </w:tc>
        <w:tc>
          <w:tcPr>
            <w:tcW w:w="800" w:type="dxa"/>
            <w:vAlign w:val="bottom"/>
          </w:tcPr>
          <w:p>
            <w:pPr>
              <w:jc w:val="right"/>
              <w:ind w:right="53"/>
              <w:spacing w:after="0" w:line="138" w:lineRule="exact"/>
              <w:rPr>
                <w:sz w:val="20"/>
                <w:szCs w:val="20"/>
                <w:color w:val="auto"/>
              </w:rPr>
            </w:pPr>
            <w:r>
              <w:rPr>
                <w:rFonts w:ascii="Arial" w:cs="Arial" w:eastAsia="Arial" w:hAnsi="Arial"/>
                <w:sz w:val="13"/>
                <w:szCs w:val="13"/>
                <w:color w:val="auto"/>
              </w:rPr>
              <w:t>1,980,000</w:t>
            </w:r>
          </w:p>
        </w:tc>
        <w:tc>
          <w:tcPr>
            <w:tcW w:w="860" w:type="dxa"/>
            <w:vAlign w:val="bottom"/>
          </w:tcPr>
          <w:p>
            <w:pPr>
              <w:jc w:val="right"/>
              <w:ind w:right="53"/>
              <w:spacing w:after="0" w:line="138" w:lineRule="exact"/>
              <w:rPr>
                <w:sz w:val="20"/>
                <w:szCs w:val="20"/>
                <w:color w:val="auto"/>
              </w:rPr>
            </w:pPr>
            <w:r>
              <w:rPr>
                <w:rFonts w:ascii="Arial" w:cs="Arial" w:eastAsia="Arial" w:hAnsi="Arial"/>
                <w:sz w:val="13"/>
                <w:szCs w:val="13"/>
                <w:color w:val="auto"/>
              </w:rPr>
              <w:t>1,909,788</w:t>
            </w:r>
          </w:p>
        </w:tc>
        <w:tc>
          <w:tcPr>
            <w:tcW w:w="98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rPr>
              <w:t>1,994,850</w:t>
            </w:r>
          </w:p>
        </w:tc>
        <w:tc>
          <w:tcPr>
            <w:tcW w:w="0" w:type="dxa"/>
            <w:vAlign w:val="bottom"/>
          </w:tcPr>
          <w:p>
            <w:pPr>
              <w:spacing w:after="0"/>
              <w:rPr>
                <w:sz w:val="1"/>
                <w:szCs w:val="1"/>
                <w:color w:val="auto"/>
              </w:rPr>
            </w:pPr>
          </w:p>
        </w:tc>
      </w:tr>
      <w:tr>
        <w:trPr>
          <w:trHeight w:val="173"/>
        </w:trPr>
        <w:tc>
          <w:tcPr>
            <w:tcW w:w="3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Arial" w:cs="Arial" w:eastAsia="Arial" w:hAnsi="Arial"/>
                <w:sz w:val="13"/>
                <w:szCs w:val="13"/>
                <w:color w:val="auto"/>
                <w:w w:val="95"/>
              </w:rPr>
              <w:t>Subscription</w:t>
            </w: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180" w:type="dxa"/>
            <w:vAlign w:val="bottom"/>
            <w:shd w:val="clear" w:color="auto" w:fill="CCEEFF"/>
          </w:tcPr>
          <w:p>
            <w:pPr>
              <w:spacing w:after="0"/>
              <w:rPr>
                <w:sz w:val="20"/>
                <w:szCs w:val="20"/>
                <w:color w:val="auto"/>
              </w:rPr>
            </w:pPr>
            <w:r>
              <w:rPr>
                <w:rFonts w:ascii="Arial" w:cs="Arial" w:eastAsia="Arial" w:hAnsi="Arial"/>
                <w:sz w:val="13"/>
                <w:szCs w:val="13"/>
                <w:color w:val="auto"/>
              </w:rPr>
              <w:t>Rocket Software, Inc.</w:t>
            </w:r>
          </w:p>
        </w:tc>
        <w:tc>
          <w:tcPr>
            <w:tcW w:w="1420" w:type="dxa"/>
            <w:vAlign w:val="bottom"/>
            <w:shd w:val="clear" w:color="auto" w:fill="CCEEFF"/>
          </w:tcPr>
          <w:p>
            <w:pPr>
              <w:jc w:val="center"/>
              <w:ind w:left="513"/>
              <w:spacing w:after="0"/>
              <w:rPr>
                <w:sz w:val="20"/>
                <w:szCs w:val="20"/>
                <w:color w:val="auto"/>
              </w:rPr>
            </w:pPr>
            <w:r>
              <w:rPr>
                <w:rFonts w:ascii="Arial" w:cs="Arial" w:eastAsia="Arial" w:hAnsi="Arial"/>
                <w:sz w:val="13"/>
                <w:szCs w:val="13"/>
                <w:color w:val="auto"/>
                <w:w w:val="92"/>
              </w:rPr>
              <w:t>02/08/2018</w:t>
            </w:r>
          </w:p>
        </w:tc>
        <w:tc>
          <w:tcPr>
            <w:tcW w:w="2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High Tech Industries</w:t>
            </w:r>
          </w:p>
        </w:tc>
        <w:tc>
          <w:tcPr>
            <w:tcW w:w="10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7.00%</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L+550</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3,970,000</w:t>
            </w: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3,898,141</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3,970,000</w:t>
            </w:r>
          </w:p>
        </w:tc>
        <w:tc>
          <w:tcPr>
            <w:tcW w:w="0" w:type="dxa"/>
            <w:vAlign w:val="bottom"/>
          </w:tcPr>
          <w:p>
            <w:pPr>
              <w:spacing w:after="0"/>
              <w:rPr>
                <w:sz w:val="1"/>
                <w:szCs w:val="1"/>
                <w:color w:val="auto"/>
              </w:rPr>
            </w:pPr>
          </w:p>
        </w:tc>
      </w:tr>
      <w:tr>
        <w:trPr>
          <w:trHeight w:val="148"/>
        </w:trPr>
        <w:tc>
          <w:tcPr>
            <w:tcW w:w="3180" w:type="dxa"/>
            <w:vAlign w:val="bottom"/>
          </w:tcPr>
          <w:p>
            <w:pPr>
              <w:spacing w:after="0"/>
              <w:rPr>
                <w:sz w:val="20"/>
                <w:szCs w:val="20"/>
                <w:color w:val="auto"/>
              </w:rPr>
            </w:pPr>
            <w:r>
              <w:rPr>
                <w:rFonts w:ascii="Arial" w:cs="Arial" w:eastAsia="Arial" w:hAnsi="Arial"/>
                <w:sz w:val="13"/>
                <w:szCs w:val="13"/>
                <w:color w:val="auto"/>
              </w:rPr>
              <w:t>Sabre Industries, Inc.</w:t>
            </w:r>
          </w:p>
        </w:tc>
        <w:tc>
          <w:tcPr>
            <w:tcW w:w="1420" w:type="dxa"/>
            <w:vAlign w:val="bottom"/>
          </w:tcPr>
          <w:p>
            <w:pPr>
              <w:jc w:val="center"/>
              <w:ind w:left="513"/>
              <w:spacing w:after="0"/>
              <w:rPr>
                <w:sz w:val="20"/>
                <w:szCs w:val="20"/>
                <w:color w:val="auto"/>
              </w:rPr>
            </w:pPr>
            <w:r>
              <w:rPr>
                <w:rFonts w:ascii="Arial" w:cs="Arial" w:eastAsia="Arial" w:hAnsi="Arial"/>
                <w:sz w:val="13"/>
                <w:szCs w:val="13"/>
                <w:color w:val="auto"/>
                <w:w w:val="92"/>
              </w:rPr>
              <w:t>08/24/2018</w:t>
            </w:r>
          </w:p>
        </w:tc>
        <w:tc>
          <w:tcPr>
            <w:tcW w:w="2120" w:type="dxa"/>
            <w:vAlign w:val="bottom"/>
          </w:tcPr>
          <w:p>
            <w:pPr>
              <w:jc w:val="center"/>
              <w:spacing w:after="0"/>
              <w:rPr>
                <w:sz w:val="20"/>
                <w:szCs w:val="20"/>
                <w:color w:val="auto"/>
              </w:rPr>
            </w:pPr>
            <w:r>
              <w:rPr>
                <w:rFonts w:ascii="Arial" w:cs="Arial" w:eastAsia="Arial" w:hAnsi="Arial"/>
                <w:sz w:val="13"/>
                <w:szCs w:val="13"/>
                <w:color w:val="auto"/>
                <w:w w:val="97"/>
              </w:rPr>
              <w:t>Construction and Building</w:t>
            </w:r>
          </w:p>
        </w:tc>
        <w:tc>
          <w:tcPr>
            <w:tcW w:w="1000" w:type="dxa"/>
            <w:vAlign w:val="bottom"/>
          </w:tcPr>
          <w:p>
            <w:pPr>
              <w:jc w:val="right"/>
              <w:ind w:right="153"/>
              <w:spacing w:after="0"/>
              <w:rPr>
                <w:sz w:val="20"/>
                <w:szCs w:val="20"/>
                <w:color w:val="auto"/>
              </w:rPr>
            </w:pPr>
            <w:r>
              <w:rPr>
                <w:rFonts w:ascii="Arial" w:cs="Arial" w:eastAsia="Arial" w:hAnsi="Arial"/>
                <w:sz w:val="13"/>
                <w:szCs w:val="13"/>
                <w:color w:val="auto"/>
              </w:rPr>
              <w:t>7.00%</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L+575</w:t>
            </w: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3,000,000</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2,955,509</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2,973,126</w:t>
            </w:r>
          </w:p>
        </w:tc>
        <w:tc>
          <w:tcPr>
            <w:tcW w:w="0" w:type="dxa"/>
            <w:vAlign w:val="bottom"/>
          </w:tcPr>
          <w:p>
            <w:pPr>
              <w:spacing w:after="0"/>
              <w:rPr>
                <w:sz w:val="1"/>
                <w:szCs w:val="1"/>
                <w:color w:val="auto"/>
              </w:rPr>
            </w:pPr>
          </w:p>
        </w:tc>
      </w:tr>
      <w:tr>
        <w:trPr>
          <w:trHeight w:val="148"/>
        </w:trPr>
        <w:tc>
          <w:tcPr>
            <w:tcW w:w="3180" w:type="dxa"/>
            <w:vAlign w:val="bottom"/>
            <w:shd w:val="clear" w:color="auto" w:fill="CCEEFF"/>
          </w:tcPr>
          <w:p>
            <w:pPr>
              <w:spacing w:after="0"/>
              <w:rPr>
                <w:sz w:val="20"/>
                <w:szCs w:val="20"/>
                <w:color w:val="auto"/>
              </w:rPr>
            </w:pPr>
            <w:r>
              <w:rPr>
                <w:rFonts w:ascii="Arial" w:cs="Arial" w:eastAsia="Arial" w:hAnsi="Arial"/>
                <w:sz w:val="13"/>
                <w:szCs w:val="13"/>
                <w:color w:val="auto"/>
              </w:rPr>
              <w:t>Securus Technologies, Inc.</w:t>
            </w:r>
          </w:p>
        </w:tc>
        <w:tc>
          <w:tcPr>
            <w:tcW w:w="1420" w:type="dxa"/>
            <w:vAlign w:val="bottom"/>
            <w:shd w:val="clear" w:color="auto" w:fill="CCEEFF"/>
          </w:tcPr>
          <w:p>
            <w:pPr>
              <w:jc w:val="center"/>
              <w:ind w:left="513"/>
              <w:spacing w:after="0"/>
              <w:rPr>
                <w:sz w:val="20"/>
                <w:szCs w:val="20"/>
                <w:color w:val="auto"/>
              </w:rPr>
            </w:pPr>
            <w:r>
              <w:rPr>
                <w:rFonts w:ascii="Arial" w:cs="Arial" w:eastAsia="Arial" w:hAnsi="Arial"/>
                <w:sz w:val="13"/>
                <w:szCs w:val="13"/>
                <w:color w:val="auto"/>
                <w:w w:val="92"/>
              </w:rPr>
              <w:t>05/31/2017</w:t>
            </w:r>
          </w:p>
        </w:tc>
        <w:tc>
          <w:tcPr>
            <w:tcW w:w="2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Telecommunications</w:t>
            </w:r>
          </w:p>
        </w:tc>
        <w:tc>
          <w:tcPr>
            <w:tcW w:w="10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6.50%</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L+525</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2,962,500</w:t>
            </w: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2,938,182</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2,960,648</w:t>
            </w:r>
          </w:p>
        </w:tc>
        <w:tc>
          <w:tcPr>
            <w:tcW w:w="0" w:type="dxa"/>
            <w:vAlign w:val="bottom"/>
          </w:tcPr>
          <w:p>
            <w:pPr>
              <w:spacing w:after="0"/>
              <w:rPr>
                <w:sz w:val="1"/>
                <w:szCs w:val="1"/>
                <w:color w:val="auto"/>
              </w:rPr>
            </w:pPr>
          </w:p>
        </w:tc>
      </w:tr>
      <w:tr>
        <w:trPr>
          <w:trHeight w:val="149"/>
        </w:trPr>
        <w:tc>
          <w:tcPr>
            <w:tcW w:w="3180" w:type="dxa"/>
            <w:vAlign w:val="bottom"/>
          </w:tcPr>
          <w:p>
            <w:pPr>
              <w:spacing w:after="0"/>
              <w:rPr>
                <w:sz w:val="20"/>
                <w:szCs w:val="20"/>
                <w:color w:val="auto"/>
              </w:rPr>
            </w:pPr>
            <w:r>
              <w:rPr>
                <w:rFonts w:ascii="Arial" w:cs="Arial" w:eastAsia="Arial" w:hAnsi="Arial"/>
                <w:sz w:val="13"/>
                <w:szCs w:val="13"/>
                <w:color w:val="auto"/>
              </w:rPr>
              <w:t>Seven Seas Cruises S. DE R.L.</w:t>
            </w:r>
          </w:p>
        </w:tc>
        <w:tc>
          <w:tcPr>
            <w:tcW w:w="1420" w:type="dxa"/>
            <w:vAlign w:val="bottom"/>
          </w:tcPr>
          <w:p>
            <w:pPr>
              <w:jc w:val="center"/>
              <w:ind w:left="513"/>
              <w:spacing w:after="0"/>
              <w:rPr>
                <w:sz w:val="20"/>
                <w:szCs w:val="20"/>
                <w:color w:val="auto"/>
              </w:rPr>
            </w:pPr>
            <w:r>
              <w:rPr>
                <w:rFonts w:ascii="Arial" w:cs="Arial" w:eastAsia="Arial" w:hAnsi="Arial"/>
                <w:sz w:val="13"/>
                <w:szCs w:val="13"/>
                <w:color w:val="auto"/>
                <w:w w:val="92"/>
              </w:rPr>
              <w:t>12/21/2018</w:t>
            </w:r>
          </w:p>
        </w:tc>
        <w:tc>
          <w:tcPr>
            <w:tcW w:w="2120" w:type="dxa"/>
            <w:vAlign w:val="bottom"/>
          </w:tcPr>
          <w:p>
            <w:pPr>
              <w:jc w:val="center"/>
              <w:spacing w:after="0"/>
              <w:rPr>
                <w:sz w:val="20"/>
                <w:szCs w:val="20"/>
                <w:color w:val="auto"/>
              </w:rPr>
            </w:pPr>
            <w:r>
              <w:rPr>
                <w:rFonts w:ascii="Arial" w:cs="Arial" w:eastAsia="Arial" w:hAnsi="Arial"/>
                <w:sz w:val="13"/>
                <w:szCs w:val="13"/>
                <w:color w:val="auto"/>
                <w:w w:val="95"/>
              </w:rPr>
              <w:t>Hotel, Gaming and Leisure</w:t>
            </w:r>
          </w:p>
        </w:tc>
        <w:tc>
          <w:tcPr>
            <w:tcW w:w="1000" w:type="dxa"/>
            <w:vAlign w:val="bottom"/>
          </w:tcPr>
          <w:p>
            <w:pPr>
              <w:jc w:val="right"/>
              <w:ind w:right="153"/>
              <w:spacing w:after="0"/>
              <w:rPr>
                <w:sz w:val="20"/>
                <w:szCs w:val="20"/>
                <w:color w:val="auto"/>
              </w:rPr>
            </w:pPr>
            <w:r>
              <w:rPr>
                <w:rFonts w:ascii="Arial" w:cs="Arial" w:eastAsia="Arial" w:hAnsi="Arial"/>
                <w:sz w:val="13"/>
                <w:szCs w:val="13"/>
                <w:color w:val="auto"/>
              </w:rPr>
              <w:t>6.25%</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L+500</w:t>
            </w: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1,500,000</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1,485,300</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1,505,625</w:t>
            </w:r>
          </w:p>
        </w:tc>
        <w:tc>
          <w:tcPr>
            <w:tcW w:w="0" w:type="dxa"/>
            <w:vAlign w:val="bottom"/>
          </w:tcPr>
          <w:p>
            <w:pPr>
              <w:spacing w:after="0"/>
              <w:rPr>
                <w:sz w:val="1"/>
                <w:szCs w:val="1"/>
                <w:color w:val="auto"/>
              </w:rPr>
            </w:pPr>
          </w:p>
        </w:tc>
      </w:tr>
      <w:tr>
        <w:trPr>
          <w:trHeight w:val="148"/>
        </w:trPr>
        <w:tc>
          <w:tcPr>
            <w:tcW w:w="3180" w:type="dxa"/>
            <w:vAlign w:val="bottom"/>
            <w:shd w:val="clear" w:color="auto" w:fill="CCEEFF"/>
          </w:tcPr>
          <w:p>
            <w:pPr>
              <w:spacing w:after="0"/>
              <w:rPr>
                <w:sz w:val="20"/>
                <w:szCs w:val="20"/>
                <w:color w:val="auto"/>
              </w:rPr>
            </w:pPr>
            <w:r>
              <w:rPr>
                <w:rFonts w:ascii="Arial" w:cs="Arial" w:eastAsia="Arial" w:hAnsi="Arial"/>
                <w:sz w:val="13"/>
                <w:szCs w:val="13"/>
                <w:color w:val="auto"/>
              </w:rPr>
              <w:t>Sotera Defense Solutions, Inc.</w:t>
            </w:r>
          </w:p>
        </w:tc>
        <w:tc>
          <w:tcPr>
            <w:tcW w:w="1420" w:type="dxa"/>
            <w:vAlign w:val="bottom"/>
            <w:shd w:val="clear" w:color="auto" w:fill="CCEEFF"/>
          </w:tcPr>
          <w:p>
            <w:pPr>
              <w:jc w:val="center"/>
              <w:ind w:left="513"/>
              <w:spacing w:after="0"/>
              <w:rPr>
                <w:sz w:val="20"/>
                <w:szCs w:val="20"/>
                <w:color w:val="auto"/>
              </w:rPr>
            </w:pPr>
            <w:r>
              <w:rPr>
                <w:rFonts w:ascii="Arial" w:cs="Arial" w:eastAsia="Arial" w:hAnsi="Arial"/>
                <w:sz w:val="13"/>
                <w:szCs w:val="13"/>
                <w:color w:val="auto"/>
                <w:w w:val="92"/>
              </w:rPr>
              <w:t>04/21/2017</w:t>
            </w:r>
          </w:p>
        </w:tc>
        <w:tc>
          <w:tcPr>
            <w:tcW w:w="2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Aerospace and Defense</w:t>
            </w:r>
          </w:p>
        </w:tc>
        <w:tc>
          <w:tcPr>
            <w:tcW w:w="10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7.00%</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L+550</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2,962,512</w:t>
            </w: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2,939,052</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2,932,887</w:t>
            </w:r>
          </w:p>
        </w:tc>
        <w:tc>
          <w:tcPr>
            <w:tcW w:w="0" w:type="dxa"/>
            <w:vAlign w:val="bottom"/>
          </w:tcPr>
          <w:p>
            <w:pPr>
              <w:spacing w:after="0"/>
              <w:rPr>
                <w:sz w:val="1"/>
                <w:szCs w:val="1"/>
                <w:color w:val="auto"/>
              </w:rPr>
            </w:pPr>
          </w:p>
        </w:tc>
      </w:tr>
      <w:tr>
        <w:trPr>
          <w:trHeight w:val="149"/>
        </w:trPr>
        <w:tc>
          <w:tcPr>
            <w:tcW w:w="3180" w:type="dxa"/>
            <w:vAlign w:val="bottom"/>
          </w:tcPr>
          <w:p>
            <w:pPr>
              <w:spacing w:after="0"/>
              <w:rPr>
                <w:sz w:val="20"/>
                <w:szCs w:val="20"/>
                <w:color w:val="auto"/>
              </w:rPr>
            </w:pPr>
            <w:r>
              <w:rPr>
                <w:rFonts w:ascii="Arial" w:cs="Arial" w:eastAsia="Arial" w:hAnsi="Arial"/>
                <w:sz w:val="13"/>
                <w:szCs w:val="13"/>
                <w:color w:val="auto"/>
              </w:rPr>
              <w:t>Tekelec Global, Inc. (First Out)</w:t>
            </w:r>
          </w:p>
        </w:tc>
        <w:tc>
          <w:tcPr>
            <w:tcW w:w="1420" w:type="dxa"/>
            <w:vAlign w:val="bottom"/>
          </w:tcPr>
          <w:p>
            <w:pPr>
              <w:jc w:val="center"/>
              <w:ind w:left="513"/>
              <w:spacing w:after="0"/>
              <w:rPr>
                <w:sz w:val="20"/>
                <w:szCs w:val="20"/>
                <w:color w:val="auto"/>
              </w:rPr>
            </w:pPr>
            <w:r>
              <w:rPr>
                <w:rFonts w:ascii="Arial" w:cs="Arial" w:eastAsia="Arial" w:hAnsi="Arial"/>
                <w:sz w:val="13"/>
                <w:szCs w:val="13"/>
                <w:color w:val="auto"/>
                <w:w w:val="92"/>
              </w:rPr>
              <w:t>01/29/2018</w:t>
            </w:r>
          </w:p>
        </w:tc>
        <w:tc>
          <w:tcPr>
            <w:tcW w:w="2120" w:type="dxa"/>
            <w:vAlign w:val="bottom"/>
          </w:tcPr>
          <w:p>
            <w:pPr>
              <w:jc w:val="center"/>
              <w:spacing w:after="0"/>
              <w:rPr>
                <w:sz w:val="20"/>
                <w:szCs w:val="20"/>
                <w:color w:val="auto"/>
              </w:rPr>
            </w:pPr>
            <w:r>
              <w:rPr>
                <w:rFonts w:ascii="Arial" w:cs="Arial" w:eastAsia="Arial" w:hAnsi="Arial"/>
                <w:sz w:val="13"/>
                <w:szCs w:val="13"/>
                <w:color w:val="auto"/>
                <w:w w:val="93"/>
              </w:rPr>
              <w:t>Telecommunications</w:t>
            </w:r>
          </w:p>
        </w:tc>
        <w:tc>
          <w:tcPr>
            <w:tcW w:w="1000" w:type="dxa"/>
            <w:vAlign w:val="bottom"/>
          </w:tcPr>
          <w:p>
            <w:pPr>
              <w:jc w:val="right"/>
              <w:ind w:right="153"/>
              <w:spacing w:after="0"/>
              <w:rPr>
                <w:sz w:val="20"/>
                <w:szCs w:val="20"/>
                <w:color w:val="auto"/>
              </w:rPr>
            </w:pPr>
            <w:r>
              <w:rPr>
                <w:rFonts w:ascii="Arial" w:cs="Arial" w:eastAsia="Arial" w:hAnsi="Arial"/>
                <w:sz w:val="13"/>
                <w:szCs w:val="13"/>
                <w:color w:val="auto"/>
              </w:rPr>
              <w:t>9.00%</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L+750</w:t>
            </w: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150,000</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147,935</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150,000</w:t>
            </w:r>
          </w:p>
        </w:tc>
        <w:tc>
          <w:tcPr>
            <w:tcW w:w="0" w:type="dxa"/>
            <w:vAlign w:val="bottom"/>
          </w:tcPr>
          <w:p>
            <w:pPr>
              <w:spacing w:after="0"/>
              <w:rPr>
                <w:sz w:val="1"/>
                <w:szCs w:val="1"/>
                <w:color w:val="auto"/>
              </w:rPr>
            </w:pPr>
          </w:p>
        </w:tc>
      </w:tr>
      <w:tr>
        <w:trPr>
          <w:trHeight w:val="148"/>
        </w:trPr>
        <w:tc>
          <w:tcPr>
            <w:tcW w:w="3180" w:type="dxa"/>
            <w:vAlign w:val="bottom"/>
            <w:shd w:val="clear" w:color="auto" w:fill="CCEEFF"/>
          </w:tcPr>
          <w:p>
            <w:pPr>
              <w:spacing w:after="0"/>
              <w:rPr>
                <w:sz w:val="20"/>
                <w:szCs w:val="20"/>
                <w:color w:val="auto"/>
              </w:rPr>
            </w:pPr>
            <w:r>
              <w:rPr>
                <w:rFonts w:ascii="Arial" w:cs="Arial" w:eastAsia="Arial" w:hAnsi="Arial"/>
                <w:sz w:val="13"/>
                <w:szCs w:val="13"/>
                <w:color w:val="auto"/>
              </w:rPr>
              <w:t>Tekelec Global, Inc. (Second Out)</w:t>
            </w:r>
          </w:p>
        </w:tc>
        <w:tc>
          <w:tcPr>
            <w:tcW w:w="1420" w:type="dxa"/>
            <w:vAlign w:val="bottom"/>
            <w:shd w:val="clear" w:color="auto" w:fill="CCEEFF"/>
          </w:tcPr>
          <w:p>
            <w:pPr>
              <w:jc w:val="center"/>
              <w:ind w:left="513"/>
              <w:spacing w:after="0"/>
              <w:rPr>
                <w:sz w:val="20"/>
                <w:szCs w:val="20"/>
                <w:color w:val="auto"/>
              </w:rPr>
            </w:pPr>
            <w:r>
              <w:rPr>
                <w:rFonts w:ascii="Arial" w:cs="Arial" w:eastAsia="Arial" w:hAnsi="Arial"/>
                <w:sz w:val="13"/>
                <w:szCs w:val="13"/>
                <w:color w:val="auto"/>
                <w:w w:val="92"/>
              </w:rPr>
              <w:t>01/29/2018</w:t>
            </w:r>
          </w:p>
        </w:tc>
        <w:tc>
          <w:tcPr>
            <w:tcW w:w="2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Telecommunications</w:t>
            </w:r>
          </w:p>
        </w:tc>
        <w:tc>
          <w:tcPr>
            <w:tcW w:w="10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13.50%</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L+1,200</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1,875,000</w:t>
            </w: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1,823,914</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1,914,375</w:t>
            </w:r>
          </w:p>
        </w:tc>
        <w:tc>
          <w:tcPr>
            <w:tcW w:w="0" w:type="dxa"/>
            <w:vAlign w:val="bottom"/>
          </w:tcPr>
          <w:p>
            <w:pPr>
              <w:spacing w:after="0"/>
              <w:rPr>
                <w:sz w:val="1"/>
                <w:szCs w:val="1"/>
                <w:color w:val="auto"/>
              </w:rPr>
            </w:pPr>
          </w:p>
        </w:tc>
      </w:tr>
      <w:tr>
        <w:trPr>
          <w:trHeight w:val="148"/>
        </w:trPr>
        <w:tc>
          <w:tcPr>
            <w:tcW w:w="3180" w:type="dxa"/>
            <w:vAlign w:val="bottom"/>
          </w:tcPr>
          <w:p>
            <w:pPr>
              <w:spacing w:after="0"/>
              <w:rPr>
                <w:sz w:val="20"/>
                <w:szCs w:val="20"/>
                <w:color w:val="auto"/>
              </w:rPr>
            </w:pPr>
            <w:r>
              <w:rPr>
                <w:rFonts w:ascii="Arial" w:cs="Arial" w:eastAsia="Arial" w:hAnsi="Arial"/>
                <w:sz w:val="13"/>
                <w:szCs w:val="13"/>
                <w:color w:val="auto"/>
              </w:rPr>
              <w:t>Triple Point Technology, Inc.</w:t>
            </w:r>
          </w:p>
        </w:tc>
        <w:tc>
          <w:tcPr>
            <w:tcW w:w="1420" w:type="dxa"/>
            <w:vAlign w:val="bottom"/>
          </w:tcPr>
          <w:p>
            <w:pPr>
              <w:jc w:val="center"/>
              <w:ind w:left="513"/>
              <w:spacing w:after="0"/>
              <w:rPr>
                <w:sz w:val="20"/>
                <w:szCs w:val="20"/>
                <w:color w:val="auto"/>
              </w:rPr>
            </w:pPr>
            <w:r>
              <w:rPr>
                <w:rFonts w:ascii="Arial" w:cs="Arial" w:eastAsia="Arial" w:hAnsi="Arial"/>
                <w:sz w:val="13"/>
                <w:szCs w:val="13"/>
                <w:color w:val="auto"/>
                <w:w w:val="92"/>
              </w:rPr>
              <w:t>10/27/2017</w:t>
            </w:r>
          </w:p>
        </w:tc>
        <w:tc>
          <w:tcPr>
            <w:tcW w:w="2120" w:type="dxa"/>
            <w:vAlign w:val="bottom"/>
          </w:tcPr>
          <w:p>
            <w:pPr>
              <w:jc w:val="center"/>
              <w:spacing w:after="0"/>
              <w:rPr>
                <w:sz w:val="20"/>
                <w:szCs w:val="20"/>
                <w:color w:val="auto"/>
              </w:rPr>
            </w:pPr>
            <w:r>
              <w:rPr>
                <w:rFonts w:ascii="Arial" w:cs="Arial" w:eastAsia="Arial" w:hAnsi="Arial"/>
                <w:sz w:val="13"/>
                <w:szCs w:val="13"/>
                <w:color w:val="auto"/>
                <w:w w:val="93"/>
              </w:rPr>
              <w:t>High Tech Industries</w:t>
            </w:r>
          </w:p>
        </w:tc>
        <w:tc>
          <w:tcPr>
            <w:tcW w:w="1000" w:type="dxa"/>
            <w:vAlign w:val="bottom"/>
          </w:tcPr>
          <w:p>
            <w:pPr>
              <w:jc w:val="right"/>
              <w:ind w:right="153"/>
              <w:spacing w:after="0"/>
              <w:rPr>
                <w:sz w:val="20"/>
                <w:szCs w:val="20"/>
                <w:color w:val="auto"/>
              </w:rPr>
            </w:pPr>
            <w:r>
              <w:rPr>
                <w:rFonts w:ascii="Arial" w:cs="Arial" w:eastAsia="Arial" w:hAnsi="Arial"/>
                <w:sz w:val="13"/>
                <w:szCs w:val="13"/>
                <w:color w:val="auto"/>
              </w:rPr>
              <w:t>8.00%</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L+650</w:t>
            </w: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992,500</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958,036</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992,500</w:t>
            </w:r>
          </w:p>
        </w:tc>
        <w:tc>
          <w:tcPr>
            <w:tcW w:w="0" w:type="dxa"/>
            <w:vAlign w:val="bottom"/>
          </w:tcPr>
          <w:p>
            <w:pPr>
              <w:spacing w:after="0"/>
              <w:rPr>
                <w:sz w:val="1"/>
                <w:szCs w:val="1"/>
                <w:color w:val="auto"/>
              </w:rPr>
            </w:pPr>
          </w:p>
        </w:tc>
      </w:tr>
      <w:tr>
        <w:trPr>
          <w:trHeight w:val="149"/>
        </w:trPr>
        <w:tc>
          <w:tcPr>
            <w:tcW w:w="3180" w:type="dxa"/>
            <w:vAlign w:val="bottom"/>
            <w:shd w:val="clear" w:color="auto" w:fill="CCEEFF"/>
          </w:tcPr>
          <w:p>
            <w:pPr>
              <w:spacing w:after="0"/>
              <w:rPr>
                <w:sz w:val="20"/>
                <w:szCs w:val="20"/>
                <w:color w:val="auto"/>
              </w:rPr>
            </w:pPr>
            <w:r>
              <w:rPr>
                <w:rFonts w:ascii="Arial" w:cs="Arial" w:eastAsia="Arial" w:hAnsi="Arial"/>
                <w:sz w:val="13"/>
                <w:szCs w:val="13"/>
                <w:color w:val="auto"/>
              </w:rPr>
              <w:t>UniTek Global Services, Inc.</w:t>
            </w:r>
          </w:p>
        </w:tc>
        <w:tc>
          <w:tcPr>
            <w:tcW w:w="1420" w:type="dxa"/>
            <w:vAlign w:val="bottom"/>
            <w:shd w:val="clear" w:color="auto" w:fill="CCEEFF"/>
          </w:tcPr>
          <w:p>
            <w:pPr>
              <w:jc w:val="center"/>
              <w:ind w:left="513"/>
              <w:spacing w:after="0"/>
              <w:rPr>
                <w:sz w:val="20"/>
                <w:szCs w:val="20"/>
                <w:color w:val="auto"/>
              </w:rPr>
            </w:pPr>
            <w:r>
              <w:rPr>
                <w:rFonts w:ascii="Arial" w:cs="Arial" w:eastAsia="Arial" w:hAnsi="Arial"/>
                <w:sz w:val="13"/>
                <w:szCs w:val="13"/>
                <w:color w:val="auto"/>
                <w:w w:val="92"/>
              </w:rPr>
              <w:t>04/16/2018</w:t>
            </w:r>
          </w:p>
        </w:tc>
        <w:tc>
          <w:tcPr>
            <w:tcW w:w="2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Telecommunications</w:t>
            </w:r>
          </w:p>
        </w:tc>
        <w:tc>
          <w:tcPr>
            <w:tcW w:w="10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9.00%</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L+750</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1,995,000</w:t>
            </w: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1,935,550</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1,950,113</w:t>
            </w:r>
          </w:p>
        </w:tc>
        <w:tc>
          <w:tcPr>
            <w:tcW w:w="0" w:type="dxa"/>
            <w:vAlign w:val="bottom"/>
          </w:tcPr>
          <w:p>
            <w:pPr>
              <w:spacing w:after="0"/>
              <w:rPr>
                <w:sz w:val="1"/>
                <w:szCs w:val="1"/>
                <w:color w:val="auto"/>
              </w:rPr>
            </w:pPr>
          </w:p>
        </w:tc>
      </w:tr>
      <w:tr>
        <w:trPr>
          <w:trHeight w:val="148"/>
        </w:trPr>
        <w:tc>
          <w:tcPr>
            <w:tcW w:w="3180" w:type="dxa"/>
            <w:vAlign w:val="bottom"/>
          </w:tcPr>
          <w:p>
            <w:pPr>
              <w:spacing w:after="0"/>
              <w:rPr>
                <w:sz w:val="20"/>
                <w:szCs w:val="20"/>
                <w:color w:val="auto"/>
              </w:rPr>
            </w:pPr>
            <w:r>
              <w:rPr>
                <w:rFonts w:ascii="Arial" w:cs="Arial" w:eastAsia="Arial" w:hAnsi="Arial"/>
                <w:sz w:val="13"/>
                <w:szCs w:val="13"/>
                <w:color w:val="auto"/>
              </w:rPr>
              <w:t>Univita Health Inc.</w:t>
            </w:r>
          </w:p>
        </w:tc>
        <w:tc>
          <w:tcPr>
            <w:tcW w:w="1420" w:type="dxa"/>
            <w:vAlign w:val="bottom"/>
          </w:tcPr>
          <w:p>
            <w:pPr>
              <w:jc w:val="center"/>
              <w:ind w:left="513"/>
              <w:spacing w:after="0"/>
              <w:rPr>
                <w:sz w:val="20"/>
                <w:szCs w:val="20"/>
                <w:color w:val="auto"/>
              </w:rPr>
            </w:pPr>
            <w:r>
              <w:rPr>
                <w:rFonts w:ascii="Arial" w:cs="Arial" w:eastAsia="Arial" w:hAnsi="Arial"/>
                <w:sz w:val="13"/>
                <w:szCs w:val="13"/>
                <w:color w:val="auto"/>
                <w:w w:val="92"/>
              </w:rPr>
              <w:t>06/19/2017</w:t>
            </w:r>
          </w:p>
        </w:tc>
        <w:tc>
          <w:tcPr>
            <w:tcW w:w="2120" w:type="dxa"/>
            <w:vAlign w:val="bottom"/>
          </w:tcPr>
          <w:p>
            <w:pPr>
              <w:jc w:val="center"/>
              <w:spacing w:after="0"/>
              <w:rPr>
                <w:sz w:val="20"/>
                <w:szCs w:val="20"/>
                <w:color w:val="auto"/>
              </w:rPr>
            </w:pPr>
            <w:r>
              <w:rPr>
                <w:rFonts w:ascii="Arial" w:cs="Arial" w:eastAsia="Arial" w:hAnsi="Arial"/>
                <w:sz w:val="13"/>
                <w:szCs w:val="13"/>
                <w:color w:val="auto"/>
                <w:w w:val="91"/>
              </w:rPr>
              <w:t>Consumer Services</w:t>
            </w:r>
          </w:p>
        </w:tc>
        <w:tc>
          <w:tcPr>
            <w:tcW w:w="1000" w:type="dxa"/>
            <w:vAlign w:val="bottom"/>
          </w:tcPr>
          <w:p>
            <w:pPr>
              <w:jc w:val="right"/>
              <w:ind w:right="153"/>
              <w:spacing w:after="0"/>
              <w:rPr>
                <w:sz w:val="20"/>
                <w:szCs w:val="20"/>
                <w:color w:val="auto"/>
              </w:rPr>
            </w:pPr>
            <w:r>
              <w:rPr>
                <w:rFonts w:ascii="Arial" w:cs="Arial" w:eastAsia="Arial" w:hAnsi="Arial"/>
                <w:sz w:val="13"/>
                <w:szCs w:val="13"/>
                <w:color w:val="auto"/>
              </w:rPr>
              <w:t>6.25%</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L+475</w:t>
            </w: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2,962,500</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2,938,318</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2,844,000</w:t>
            </w:r>
          </w:p>
        </w:tc>
        <w:tc>
          <w:tcPr>
            <w:tcW w:w="0" w:type="dxa"/>
            <w:vAlign w:val="bottom"/>
          </w:tcPr>
          <w:p>
            <w:pPr>
              <w:spacing w:after="0"/>
              <w:rPr>
                <w:sz w:val="1"/>
                <w:szCs w:val="1"/>
                <w:color w:val="auto"/>
              </w:rPr>
            </w:pPr>
          </w:p>
        </w:tc>
      </w:tr>
      <w:tr>
        <w:trPr>
          <w:trHeight w:val="148"/>
        </w:trPr>
        <w:tc>
          <w:tcPr>
            <w:tcW w:w="3180" w:type="dxa"/>
            <w:vAlign w:val="bottom"/>
            <w:shd w:val="clear" w:color="auto" w:fill="CCEEFF"/>
          </w:tcPr>
          <w:p>
            <w:pPr>
              <w:spacing w:after="0"/>
              <w:rPr>
                <w:sz w:val="20"/>
                <w:szCs w:val="20"/>
                <w:color w:val="auto"/>
              </w:rPr>
            </w:pPr>
            <w:r>
              <w:rPr>
                <w:rFonts w:ascii="Arial" w:cs="Arial" w:eastAsia="Arial" w:hAnsi="Arial"/>
                <w:sz w:val="13"/>
                <w:szCs w:val="13"/>
                <w:color w:val="auto"/>
              </w:rPr>
              <w:t>Valitas Health Services, Inc.</w:t>
            </w:r>
          </w:p>
        </w:tc>
        <w:tc>
          <w:tcPr>
            <w:tcW w:w="1420" w:type="dxa"/>
            <w:vAlign w:val="bottom"/>
            <w:shd w:val="clear" w:color="auto" w:fill="CCEEFF"/>
          </w:tcPr>
          <w:p>
            <w:pPr>
              <w:jc w:val="center"/>
              <w:ind w:left="513"/>
              <w:spacing w:after="0"/>
              <w:rPr>
                <w:sz w:val="20"/>
                <w:szCs w:val="20"/>
                <w:color w:val="auto"/>
              </w:rPr>
            </w:pPr>
            <w:r>
              <w:rPr>
                <w:rFonts w:ascii="Arial" w:cs="Arial" w:eastAsia="Arial" w:hAnsi="Arial"/>
                <w:sz w:val="13"/>
                <w:szCs w:val="13"/>
                <w:color w:val="auto"/>
                <w:w w:val="92"/>
              </w:rPr>
              <w:t>06/02/2017</w:t>
            </w:r>
          </w:p>
        </w:tc>
        <w:tc>
          <w:tcPr>
            <w:tcW w:w="2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Healthcare and Pharmaceuticals</w:t>
            </w:r>
          </w:p>
        </w:tc>
        <w:tc>
          <w:tcPr>
            <w:tcW w:w="10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5.75%</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L+450</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1,481,250</w:t>
            </w: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1,474,945</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1,466,438</w:t>
            </w:r>
          </w:p>
        </w:tc>
        <w:tc>
          <w:tcPr>
            <w:tcW w:w="0" w:type="dxa"/>
            <w:vAlign w:val="bottom"/>
          </w:tcPr>
          <w:p>
            <w:pPr>
              <w:spacing w:after="0"/>
              <w:rPr>
                <w:sz w:val="1"/>
                <w:szCs w:val="1"/>
                <w:color w:val="auto"/>
              </w:rPr>
            </w:pPr>
          </w:p>
        </w:tc>
      </w:tr>
      <w:tr>
        <w:trPr>
          <w:trHeight w:val="149"/>
        </w:trPr>
        <w:tc>
          <w:tcPr>
            <w:tcW w:w="3180" w:type="dxa"/>
            <w:vAlign w:val="bottom"/>
          </w:tcPr>
          <w:p>
            <w:pPr>
              <w:spacing w:after="0"/>
              <w:rPr>
                <w:sz w:val="20"/>
                <w:szCs w:val="20"/>
                <w:color w:val="auto"/>
              </w:rPr>
            </w:pPr>
            <w:r>
              <w:rPr>
                <w:rFonts w:ascii="Arial" w:cs="Arial" w:eastAsia="Arial" w:hAnsi="Arial"/>
                <w:sz w:val="13"/>
                <w:szCs w:val="13"/>
                <w:color w:val="auto"/>
              </w:rPr>
              <w:t>Vantage Specialties, Inc.</w:t>
            </w:r>
          </w:p>
        </w:tc>
        <w:tc>
          <w:tcPr>
            <w:tcW w:w="1420" w:type="dxa"/>
            <w:vAlign w:val="bottom"/>
          </w:tcPr>
          <w:p>
            <w:pPr>
              <w:jc w:val="center"/>
              <w:ind w:left="513"/>
              <w:spacing w:after="0"/>
              <w:rPr>
                <w:sz w:val="20"/>
                <w:szCs w:val="20"/>
                <w:color w:val="auto"/>
              </w:rPr>
            </w:pPr>
            <w:r>
              <w:rPr>
                <w:rFonts w:ascii="Arial" w:cs="Arial" w:eastAsia="Arial" w:hAnsi="Arial"/>
                <w:sz w:val="13"/>
                <w:szCs w:val="13"/>
                <w:color w:val="auto"/>
                <w:w w:val="92"/>
              </w:rPr>
              <w:t>02/09/2018</w:t>
            </w:r>
          </w:p>
        </w:tc>
        <w:tc>
          <w:tcPr>
            <w:tcW w:w="2120" w:type="dxa"/>
            <w:vAlign w:val="bottom"/>
          </w:tcPr>
          <w:p>
            <w:pPr>
              <w:jc w:val="center"/>
              <w:spacing w:after="0"/>
              <w:rPr>
                <w:sz w:val="20"/>
                <w:szCs w:val="20"/>
                <w:color w:val="auto"/>
              </w:rPr>
            </w:pPr>
            <w:r>
              <w:rPr>
                <w:rFonts w:ascii="Arial" w:cs="Arial" w:eastAsia="Arial" w:hAnsi="Arial"/>
                <w:sz w:val="13"/>
                <w:szCs w:val="13"/>
                <w:color w:val="auto"/>
                <w:w w:val="93"/>
              </w:rPr>
              <w:t>Chemicals, Plastics and Rubber</w:t>
            </w:r>
          </w:p>
        </w:tc>
        <w:tc>
          <w:tcPr>
            <w:tcW w:w="1000" w:type="dxa"/>
            <w:vAlign w:val="bottom"/>
          </w:tcPr>
          <w:p>
            <w:pPr>
              <w:jc w:val="right"/>
              <w:ind w:right="153"/>
              <w:spacing w:after="0"/>
              <w:rPr>
                <w:sz w:val="20"/>
                <w:szCs w:val="20"/>
                <w:color w:val="auto"/>
              </w:rPr>
            </w:pPr>
            <w:r>
              <w:rPr>
                <w:rFonts w:ascii="Arial" w:cs="Arial" w:eastAsia="Arial" w:hAnsi="Arial"/>
                <w:sz w:val="13"/>
                <w:szCs w:val="13"/>
                <w:color w:val="auto"/>
              </w:rPr>
              <w:t>7.00%</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L+550</w:t>
            </w: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2,985,000</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2,930,559</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2,999,925</w:t>
            </w:r>
          </w:p>
        </w:tc>
        <w:tc>
          <w:tcPr>
            <w:tcW w:w="0" w:type="dxa"/>
            <w:vAlign w:val="bottom"/>
          </w:tcPr>
          <w:p>
            <w:pPr>
              <w:spacing w:after="0"/>
              <w:rPr>
                <w:sz w:val="1"/>
                <w:szCs w:val="1"/>
                <w:color w:val="auto"/>
              </w:rPr>
            </w:pPr>
          </w:p>
        </w:tc>
      </w:tr>
      <w:tr>
        <w:trPr>
          <w:trHeight w:val="138"/>
        </w:trPr>
        <w:tc>
          <w:tcPr>
            <w:tcW w:w="31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Viamedia Services Corp.</w:t>
            </w:r>
          </w:p>
        </w:tc>
        <w:tc>
          <w:tcPr>
            <w:tcW w:w="1420" w:type="dxa"/>
            <w:vAlign w:val="bottom"/>
            <w:shd w:val="clear" w:color="auto" w:fill="CCEEFF"/>
          </w:tcPr>
          <w:p>
            <w:pPr>
              <w:jc w:val="center"/>
              <w:ind w:left="513"/>
              <w:spacing w:after="0" w:line="138" w:lineRule="exact"/>
              <w:rPr>
                <w:sz w:val="20"/>
                <w:szCs w:val="20"/>
                <w:color w:val="auto"/>
              </w:rPr>
            </w:pPr>
            <w:r>
              <w:rPr>
                <w:rFonts w:ascii="Arial" w:cs="Arial" w:eastAsia="Arial" w:hAnsi="Arial"/>
                <w:sz w:val="13"/>
                <w:szCs w:val="13"/>
                <w:color w:val="auto"/>
                <w:w w:val="92"/>
              </w:rPr>
              <w:t>04/19/2016</w:t>
            </w:r>
          </w:p>
        </w:tc>
        <w:tc>
          <w:tcPr>
            <w:tcW w:w="21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Media: Advertising, Printing and</w:t>
            </w:r>
          </w:p>
        </w:tc>
        <w:tc>
          <w:tcPr>
            <w:tcW w:w="1000" w:type="dxa"/>
            <w:vAlign w:val="bottom"/>
            <w:shd w:val="clear" w:color="auto" w:fill="CCEEFF"/>
          </w:tcPr>
          <w:p>
            <w:pPr>
              <w:jc w:val="right"/>
              <w:ind w:right="153"/>
              <w:spacing w:after="0" w:line="138" w:lineRule="exact"/>
              <w:rPr>
                <w:sz w:val="20"/>
                <w:szCs w:val="20"/>
                <w:color w:val="auto"/>
              </w:rPr>
            </w:pPr>
            <w:r>
              <w:rPr>
                <w:rFonts w:ascii="Arial" w:cs="Arial" w:eastAsia="Arial" w:hAnsi="Arial"/>
                <w:sz w:val="13"/>
                <w:szCs w:val="13"/>
                <w:color w:val="auto"/>
              </w:rPr>
              <w:t>7.00%</w:t>
            </w:r>
          </w:p>
        </w:tc>
        <w:tc>
          <w:tcPr>
            <w:tcW w:w="880" w:type="dxa"/>
            <w:vAlign w:val="bottom"/>
            <w:shd w:val="clear" w:color="auto" w:fill="CCEEFF"/>
          </w:tcPr>
          <w:p>
            <w:pPr>
              <w:jc w:val="right"/>
              <w:ind w:right="73"/>
              <w:spacing w:after="0" w:line="138" w:lineRule="exact"/>
              <w:rPr>
                <w:sz w:val="20"/>
                <w:szCs w:val="20"/>
                <w:color w:val="auto"/>
              </w:rPr>
            </w:pPr>
            <w:r>
              <w:rPr>
                <w:rFonts w:ascii="Arial" w:cs="Arial" w:eastAsia="Arial" w:hAnsi="Arial"/>
                <w:sz w:val="13"/>
                <w:szCs w:val="13"/>
                <w:color w:val="auto"/>
              </w:rPr>
              <w:t>L+550</w:t>
            </w:r>
          </w:p>
        </w:tc>
        <w:tc>
          <w:tcPr>
            <w:tcW w:w="800" w:type="dxa"/>
            <w:vAlign w:val="bottom"/>
            <w:shd w:val="clear" w:color="auto" w:fill="CCEEFF"/>
          </w:tcPr>
          <w:p>
            <w:pPr>
              <w:jc w:val="right"/>
              <w:ind w:right="53"/>
              <w:spacing w:after="0" w:line="138" w:lineRule="exact"/>
              <w:rPr>
                <w:sz w:val="20"/>
                <w:szCs w:val="20"/>
                <w:color w:val="auto"/>
              </w:rPr>
            </w:pPr>
            <w:r>
              <w:rPr>
                <w:rFonts w:ascii="Arial" w:cs="Arial" w:eastAsia="Arial" w:hAnsi="Arial"/>
                <w:sz w:val="13"/>
                <w:szCs w:val="13"/>
                <w:color w:val="auto"/>
              </w:rPr>
              <w:t>4,187,556</w:t>
            </w:r>
          </w:p>
        </w:tc>
        <w:tc>
          <w:tcPr>
            <w:tcW w:w="860" w:type="dxa"/>
            <w:vAlign w:val="bottom"/>
            <w:shd w:val="clear" w:color="auto" w:fill="CCEEFF"/>
          </w:tcPr>
          <w:p>
            <w:pPr>
              <w:jc w:val="right"/>
              <w:ind w:right="53"/>
              <w:spacing w:after="0" w:line="138" w:lineRule="exact"/>
              <w:rPr>
                <w:sz w:val="20"/>
                <w:szCs w:val="20"/>
                <w:color w:val="auto"/>
              </w:rPr>
            </w:pPr>
            <w:r>
              <w:rPr>
                <w:rFonts w:ascii="Arial" w:cs="Arial" w:eastAsia="Arial" w:hAnsi="Arial"/>
                <w:sz w:val="13"/>
                <w:szCs w:val="13"/>
                <w:color w:val="auto"/>
              </w:rPr>
              <w:t>4,147,483</w:t>
            </w:r>
          </w:p>
        </w:tc>
        <w:tc>
          <w:tcPr>
            <w:tcW w:w="98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4,187,556</w:t>
            </w:r>
          </w:p>
        </w:tc>
        <w:tc>
          <w:tcPr>
            <w:tcW w:w="0" w:type="dxa"/>
            <w:vAlign w:val="bottom"/>
          </w:tcPr>
          <w:p>
            <w:pPr>
              <w:spacing w:after="0"/>
              <w:rPr>
                <w:sz w:val="1"/>
                <w:szCs w:val="1"/>
                <w:color w:val="auto"/>
              </w:rPr>
            </w:pPr>
          </w:p>
        </w:tc>
      </w:tr>
      <w:tr>
        <w:trPr>
          <w:trHeight w:val="159"/>
        </w:trPr>
        <w:tc>
          <w:tcPr>
            <w:tcW w:w="31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Publishing</w:t>
            </w:r>
          </w:p>
        </w:tc>
        <w:tc>
          <w:tcPr>
            <w:tcW w:w="10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180" w:type="dxa"/>
            <w:vAlign w:val="bottom"/>
          </w:tcPr>
          <w:p>
            <w:pPr>
              <w:spacing w:after="0"/>
              <w:rPr>
                <w:sz w:val="20"/>
                <w:szCs w:val="20"/>
                <w:color w:val="auto"/>
              </w:rPr>
            </w:pPr>
            <w:r>
              <w:rPr>
                <w:rFonts w:ascii="Arial" w:cs="Arial" w:eastAsia="Arial" w:hAnsi="Arial"/>
                <w:sz w:val="13"/>
                <w:szCs w:val="13"/>
                <w:color w:val="auto"/>
              </w:rPr>
              <w:t>Virtual Radiologic Corporation</w:t>
            </w:r>
          </w:p>
        </w:tc>
        <w:tc>
          <w:tcPr>
            <w:tcW w:w="1420" w:type="dxa"/>
            <w:vAlign w:val="bottom"/>
          </w:tcPr>
          <w:p>
            <w:pPr>
              <w:jc w:val="center"/>
              <w:ind w:left="513"/>
              <w:spacing w:after="0"/>
              <w:rPr>
                <w:sz w:val="20"/>
                <w:szCs w:val="20"/>
                <w:color w:val="auto"/>
              </w:rPr>
            </w:pPr>
            <w:r>
              <w:rPr>
                <w:rFonts w:ascii="Arial" w:cs="Arial" w:eastAsia="Arial" w:hAnsi="Arial"/>
                <w:sz w:val="13"/>
                <w:szCs w:val="13"/>
                <w:color w:val="auto"/>
                <w:w w:val="92"/>
              </w:rPr>
              <w:t>12/22/2016</w:t>
            </w:r>
          </w:p>
        </w:tc>
        <w:tc>
          <w:tcPr>
            <w:tcW w:w="2120" w:type="dxa"/>
            <w:vAlign w:val="bottom"/>
          </w:tcPr>
          <w:p>
            <w:pPr>
              <w:jc w:val="center"/>
              <w:spacing w:after="0"/>
              <w:rPr>
                <w:sz w:val="20"/>
                <w:szCs w:val="20"/>
                <w:color w:val="auto"/>
              </w:rPr>
            </w:pPr>
            <w:r>
              <w:rPr>
                <w:rFonts w:ascii="Arial" w:cs="Arial" w:eastAsia="Arial" w:hAnsi="Arial"/>
                <w:sz w:val="13"/>
                <w:szCs w:val="13"/>
                <w:color w:val="auto"/>
                <w:w w:val="90"/>
              </w:rPr>
              <w:t>Business Services</w:t>
            </w:r>
          </w:p>
        </w:tc>
        <w:tc>
          <w:tcPr>
            <w:tcW w:w="1000" w:type="dxa"/>
            <w:vAlign w:val="bottom"/>
          </w:tcPr>
          <w:p>
            <w:pPr>
              <w:jc w:val="right"/>
              <w:ind w:right="153"/>
              <w:spacing w:after="0"/>
              <w:rPr>
                <w:sz w:val="20"/>
                <w:szCs w:val="20"/>
                <w:color w:val="auto"/>
              </w:rPr>
            </w:pPr>
            <w:r>
              <w:rPr>
                <w:rFonts w:ascii="Arial" w:cs="Arial" w:eastAsia="Arial" w:hAnsi="Arial"/>
                <w:sz w:val="13"/>
                <w:szCs w:val="13"/>
                <w:color w:val="auto"/>
              </w:rPr>
              <w:t>7.75%</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P+450</w:t>
            </w: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2,970,000</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2,940,842</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2,643,300</w:t>
            </w:r>
          </w:p>
        </w:tc>
        <w:tc>
          <w:tcPr>
            <w:tcW w:w="0" w:type="dxa"/>
            <w:vAlign w:val="bottom"/>
          </w:tcPr>
          <w:p>
            <w:pPr>
              <w:spacing w:after="0"/>
              <w:rPr>
                <w:sz w:val="1"/>
                <w:szCs w:val="1"/>
                <w:color w:val="auto"/>
              </w:rPr>
            </w:pPr>
          </w:p>
        </w:tc>
      </w:tr>
    </w:tbl>
    <w:p>
      <w:pPr>
        <w:spacing w:after="0" w:line="1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60</w:t>
      </w:r>
    </w:p>
    <w:p>
      <w:pPr>
        <w:sectPr>
          <w:pgSz w:w="11900" w:h="16838" w:orient="portrait"/>
          <w:cols w:equalWidth="0" w:num="1">
            <w:col w:w="11240"/>
          </w:cols>
          <w:pgMar w:left="320" w:top="459" w:right="3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SCHEDULE OF INVESTMENTS (CONTINUED)</w:t>
      </w:r>
    </w:p>
    <w:p>
      <w:pPr>
        <w:jc w:val="center"/>
        <w:spacing w:after="0"/>
        <w:rPr>
          <w:sz w:val="20"/>
          <w:szCs w:val="20"/>
          <w:color w:val="auto"/>
        </w:rPr>
      </w:pPr>
      <w:r>
        <w:rPr>
          <w:rFonts w:ascii="Arial" w:cs="Arial" w:eastAsia="Arial" w:hAnsi="Arial"/>
          <w:sz w:val="13"/>
          <w:szCs w:val="13"/>
          <w:b w:val="1"/>
          <w:bCs w:val="1"/>
          <w:color w:val="auto"/>
        </w:rPr>
        <w:t>SEPTEMBER 30, 2012</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7"/>
              </w:rPr>
              <w:t>Basis Point</w:t>
            </w: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Spread</w:t>
            </w: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9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Issuer Name</w:t>
            </w: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Maturity</w:t>
            </w:r>
          </w:p>
        </w:tc>
        <w:tc>
          <w:tcPr>
            <w:tcW w:w="218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7"/>
              </w:rPr>
              <w:t>Industry</w:t>
            </w:r>
          </w:p>
        </w:tc>
        <w:tc>
          <w:tcPr>
            <w:tcW w:w="840" w:type="dxa"/>
            <w:vAlign w:val="bottom"/>
            <w:gridSpan w:val="2"/>
          </w:tcPr>
          <w:p>
            <w:pPr>
              <w:jc w:val="right"/>
              <w:ind w:right="253"/>
              <w:spacing w:after="0"/>
              <w:rPr>
                <w:sz w:val="20"/>
                <w:szCs w:val="20"/>
                <w:color w:val="auto"/>
              </w:rPr>
            </w:pPr>
            <w:r>
              <w:rPr>
                <w:rFonts w:ascii="Arial" w:cs="Arial" w:eastAsia="Arial" w:hAnsi="Arial"/>
                <w:sz w:val="13"/>
                <w:szCs w:val="13"/>
                <w:b w:val="1"/>
                <w:bCs w:val="1"/>
                <w:color w:val="auto"/>
              </w:rPr>
              <w:t>Current</w:t>
            </w: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Above</w:t>
            </w:r>
          </w:p>
        </w:tc>
        <w:tc>
          <w:tcPr>
            <w:tcW w:w="9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7"/>
              </w:rPr>
              <w:t>Par/</w:t>
            </w:r>
          </w:p>
        </w:tc>
        <w:tc>
          <w:tcPr>
            <w:tcW w:w="60" w:type="dxa"/>
            <w:vAlign w:val="bottom"/>
          </w:tcPr>
          <w:p>
            <w:pPr>
              <w:spacing w:after="0"/>
              <w:rPr>
                <w:sz w:val="14"/>
                <w:szCs w:val="14"/>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Cost</w:t>
            </w:r>
          </w:p>
        </w:tc>
        <w:tc>
          <w:tcPr>
            <w:tcW w:w="82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48"/>
        </w:trPr>
        <w:tc>
          <w:tcPr>
            <w:tcW w:w="394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2180" w:type="dxa"/>
            <w:vAlign w:val="bottom"/>
            <w:gridSpan w:val="2"/>
            <w:vMerge w:val="continue"/>
          </w:tcPr>
          <w:p>
            <w:pPr>
              <w:spacing w:after="0"/>
              <w:rPr>
                <w:sz w:val="12"/>
                <w:szCs w:val="12"/>
                <w:color w:val="auto"/>
              </w:rPr>
            </w:pPr>
          </w:p>
        </w:tc>
        <w:tc>
          <w:tcPr>
            <w:tcW w:w="840" w:type="dxa"/>
            <w:vAlign w:val="bottom"/>
            <w:gridSpan w:val="2"/>
          </w:tcPr>
          <w:p>
            <w:pPr>
              <w:jc w:val="right"/>
              <w:ind w:right="253"/>
              <w:spacing w:after="0"/>
              <w:rPr>
                <w:sz w:val="20"/>
                <w:szCs w:val="20"/>
                <w:color w:val="auto"/>
              </w:rPr>
            </w:pPr>
            <w:r>
              <w:rPr>
                <w:rFonts w:ascii="Arial" w:cs="Arial" w:eastAsia="Arial" w:hAnsi="Arial"/>
                <w:sz w:val="13"/>
                <w:szCs w:val="13"/>
                <w:b w:val="1"/>
                <w:bCs w:val="1"/>
                <w:color w:val="auto"/>
              </w:rPr>
              <w:t>Coupon</w:t>
            </w: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(1)</w:t>
            </w:r>
          </w:p>
        </w:tc>
        <w:tc>
          <w:tcPr>
            <w:tcW w:w="9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2"/>
              </w:rPr>
              <w:t>Shares</w:t>
            </w:r>
          </w:p>
        </w:tc>
        <w:tc>
          <w:tcPr>
            <w:tcW w:w="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253"/>
              <w:spacing w:after="0"/>
              <w:rPr>
                <w:sz w:val="20"/>
                <w:szCs w:val="20"/>
                <w:color w:val="auto"/>
              </w:rPr>
            </w:pPr>
            <w:r>
              <w:rPr>
                <w:rFonts w:ascii="Arial" w:cs="Arial" w:eastAsia="Arial" w:hAnsi="Arial"/>
                <w:sz w:val="11"/>
                <w:szCs w:val="11"/>
                <w:b w:val="1"/>
                <w:bCs w:val="1"/>
                <w:color w:val="auto"/>
              </w:rPr>
              <w:t>(2)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W3 CO.</w:t>
            </w:r>
          </w:p>
        </w:tc>
        <w:tc>
          <w:tcPr>
            <w:tcW w:w="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3"/>
                <w:szCs w:val="13"/>
                <w:color w:val="auto"/>
                <w:w w:val="92"/>
              </w:rPr>
              <w:t>10/31/2017</w:t>
            </w:r>
          </w:p>
        </w:tc>
        <w:tc>
          <w:tcPr>
            <w:tcW w:w="80" w:type="dxa"/>
            <w:vAlign w:val="bottom"/>
            <w:tcBorders>
              <w:top w:val="single" w:sz="8" w:color="CCEEFF"/>
            </w:tcBorders>
            <w:shd w:val="clear" w:color="auto" w:fill="CCEEFF"/>
          </w:tcPr>
          <w:p>
            <w:pPr>
              <w:spacing w:after="0"/>
              <w:rPr>
                <w:sz w:val="12"/>
                <w:szCs w:val="12"/>
                <w:color w:val="auto"/>
              </w:rPr>
            </w:pPr>
          </w:p>
        </w:tc>
        <w:tc>
          <w:tcPr>
            <w:tcW w:w="20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3"/>
                <w:szCs w:val="13"/>
                <w:color w:val="auto"/>
                <w:w w:val="93"/>
              </w:rPr>
              <w:t>Energy: Oil and Gas</w:t>
            </w:r>
          </w:p>
        </w:tc>
        <w:tc>
          <w:tcPr>
            <w:tcW w:w="10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7.50</w:t>
            </w:r>
          </w:p>
        </w:tc>
        <w:tc>
          <w:tcPr>
            <w:tcW w:w="260" w:type="dxa"/>
            <w:vAlign w:val="bottom"/>
            <w:tcBorders>
              <w:top w:val="single" w:sz="8" w:color="CCEEFF"/>
            </w:tcBorders>
            <w:shd w:val="clear" w:color="auto" w:fill="CCEEFF"/>
          </w:tcPr>
          <w:p>
            <w:pPr>
              <w:jc w:val="right"/>
              <w:ind w:right="73"/>
              <w:spacing w:after="0" w:line="142" w:lineRule="exact"/>
              <w:rPr>
                <w:sz w:val="20"/>
                <w:szCs w:val="20"/>
                <w:color w:val="auto"/>
              </w:rPr>
            </w:pPr>
            <w:r>
              <w:rPr>
                <w:rFonts w:ascii="Arial" w:cs="Arial" w:eastAsia="Arial" w:hAnsi="Arial"/>
                <w:sz w:val="13"/>
                <w:szCs w:val="13"/>
                <w:color w:val="auto"/>
                <w:w w:val="86"/>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L+625</w:t>
            </w:r>
          </w:p>
        </w:tc>
        <w:tc>
          <w:tcPr>
            <w:tcW w:w="1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96"/>
              </w:rPr>
              <w:t>1,985,000</w:t>
            </w:r>
          </w:p>
        </w:tc>
        <w:tc>
          <w:tcPr>
            <w:tcW w:w="3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1,916,035</w:t>
            </w:r>
          </w:p>
        </w:tc>
        <w:tc>
          <w:tcPr>
            <w:tcW w:w="3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1,982,519</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gridSpan w:val="2"/>
          </w:tcPr>
          <w:p>
            <w:pPr>
              <w:spacing w:after="0"/>
              <w:rPr>
                <w:sz w:val="20"/>
                <w:szCs w:val="20"/>
                <w:color w:val="auto"/>
              </w:rPr>
            </w:pPr>
            <w:r>
              <w:rPr>
                <w:rFonts w:ascii="Arial" w:cs="Arial" w:eastAsia="Arial" w:hAnsi="Arial"/>
                <w:sz w:val="13"/>
                <w:szCs w:val="13"/>
                <w:color w:val="auto"/>
              </w:rPr>
              <w:t>Water Pik, Inc.</w:t>
            </w:r>
          </w:p>
        </w:tc>
        <w:tc>
          <w:tcPr>
            <w:tcW w:w="640" w:type="dxa"/>
            <w:vAlign w:val="bottom"/>
          </w:tcPr>
          <w:p>
            <w:pPr>
              <w:jc w:val="center"/>
              <w:spacing w:after="0"/>
              <w:rPr>
                <w:sz w:val="20"/>
                <w:szCs w:val="20"/>
                <w:color w:val="auto"/>
              </w:rPr>
            </w:pPr>
            <w:r>
              <w:rPr>
                <w:rFonts w:ascii="Arial" w:cs="Arial" w:eastAsia="Arial" w:hAnsi="Arial"/>
                <w:sz w:val="13"/>
                <w:szCs w:val="13"/>
                <w:color w:val="auto"/>
                <w:w w:val="92"/>
              </w:rPr>
              <w:t>08/10/2017</w:t>
            </w:r>
          </w:p>
        </w:tc>
        <w:tc>
          <w:tcPr>
            <w:tcW w:w="80" w:type="dxa"/>
            <w:vAlign w:val="bottom"/>
          </w:tcPr>
          <w:p>
            <w:pPr>
              <w:spacing w:after="0"/>
              <w:rPr>
                <w:sz w:val="12"/>
                <w:szCs w:val="12"/>
                <w:color w:val="auto"/>
              </w:rPr>
            </w:pPr>
          </w:p>
        </w:tc>
        <w:tc>
          <w:tcPr>
            <w:tcW w:w="2180" w:type="dxa"/>
            <w:vAlign w:val="bottom"/>
            <w:gridSpan w:val="2"/>
          </w:tcPr>
          <w:p>
            <w:pPr>
              <w:jc w:val="center"/>
              <w:ind w:right="100"/>
              <w:spacing w:after="0"/>
              <w:rPr>
                <w:sz w:val="20"/>
                <w:szCs w:val="20"/>
                <w:color w:val="auto"/>
              </w:rPr>
            </w:pPr>
            <w:r>
              <w:rPr>
                <w:rFonts w:ascii="Arial" w:cs="Arial" w:eastAsia="Arial" w:hAnsi="Arial"/>
                <w:sz w:val="13"/>
                <w:szCs w:val="13"/>
                <w:color w:val="auto"/>
                <w:w w:val="93"/>
              </w:rPr>
              <w:t>Consumer Goods: Durable</w:t>
            </w:r>
          </w:p>
        </w:tc>
        <w:tc>
          <w:tcPr>
            <w:tcW w:w="840" w:type="dxa"/>
            <w:vAlign w:val="bottom"/>
            <w:gridSpan w:val="2"/>
          </w:tcPr>
          <w:p>
            <w:pPr>
              <w:jc w:val="right"/>
              <w:ind w:right="73"/>
              <w:spacing w:after="0"/>
              <w:rPr>
                <w:sz w:val="20"/>
                <w:szCs w:val="20"/>
                <w:color w:val="auto"/>
              </w:rPr>
            </w:pPr>
            <w:r>
              <w:rPr>
                <w:rFonts w:ascii="Arial" w:cs="Arial" w:eastAsia="Arial" w:hAnsi="Arial"/>
                <w:sz w:val="13"/>
                <w:szCs w:val="13"/>
                <w:color w:val="auto"/>
              </w:rPr>
              <w:t>6.75%</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L+525</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3,465,000</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3,434,281</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3,456,338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WCA Waste Corporation</w:t>
            </w: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03/23/2018</w:t>
            </w:r>
          </w:p>
        </w:tc>
        <w:tc>
          <w:tcPr>
            <w:tcW w:w="80" w:type="dxa"/>
            <w:vAlign w:val="bottom"/>
            <w:shd w:val="clear" w:color="auto" w:fill="CCEEFF"/>
          </w:tcPr>
          <w:p>
            <w:pPr>
              <w:spacing w:after="0"/>
              <w:rPr>
                <w:sz w:val="12"/>
                <w:szCs w:val="12"/>
                <w:color w:val="auto"/>
              </w:rPr>
            </w:pPr>
          </w:p>
        </w:tc>
        <w:tc>
          <w:tcPr>
            <w:tcW w:w="21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5"/>
              </w:rPr>
              <w:t>Environmental Industries</w:t>
            </w:r>
          </w:p>
        </w:tc>
        <w:tc>
          <w:tcPr>
            <w:tcW w:w="840" w:type="dxa"/>
            <w:vAlign w:val="bottom"/>
            <w:gridSpan w:val="2"/>
            <w:shd w:val="clear" w:color="auto" w:fill="CCEEFF"/>
          </w:tcPr>
          <w:p>
            <w:pPr>
              <w:jc w:val="right"/>
              <w:ind w:right="73"/>
              <w:spacing w:after="0"/>
              <w:rPr>
                <w:sz w:val="20"/>
                <w:szCs w:val="20"/>
                <w:color w:val="auto"/>
              </w:rPr>
            </w:pPr>
            <w:r>
              <w:rPr>
                <w:rFonts w:ascii="Arial" w:cs="Arial" w:eastAsia="Arial" w:hAnsi="Arial"/>
                <w:sz w:val="13"/>
                <w:szCs w:val="13"/>
                <w:color w:val="auto"/>
              </w:rPr>
              <w:t>5.50%</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L+425</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995,000</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985,787</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998,316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gridSpan w:val="2"/>
          </w:tcPr>
          <w:p>
            <w:pPr>
              <w:spacing w:after="0"/>
              <w:rPr>
                <w:sz w:val="20"/>
                <w:szCs w:val="20"/>
                <w:color w:val="auto"/>
              </w:rPr>
            </w:pPr>
            <w:r>
              <w:rPr>
                <w:rFonts w:ascii="Arial" w:cs="Arial" w:eastAsia="Arial" w:hAnsi="Arial"/>
                <w:sz w:val="13"/>
                <w:szCs w:val="13"/>
                <w:color w:val="auto"/>
              </w:rPr>
              <w:t>Wilton Brands, LLC</w:t>
            </w:r>
          </w:p>
        </w:tc>
        <w:tc>
          <w:tcPr>
            <w:tcW w:w="640" w:type="dxa"/>
            <w:vAlign w:val="bottom"/>
          </w:tcPr>
          <w:p>
            <w:pPr>
              <w:jc w:val="center"/>
              <w:spacing w:after="0"/>
              <w:rPr>
                <w:sz w:val="20"/>
                <w:szCs w:val="20"/>
                <w:color w:val="auto"/>
              </w:rPr>
            </w:pPr>
            <w:r>
              <w:rPr>
                <w:rFonts w:ascii="Arial" w:cs="Arial" w:eastAsia="Arial" w:hAnsi="Arial"/>
                <w:sz w:val="13"/>
                <w:szCs w:val="13"/>
                <w:color w:val="auto"/>
                <w:w w:val="92"/>
              </w:rPr>
              <w:t>08/30/2018</w:t>
            </w:r>
          </w:p>
        </w:tc>
        <w:tc>
          <w:tcPr>
            <w:tcW w:w="80" w:type="dxa"/>
            <w:vAlign w:val="bottom"/>
          </w:tcPr>
          <w:p>
            <w:pPr>
              <w:spacing w:after="0"/>
              <w:rPr>
                <w:sz w:val="12"/>
                <w:szCs w:val="12"/>
                <w:color w:val="auto"/>
              </w:rPr>
            </w:pPr>
          </w:p>
        </w:tc>
        <w:tc>
          <w:tcPr>
            <w:tcW w:w="2180" w:type="dxa"/>
            <w:vAlign w:val="bottom"/>
            <w:gridSpan w:val="2"/>
          </w:tcPr>
          <w:p>
            <w:pPr>
              <w:jc w:val="center"/>
              <w:ind w:right="100"/>
              <w:spacing w:after="0"/>
              <w:rPr>
                <w:sz w:val="20"/>
                <w:szCs w:val="20"/>
                <w:color w:val="auto"/>
              </w:rPr>
            </w:pPr>
            <w:r>
              <w:rPr>
                <w:rFonts w:ascii="Arial" w:cs="Arial" w:eastAsia="Arial" w:hAnsi="Arial"/>
                <w:sz w:val="13"/>
                <w:szCs w:val="13"/>
                <w:color w:val="auto"/>
                <w:w w:val="94"/>
              </w:rPr>
              <w:t>Consumer Goods: Non-Durable</w:t>
            </w:r>
          </w:p>
        </w:tc>
        <w:tc>
          <w:tcPr>
            <w:tcW w:w="840" w:type="dxa"/>
            <w:vAlign w:val="bottom"/>
            <w:gridSpan w:val="2"/>
          </w:tcPr>
          <w:p>
            <w:pPr>
              <w:jc w:val="right"/>
              <w:ind w:right="73"/>
              <w:spacing w:after="0"/>
              <w:rPr>
                <w:sz w:val="20"/>
                <w:szCs w:val="20"/>
                <w:color w:val="auto"/>
              </w:rPr>
            </w:pPr>
            <w:r>
              <w:rPr>
                <w:rFonts w:ascii="Arial" w:cs="Arial" w:eastAsia="Arial" w:hAnsi="Arial"/>
                <w:sz w:val="13"/>
                <w:szCs w:val="13"/>
                <w:color w:val="auto"/>
              </w:rPr>
              <w:t>7.50%</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L+625</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3,400,000</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3,332,763</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3,417,000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Yonkers Racing Corporation </w:t>
            </w:r>
            <w:r>
              <w:rPr>
                <w:rFonts w:ascii="Arial" w:cs="Arial" w:eastAsia="Arial" w:hAnsi="Arial"/>
                <w:sz w:val="17"/>
                <w:szCs w:val="17"/>
                <w:color w:val="auto"/>
                <w:vertAlign w:val="superscript"/>
              </w:rPr>
              <w:t>(5), (8)</w:t>
            </w: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07/15/2016</w:t>
            </w:r>
          </w:p>
        </w:tc>
        <w:tc>
          <w:tcPr>
            <w:tcW w:w="80" w:type="dxa"/>
            <w:vAlign w:val="bottom"/>
            <w:shd w:val="clear" w:color="auto" w:fill="CCEEFF"/>
          </w:tcPr>
          <w:p>
            <w:pPr>
              <w:spacing w:after="0"/>
              <w:rPr>
                <w:sz w:val="12"/>
                <w:szCs w:val="12"/>
                <w:color w:val="auto"/>
              </w:rPr>
            </w:pPr>
          </w:p>
        </w:tc>
        <w:tc>
          <w:tcPr>
            <w:tcW w:w="218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4"/>
              </w:rPr>
              <w:t>Hotel, Gaming and Leisure</w:t>
            </w:r>
          </w:p>
        </w:tc>
        <w:tc>
          <w:tcPr>
            <w:tcW w:w="840" w:type="dxa"/>
            <w:vAlign w:val="bottom"/>
            <w:gridSpan w:val="2"/>
            <w:shd w:val="clear" w:color="auto" w:fill="CCEEFF"/>
          </w:tcPr>
          <w:p>
            <w:pPr>
              <w:jc w:val="right"/>
              <w:ind w:right="73"/>
              <w:spacing w:after="0"/>
              <w:rPr>
                <w:sz w:val="20"/>
                <w:szCs w:val="20"/>
                <w:color w:val="auto"/>
              </w:rPr>
            </w:pPr>
            <w:r>
              <w:rPr>
                <w:rFonts w:ascii="Arial" w:cs="Arial" w:eastAsia="Arial" w:hAnsi="Arial"/>
                <w:sz w:val="13"/>
                <w:szCs w:val="13"/>
                <w:color w:val="auto"/>
              </w:rPr>
              <w:t>11.38%</w:t>
            </w: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4,000,000</w:t>
            </w:r>
          </w:p>
        </w:tc>
        <w:tc>
          <w:tcPr>
            <w:tcW w:w="3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4,288,196</w:t>
            </w: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4,320,000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940" w:type="dxa"/>
            <w:vAlign w:val="bottom"/>
            <w:gridSpan w:val="2"/>
          </w:tcPr>
          <w:p>
            <w:pPr>
              <w:spacing w:after="0"/>
              <w:rPr>
                <w:sz w:val="20"/>
                <w:szCs w:val="20"/>
                <w:color w:val="auto"/>
              </w:rPr>
            </w:pPr>
            <w:r>
              <w:rPr>
                <w:rFonts w:ascii="Arial" w:cs="Arial" w:eastAsia="Arial" w:hAnsi="Arial"/>
                <w:sz w:val="13"/>
                <w:szCs w:val="13"/>
                <w:b w:val="1"/>
                <w:bCs w:val="1"/>
                <w:color w:val="auto"/>
              </w:rPr>
              <w:t>Total First Lien Secured Debt</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1"/>
              </w:rPr>
              <w:t>150,258,038</w:t>
            </w: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1"/>
              </w:rPr>
              <w:t>150,209,747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Second Lien Secured Debt—12.6%</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American Gilsonite Company </w:t>
            </w:r>
            <w:r>
              <w:rPr>
                <w:rFonts w:ascii="Arial" w:cs="Arial" w:eastAsia="Arial" w:hAnsi="Arial"/>
                <w:sz w:val="17"/>
                <w:szCs w:val="17"/>
                <w:color w:val="auto"/>
                <w:vertAlign w:val="superscript"/>
              </w:rPr>
              <w:t>(8)</w:t>
            </w:r>
          </w:p>
        </w:tc>
        <w:tc>
          <w:tcPr>
            <w:tcW w:w="640" w:type="dxa"/>
            <w:vAlign w:val="bottom"/>
          </w:tcPr>
          <w:p>
            <w:pPr>
              <w:jc w:val="center"/>
              <w:spacing w:after="0"/>
              <w:rPr>
                <w:sz w:val="20"/>
                <w:szCs w:val="20"/>
                <w:color w:val="auto"/>
              </w:rPr>
            </w:pPr>
            <w:r>
              <w:rPr>
                <w:rFonts w:ascii="Arial" w:cs="Arial" w:eastAsia="Arial" w:hAnsi="Arial"/>
                <w:sz w:val="13"/>
                <w:szCs w:val="13"/>
                <w:color w:val="auto"/>
                <w:w w:val="92"/>
              </w:rPr>
              <w:t>09/01/2017</w:t>
            </w:r>
          </w:p>
        </w:tc>
        <w:tc>
          <w:tcPr>
            <w:tcW w:w="80" w:type="dxa"/>
            <w:vAlign w:val="bottom"/>
          </w:tcPr>
          <w:p>
            <w:pPr>
              <w:spacing w:after="0"/>
              <w:rPr>
                <w:sz w:val="12"/>
                <w:szCs w:val="12"/>
                <w:color w:val="auto"/>
              </w:rPr>
            </w:pPr>
          </w:p>
        </w:tc>
        <w:tc>
          <w:tcPr>
            <w:tcW w:w="2180" w:type="dxa"/>
            <w:vAlign w:val="bottom"/>
            <w:gridSpan w:val="2"/>
          </w:tcPr>
          <w:p>
            <w:pPr>
              <w:jc w:val="center"/>
              <w:ind w:right="80"/>
              <w:spacing w:after="0"/>
              <w:rPr>
                <w:sz w:val="20"/>
                <w:szCs w:val="20"/>
                <w:color w:val="auto"/>
              </w:rPr>
            </w:pPr>
            <w:r>
              <w:rPr>
                <w:rFonts w:ascii="Arial" w:cs="Arial" w:eastAsia="Arial" w:hAnsi="Arial"/>
                <w:sz w:val="13"/>
                <w:szCs w:val="13"/>
                <w:color w:val="auto"/>
                <w:w w:val="96"/>
              </w:rPr>
              <w:t>Metals and Mining</w:t>
            </w:r>
          </w:p>
        </w:tc>
        <w:tc>
          <w:tcPr>
            <w:tcW w:w="840" w:type="dxa"/>
            <w:vAlign w:val="bottom"/>
            <w:gridSpan w:val="2"/>
          </w:tcPr>
          <w:p>
            <w:pPr>
              <w:jc w:val="right"/>
              <w:ind w:right="73"/>
              <w:spacing w:after="0"/>
              <w:rPr>
                <w:sz w:val="20"/>
                <w:szCs w:val="20"/>
                <w:color w:val="auto"/>
              </w:rPr>
            </w:pPr>
            <w:r>
              <w:rPr>
                <w:rFonts w:ascii="Arial" w:cs="Arial" w:eastAsia="Arial" w:hAnsi="Arial"/>
                <w:sz w:val="13"/>
                <w:szCs w:val="13"/>
                <w:color w:val="auto"/>
              </w:rPr>
              <w:t>11.50%</w:t>
            </w:r>
          </w:p>
        </w:tc>
        <w:tc>
          <w:tcPr>
            <w:tcW w:w="8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3,000,000</w:t>
            </w:r>
          </w:p>
        </w:tc>
        <w:tc>
          <w:tcPr>
            <w:tcW w:w="3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3,000,000</w:t>
            </w:r>
          </w:p>
        </w:tc>
        <w:tc>
          <w:tcPr>
            <w:tcW w:w="3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3,082,500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Autoparts Holdings Limited</w:t>
            </w: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01/29/2018</w:t>
            </w:r>
          </w:p>
        </w:tc>
        <w:tc>
          <w:tcPr>
            <w:tcW w:w="80" w:type="dxa"/>
            <w:vAlign w:val="bottom"/>
            <w:shd w:val="clear" w:color="auto" w:fill="CCEEFF"/>
          </w:tcPr>
          <w:p>
            <w:pPr>
              <w:spacing w:after="0"/>
              <w:rPr>
                <w:sz w:val="12"/>
                <w:szCs w:val="12"/>
                <w:color w:val="auto"/>
              </w:rPr>
            </w:pPr>
          </w:p>
        </w:tc>
        <w:tc>
          <w:tcPr>
            <w:tcW w:w="21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8"/>
              </w:rPr>
              <w:t>Automotive</w:t>
            </w:r>
          </w:p>
        </w:tc>
        <w:tc>
          <w:tcPr>
            <w:tcW w:w="840" w:type="dxa"/>
            <w:vAlign w:val="bottom"/>
            <w:gridSpan w:val="2"/>
            <w:shd w:val="clear" w:color="auto" w:fill="CCEEFF"/>
          </w:tcPr>
          <w:p>
            <w:pPr>
              <w:jc w:val="right"/>
              <w:ind w:right="73"/>
              <w:spacing w:after="0"/>
              <w:rPr>
                <w:sz w:val="20"/>
                <w:szCs w:val="20"/>
                <w:color w:val="auto"/>
              </w:rPr>
            </w:pPr>
            <w:r>
              <w:rPr>
                <w:rFonts w:ascii="Arial" w:cs="Arial" w:eastAsia="Arial" w:hAnsi="Arial"/>
                <w:sz w:val="13"/>
                <w:szCs w:val="13"/>
                <w:color w:val="auto"/>
              </w:rPr>
              <w:t>10.50%</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L+900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1,000,000</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995,180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Cannery Casino Resorts, LLC </w:t>
            </w:r>
            <w:r>
              <w:rPr>
                <w:rFonts w:ascii="Arial" w:cs="Arial" w:eastAsia="Arial" w:hAnsi="Arial"/>
                <w:sz w:val="17"/>
                <w:szCs w:val="17"/>
                <w:color w:val="auto"/>
                <w:vertAlign w:val="superscript"/>
              </w:rPr>
              <w:t>(8)</w:t>
            </w:r>
          </w:p>
        </w:tc>
        <w:tc>
          <w:tcPr>
            <w:tcW w:w="640" w:type="dxa"/>
            <w:vAlign w:val="bottom"/>
          </w:tcPr>
          <w:p>
            <w:pPr>
              <w:jc w:val="center"/>
              <w:spacing w:after="0"/>
              <w:rPr>
                <w:sz w:val="20"/>
                <w:szCs w:val="20"/>
                <w:color w:val="auto"/>
              </w:rPr>
            </w:pPr>
            <w:r>
              <w:rPr>
                <w:rFonts w:ascii="Arial" w:cs="Arial" w:eastAsia="Arial" w:hAnsi="Arial"/>
                <w:sz w:val="13"/>
                <w:szCs w:val="13"/>
                <w:color w:val="auto"/>
                <w:w w:val="92"/>
              </w:rPr>
              <w:t>10/02/2019</w:t>
            </w:r>
          </w:p>
        </w:tc>
        <w:tc>
          <w:tcPr>
            <w:tcW w:w="80" w:type="dxa"/>
            <w:vAlign w:val="bottom"/>
          </w:tcPr>
          <w:p>
            <w:pPr>
              <w:spacing w:after="0"/>
              <w:rPr>
                <w:sz w:val="12"/>
                <w:szCs w:val="12"/>
                <w:color w:val="auto"/>
              </w:rPr>
            </w:pPr>
          </w:p>
        </w:tc>
        <w:tc>
          <w:tcPr>
            <w:tcW w:w="2180" w:type="dxa"/>
            <w:vAlign w:val="bottom"/>
            <w:gridSpan w:val="2"/>
          </w:tcPr>
          <w:p>
            <w:pPr>
              <w:jc w:val="center"/>
              <w:ind w:right="80"/>
              <w:spacing w:after="0"/>
              <w:rPr>
                <w:sz w:val="20"/>
                <w:szCs w:val="20"/>
                <w:color w:val="auto"/>
              </w:rPr>
            </w:pPr>
            <w:r>
              <w:rPr>
                <w:rFonts w:ascii="Arial" w:cs="Arial" w:eastAsia="Arial" w:hAnsi="Arial"/>
                <w:sz w:val="13"/>
                <w:szCs w:val="13"/>
                <w:color w:val="auto"/>
                <w:w w:val="94"/>
              </w:rPr>
              <w:t>Hotel, Gaming and Leisure</w:t>
            </w:r>
          </w:p>
        </w:tc>
        <w:tc>
          <w:tcPr>
            <w:tcW w:w="840" w:type="dxa"/>
            <w:vAlign w:val="bottom"/>
            <w:gridSpan w:val="2"/>
          </w:tcPr>
          <w:p>
            <w:pPr>
              <w:jc w:val="right"/>
              <w:ind w:right="73"/>
              <w:spacing w:after="0"/>
              <w:rPr>
                <w:sz w:val="20"/>
                <w:szCs w:val="20"/>
                <w:color w:val="auto"/>
              </w:rPr>
            </w:pPr>
            <w:r>
              <w:rPr>
                <w:rFonts w:ascii="Arial" w:cs="Arial" w:eastAsia="Arial" w:hAnsi="Arial"/>
                <w:sz w:val="13"/>
                <w:szCs w:val="13"/>
                <w:color w:val="auto"/>
              </w:rPr>
              <w:t>10.00%</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L+875</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1,700,000</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1,666,000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1,691,500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Mood Media Corporation </w:t>
            </w:r>
            <w:r>
              <w:rPr>
                <w:rFonts w:ascii="Arial" w:cs="Arial" w:eastAsia="Arial" w:hAnsi="Arial"/>
                <w:sz w:val="17"/>
                <w:szCs w:val="17"/>
                <w:color w:val="auto"/>
                <w:vertAlign w:val="superscript"/>
              </w:rPr>
              <w:t>(6)</w:t>
            </w: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11/06/2018</w:t>
            </w:r>
          </w:p>
        </w:tc>
        <w:tc>
          <w:tcPr>
            <w:tcW w:w="80" w:type="dxa"/>
            <w:vAlign w:val="bottom"/>
            <w:shd w:val="clear" w:color="auto" w:fill="CCEEFF"/>
          </w:tcPr>
          <w:p>
            <w:pPr>
              <w:spacing w:after="0"/>
              <w:rPr>
                <w:sz w:val="12"/>
                <w:szCs w:val="12"/>
                <w:color w:val="auto"/>
              </w:rPr>
            </w:pPr>
          </w:p>
        </w:tc>
        <w:tc>
          <w:tcPr>
            <w:tcW w:w="21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6"/>
              </w:rPr>
              <w:t>Media: Diversified and Production</w:t>
            </w:r>
          </w:p>
        </w:tc>
        <w:tc>
          <w:tcPr>
            <w:tcW w:w="840" w:type="dxa"/>
            <w:vAlign w:val="bottom"/>
            <w:gridSpan w:val="2"/>
            <w:shd w:val="clear" w:color="auto" w:fill="CCEEFF"/>
          </w:tcPr>
          <w:p>
            <w:pPr>
              <w:jc w:val="right"/>
              <w:ind w:right="73"/>
              <w:spacing w:after="0"/>
              <w:rPr>
                <w:sz w:val="20"/>
                <w:szCs w:val="20"/>
                <w:color w:val="auto"/>
              </w:rPr>
            </w:pPr>
            <w:r>
              <w:rPr>
                <w:rFonts w:ascii="Arial" w:cs="Arial" w:eastAsia="Arial" w:hAnsi="Arial"/>
                <w:sz w:val="13"/>
                <w:szCs w:val="13"/>
                <w:color w:val="auto"/>
              </w:rPr>
              <w:t>10.25%</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L+875</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1,500,000</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1,486,780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1,475,250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ROC Finance LLC and ROC Finance 1 Corp </w:t>
            </w:r>
            <w:r>
              <w:rPr>
                <w:rFonts w:ascii="Arial" w:cs="Arial" w:eastAsia="Arial" w:hAnsi="Arial"/>
                <w:sz w:val="17"/>
                <w:szCs w:val="17"/>
                <w:color w:val="auto"/>
                <w:vertAlign w:val="superscript"/>
              </w:rPr>
              <w:t>(8)</w:t>
            </w:r>
          </w:p>
        </w:tc>
        <w:tc>
          <w:tcPr>
            <w:tcW w:w="640" w:type="dxa"/>
            <w:vAlign w:val="bottom"/>
          </w:tcPr>
          <w:p>
            <w:pPr>
              <w:jc w:val="center"/>
              <w:spacing w:after="0"/>
              <w:rPr>
                <w:sz w:val="20"/>
                <w:szCs w:val="20"/>
                <w:color w:val="auto"/>
              </w:rPr>
            </w:pPr>
            <w:r>
              <w:rPr>
                <w:rFonts w:ascii="Arial" w:cs="Arial" w:eastAsia="Arial" w:hAnsi="Arial"/>
                <w:sz w:val="13"/>
                <w:szCs w:val="13"/>
                <w:color w:val="auto"/>
                <w:w w:val="92"/>
              </w:rPr>
              <w:t>09/01/2018</w:t>
            </w:r>
          </w:p>
        </w:tc>
        <w:tc>
          <w:tcPr>
            <w:tcW w:w="80" w:type="dxa"/>
            <w:vAlign w:val="bottom"/>
          </w:tcPr>
          <w:p>
            <w:pPr>
              <w:spacing w:after="0"/>
              <w:rPr>
                <w:sz w:val="12"/>
                <w:szCs w:val="12"/>
                <w:color w:val="auto"/>
              </w:rPr>
            </w:pPr>
          </w:p>
        </w:tc>
        <w:tc>
          <w:tcPr>
            <w:tcW w:w="2180" w:type="dxa"/>
            <w:vAlign w:val="bottom"/>
            <w:gridSpan w:val="2"/>
          </w:tcPr>
          <w:p>
            <w:pPr>
              <w:jc w:val="center"/>
              <w:ind w:right="80"/>
              <w:spacing w:after="0"/>
              <w:rPr>
                <w:sz w:val="20"/>
                <w:szCs w:val="20"/>
                <w:color w:val="auto"/>
              </w:rPr>
            </w:pPr>
            <w:r>
              <w:rPr>
                <w:rFonts w:ascii="Arial" w:cs="Arial" w:eastAsia="Arial" w:hAnsi="Arial"/>
                <w:sz w:val="13"/>
                <w:szCs w:val="13"/>
                <w:color w:val="auto"/>
                <w:w w:val="94"/>
              </w:rPr>
              <w:t>Hotel, Gaming and Leisure</w:t>
            </w:r>
          </w:p>
        </w:tc>
        <w:tc>
          <w:tcPr>
            <w:tcW w:w="840" w:type="dxa"/>
            <w:vAlign w:val="bottom"/>
            <w:gridSpan w:val="2"/>
          </w:tcPr>
          <w:p>
            <w:pPr>
              <w:jc w:val="right"/>
              <w:ind w:right="73"/>
              <w:spacing w:after="0"/>
              <w:rPr>
                <w:sz w:val="20"/>
                <w:szCs w:val="20"/>
                <w:color w:val="auto"/>
              </w:rPr>
            </w:pPr>
            <w:r>
              <w:rPr>
                <w:rFonts w:ascii="Arial" w:cs="Arial" w:eastAsia="Arial" w:hAnsi="Arial"/>
                <w:sz w:val="13"/>
                <w:szCs w:val="13"/>
                <w:color w:val="auto"/>
              </w:rPr>
              <w:t>12.13%</w:t>
            </w:r>
          </w:p>
        </w:tc>
        <w:tc>
          <w:tcPr>
            <w:tcW w:w="8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2,000,000</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1,969,103</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2,320,000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Sensus USA Inc.</w:t>
            </w: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05/09/2018</w:t>
            </w:r>
          </w:p>
        </w:tc>
        <w:tc>
          <w:tcPr>
            <w:tcW w:w="80" w:type="dxa"/>
            <w:vAlign w:val="bottom"/>
            <w:shd w:val="clear" w:color="auto" w:fill="CCEEFF"/>
          </w:tcPr>
          <w:p>
            <w:pPr>
              <w:spacing w:after="0"/>
              <w:rPr>
                <w:sz w:val="12"/>
                <w:szCs w:val="12"/>
                <w:color w:val="auto"/>
              </w:rPr>
            </w:pPr>
          </w:p>
        </w:tc>
        <w:tc>
          <w:tcPr>
            <w:tcW w:w="218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7"/>
              </w:rPr>
              <w:t>Utilities: Water</w:t>
            </w:r>
          </w:p>
        </w:tc>
        <w:tc>
          <w:tcPr>
            <w:tcW w:w="840" w:type="dxa"/>
            <w:vAlign w:val="bottom"/>
            <w:gridSpan w:val="2"/>
            <w:shd w:val="clear" w:color="auto" w:fill="CCEEFF"/>
          </w:tcPr>
          <w:p>
            <w:pPr>
              <w:jc w:val="right"/>
              <w:ind w:right="73"/>
              <w:spacing w:after="0"/>
              <w:rPr>
                <w:sz w:val="20"/>
                <w:szCs w:val="20"/>
                <w:color w:val="auto"/>
              </w:rPr>
            </w:pPr>
            <w:r>
              <w:rPr>
                <w:rFonts w:ascii="Arial" w:cs="Arial" w:eastAsia="Arial" w:hAnsi="Arial"/>
                <w:sz w:val="13"/>
                <w:szCs w:val="13"/>
                <w:color w:val="auto"/>
              </w:rPr>
              <w:t>8.50%</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L+725</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1,000,000</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991,580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996,250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94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Seven Seas Cruises </w:t>
            </w:r>
            <w:r>
              <w:rPr>
                <w:rFonts w:ascii="Arial" w:cs="Arial" w:eastAsia="Arial" w:hAnsi="Arial"/>
                <w:sz w:val="17"/>
                <w:szCs w:val="17"/>
                <w:color w:val="auto"/>
                <w:vertAlign w:val="superscript"/>
              </w:rPr>
              <w:t>(5), (6), (8)</w:t>
            </w:r>
          </w:p>
        </w:tc>
        <w:tc>
          <w:tcPr>
            <w:tcW w:w="640" w:type="dxa"/>
            <w:vAlign w:val="bottom"/>
          </w:tcPr>
          <w:p>
            <w:pPr>
              <w:jc w:val="center"/>
              <w:spacing w:after="0"/>
              <w:rPr>
                <w:sz w:val="20"/>
                <w:szCs w:val="20"/>
                <w:color w:val="auto"/>
              </w:rPr>
            </w:pPr>
            <w:r>
              <w:rPr>
                <w:rFonts w:ascii="Arial" w:cs="Arial" w:eastAsia="Arial" w:hAnsi="Arial"/>
                <w:sz w:val="13"/>
                <w:szCs w:val="13"/>
                <w:color w:val="auto"/>
                <w:w w:val="92"/>
              </w:rPr>
              <w:t>05/15/2019</w:t>
            </w:r>
          </w:p>
        </w:tc>
        <w:tc>
          <w:tcPr>
            <w:tcW w:w="80" w:type="dxa"/>
            <w:vAlign w:val="bottom"/>
          </w:tcPr>
          <w:p>
            <w:pPr>
              <w:spacing w:after="0"/>
              <w:rPr>
                <w:sz w:val="13"/>
                <w:szCs w:val="13"/>
                <w:color w:val="auto"/>
              </w:rPr>
            </w:pPr>
          </w:p>
        </w:tc>
        <w:tc>
          <w:tcPr>
            <w:tcW w:w="2180" w:type="dxa"/>
            <w:vAlign w:val="bottom"/>
            <w:gridSpan w:val="2"/>
          </w:tcPr>
          <w:p>
            <w:pPr>
              <w:jc w:val="center"/>
              <w:ind w:right="80"/>
              <w:spacing w:after="0"/>
              <w:rPr>
                <w:sz w:val="20"/>
                <w:szCs w:val="20"/>
                <w:color w:val="auto"/>
              </w:rPr>
            </w:pPr>
            <w:r>
              <w:rPr>
                <w:rFonts w:ascii="Arial" w:cs="Arial" w:eastAsia="Arial" w:hAnsi="Arial"/>
                <w:sz w:val="13"/>
                <w:szCs w:val="13"/>
                <w:color w:val="auto"/>
                <w:w w:val="94"/>
              </w:rPr>
              <w:t>Hotel, Gaming and Leisure</w:t>
            </w:r>
          </w:p>
        </w:tc>
        <w:tc>
          <w:tcPr>
            <w:tcW w:w="840" w:type="dxa"/>
            <w:vAlign w:val="bottom"/>
            <w:gridSpan w:val="2"/>
          </w:tcPr>
          <w:p>
            <w:pPr>
              <w:jc w:val="right"/>
              <w:ind w:right="73"/>
              <w:spacing w:after="0"/>
              <w:rPr>
                <w:sz w:val="20"/>
                <w:szCs w:val="20"/>
                <w:color w:val="auto"/>
              </w:rPr>
            </w:pPr>
            <w:r>
              <w:rPr>
                <w:rFonts w:ascii="Arial" w:cs="Arial" w:eastAsia="Arial" w:hAnsi="Arial"/>
                <w:sz w:val="13"/>
                <w:szCs w:val="13"/>
                <w:color w:val="auto"/>
              </w:rPr>
              <w:t>9.13%</w:t>
            </w:r>
          </w:p>
        </w:tc>
        <w:tc>
          <w:tcPr>
            <w:tcW w:w="8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1,500,000</w:t>
            </w:r>
          </w:p>
        </w:tc>
        <w:tc>
          <w:tcPr>
            <w:tcW w:w="3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1,500,000</w:t>
            </w: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1,560,000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Second Lien Secured Debt</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11,608,643</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12,025,500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3940" w:type="dxa"/>
            <w:vAlign w:val="bottom"/>
            <w:gridSpan w:val="2"/>
          </w:tcPr>
          <w:p>
            <w:pPr>
              <w:spacing w:after="0"/>
              <w:rPr>
                <w:sz w:val="20"/>
                <w:szCs w:val="20"/>
                <w:color w:val="auto"/>
              </w:rPr>
            </w:pPr>
            <w:r>
              <w:rPr>
                <w:rFonts w:ascii="Arial" w:cs="Arial" w:eastAsia="Arial" w:hAnsi="Arial"/>
                <w:sz w:val="13"/>
                <w:szCs w:val="13"/>
                <w:b w:val="1"/>
                <w:bCs w:val="1"/>
                <w:color w:val="auto"/>
              </w:rPr>
              <w:t xml:space="preserve">Subordinated Debt/Corporate Notes—8.7% </w:t>
            </w:r>
            <w:r>
              <w:rPr>
                <w:rFonts w:ascii="Arial" w:cs="Arial" w:eastAsia="Arial" w:hAnsi="Arial"/>
                <w:sz w:val="22"/>
                <w:szCs w:val="22"/>
                <w:b w:val="1"/>
                <w:bCs w:val="1"/>
                <w:color w:val="auto"/>
                <w:vertAlign w:val="superscript"/>
              </w:rPr>
              <w:t>(8)</w:t>
            </w: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39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Affinion Group Holdings, Inc.</w:t>
            </w: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11/15/2015</w:t>
            </w:r>
          </w:p>
        </w:tc>
        <w:tc>
          <w:tcPr>
            <w:tcW w:w="80" w:type="dxa"/>
            <w:vAlign w:val="bottom"/>
            <w:shd w:val="clear" w:color="auto" w:fill="CCEEFF"/>
          </w:tcPr>
          <w:p>
            <w:pPr>
              <w:spacing w:after="0"/>
              <w:rPr>
                <w:sz w:val="12"/>
                <w:szCs w:val="12"/>
                <w:color w:val="auto"/>
              </w:rPr>
            </w:pPr>
          </w:p>
        </w:tc>
        <w:tc>
          <w:tcPr>
            <w:tcW w:w="21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4"/>
              </w:rPr>
              <w:t>Consumer Goods: Non-Durable</w:t>
            </w:r>
          </w:p>
        </w:tc>
        <w:tc>
          <w:tcPr>
            <w:tcW w:w="840" w:type="dxa"/>
            <w:vAlign w:val="bottom"/>
            <w:gridSpan w:val="2"/>
            <w:shd w:val="clear" w:color="auto" w:fill="CCEEFF"/>
          </w:tcPr>
          <w:p>
            <w:pPr>
              <w:jc w:val="right"/>
              <w:ind w:right="73"/>
              <w:spacing w:after="0"/>
              <w:rPr>
                <w:sz w:val="20"/>
                <w:szCs w:val="20"/>
                <w:color w:val="auto"/>
              </w:rPr>
            </w:pPr>
            <w:r>
              <w:rPr>
                <w:rFonts w:ascii="Arial" w:cs="Arial" w:eastAsia="Arial" w:hAnsi="Arial"/>
                <w:sz w:val="13"/>
                <w:szCs w:val="13"/>
                <w:color w:val="auto"/>
              </w:rPr>
              <w:t>11.63%</w:t>
            </w: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4,100,000</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3,782,015</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2,788,000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gridSpan w:val="2"/>
          </w:tcPr>
          <w:p>
            <w:pPr>
              <w:spacing w:after="0"/>
              <w:rPr>
                <w:sz w:val="20"/>
                <w:szCs w:val="20"/>
                <w:color w:val="auto"/>
              </w:rPr>
            </w:pPr>
            <w:r>
              <w:rPr>
                <w:rFonts w:ascii="Arial" w:cs="Arial" w:eastAsia="Arial" w:hAnsi="Arial"/>
                <w:sz w:val="13"/>
                <w:szCs w:val="13"/>
                <w:color w:val="auto"/>
              </w:rPr>
              <w:t>Document Technologies, Inc.</w:t>
            </w:r>
          </w:p>
        </w:tc>
        <w:tc>
          <w:tcPr>
            <w:tcW w:w="640" w:type="dxa"/>
            <w:vAlign w:val="bottom"/>
          </w:tcPr>
          <w:p>
            <w:pPr>
              <w:jc w:val="center"/>
              <w:spacing w:after="0"/>
              <w:rPr>
                <w:sz w:val="20"/>
                <w:szCs w:val="20"/>
                <w:color w:val="auto"/>
              </w:rPr>
            </w:pPr>
            <w:r>
              <w:rPr>
                <w:rFonts w:ascii="Arial" w:cs="Arial" w:eastAsia="Arial" w:hAnsi="Arial"/>
                <w:sz w:val="13"/>
                <w:szCs w:val="13"/>
                <w:color w:val="auto"/>
                <w:w w:val="92"/>
              </w:rPr>
              <w:t>12/01/2017</w:t>
            </w:r>
          </w:p>
        </w:tc>
        <w:tc>
          <w:tcPr>
            <w:tcW w:w="80" w:type="dxa"/>
            <w:vAlign w:val="bottom"/>
          </w:tcPr>
          <w:p>
            <w:pPr>
              <w:spacing w:after="0"/>
              <w:rPr>
                <w:sz w:val="12"/>
                <w:szCs w:val="12"/>
                <w:color w:val="auto"/>
              </w:rPr>
            </w:pPr>
          </w:p>
        </w:tc>
        <w:tc>
          <w:tcPr>
            <w:tcW w:w="2180" w:type="dxa"/>
            <w:vAlign w:val="bottom"/>
            <w:gridSpan w:val="2"/>
          </w:tcPr>
          <w:p>
            <w:pPr>
              <w:jc w:val="center"/>
              <w:ind w:right="80"/>
              <w:spacing w:after="0"/>
              <w:rPr>
                <w:sz w:val="20"/>
                <w:szCs w:val="20"/>
                <w:color w:val="auto"/>
              </w:rPr>
            </w:pPr>
            <w:r>
              <w:rPr>
                <w:rFonts w:ascii="Arial" w:cs="Arial" w:eastAsia="Arial" w:hAnsi="Arial"/>
                <w:sz w:val="13"/>
                <w:szCs w:val="13"/>
                <w:color w:val="auto"/>
                <w:w w:val="92"/>
              </w:rPr>
              <w:t>Business Services</w:t>
            </w:r>
          </w:p>
        </w:tc>
        <w:tc>
          <w:tcPr>
            <w:tcW w:w="840" w:type="dxa"/>
            <w:vAlign w:val="bottom"/>
            <w:gridSpan w:val="2"/>
          </w:tcPr>
          <w:p>
            <w:pPr>
              <w:jc w:val="right"/>
              <w:ind w:right="73"/>
              <w:spacing w:after="0"/>
              <w:rPr>
                <w:sz w:val="20"/>
                <w:szCs w:val="20"/>
                <w:color w:val="auto"/>
              </w:rPr>
            </w:pPr>
            <w:r>
              <w:rPr>
                <w:rFonts w:ascii="Arial" w:cs="Arial" w:eastAsia="Arial" w:hAnsi="Arial"/>
                <w:sz w:val="13"/>
                <w:szCs w:val="13"/>
                <w:color w:val="auto"/>
              </w:rPr>
              <w:t>13.00%</w:t>
            </w:r>
          </w:p>
        </w:tc>
        <w:tc>
          <w:tcPr>
            <w:tcW w:w="8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1,000,000</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980,074</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94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TrustHouse Services Group, Inc.</w:t>
            </w:r>
          </w:p>
        </w:tc>
        <w:tc>
          <w:tcPr>
            <w:tcW w:w="6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2"/>
              </w:rPr>
              <w:t>06/03/2019</w:t>
            </w:r>
          </w:p>
        </w:tc>
        <w:tc>
          <w:tcPr>
            <w:tcW w:w="80" w:type="dxa"/>
            <w:vAlign w:val="bottom"/>
            <w:shd w:val="clear" w:color="auto" w:fill="CCEEFF"/>
          </w:tcPr>
          <w:p>
            <w:pPr>
              <w:spacing w:after="0"/>
              <w:rPr>
                <w:sz w:val="11"/>
                <w:szCs w:val="11"/>
                <w:color w:val="auto"/>
              </w:rPr>
            </w:pPr>
          </w:p>
        </w:tc>
        <w:tc>
          <w:tcPr>
            <w:tcW w:w="2180" w:type="dxa"/>
            <w:vAlign w:val="bottom"/>
            <w:gridSpan w:val="2"/>
            <w:shd w:val="clear" w:color="auto" w:fill="CCEEFF"/>
          </w:tcPr>
          <w:p>
            <w:pPr>
              <w:jc w:val="center"/>
              <w:ind w:right="80"/>
              <w:spacing w:after="0" w:line="138" w:lineRule="exact"/>
              <w:rPr>
                <w:sz w:val="20"/>
                <w:szCs w:val="20"/>
                <w:color w:val="auto"/>
              </w:rPr>
            </w:pPr>
            <w:r>
              <w:rPr>
                <w:rFonts w:ascii="Arial" w:cs="Arial" w:eastAsia="Arial" w:hAnsi="Arial"/>
                <w:sz w:val="13"/>
                <w:szCs w:val="13"/>
                <w:color w:val="auto"/>
                <w:w w:val="92"/>
              </w:rPr>
              <w:t>Beverage, Food and Tobacco</w:t>
            </w:r>
          </w:p>
        </w:tc>
        <w:tc>
          <w:tcPr>
            <w:tcW w:w="840" w:type="dxa"/>
            <w:vAlign w:val="bottom"/>
            <w:gridSpan w:val="2"/>
            <w:shd w:val="clear" w:color="auto" w:fill="CCEEFF"/>
          </w:tcPr>
          <w:p>
            <w:pPr>
              <w:jc w:val="right"/>
              <w:ind w:right="73"/>
              <w:spacing w:after="0" w:line="138" w:lineRule="exact"/>
              <w:rPr>
                <w:sz w:val="20"/>
                <w:szCs w:val="20"/>
                <w:color w:val="auto"/>
              </w:rPr>
            </w:pPr>
            <w:r>
              <w:rPr>
                <w:rFonts w:ascii="Arial" w:cs="Arial" w:eastAsia="Arial" w:hAnsi="Arial"/>
                <w:sz w:val="13"/>
                <w:szCs w:val="13"/>
                <w:color w:val="auto"/>
              </w:rPr>
              <w:t>14.25%</w:t>
            </w:r>
          </w:p>
        </w:tc>
        <w:tc>
          <w:tcPr>
            <w:tcW w:w="80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6"/>
              </w:rPr>
              <w:t>4,508,719</w:t>
            </w: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4,432,092</w:t>
            </w: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4,508,719</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33"/>
              <w:spacing w:after="0"/>
              <w:rPr>
                <w:sz w:val="20"/>
                <w:szCs w:val="20"/>
                <w:color w:val="auto"/>
              </w:rPr>
            </w:pPr>
            <w:r>
              <w:rPr>
                <w:rFonts w:ascii="Arial" w:cs="Arial" w:eastAsia="Arial" w:hAnsi="Arial"/>
                <w:sz w:val="13"/>
                <w:szCs w:val="13"/>
                <w:color w:val="auto"/>
              </w:rPr>
              <w:t>(PIK 2.25%)</w:t>
            </w: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940" w:type="dxa"/>
            <w:vAlign w:val="bottom"/>
            <w:gridSpan w:val="2"/>
          </w:tcPr>
          <w:p>
            <w:pPr>
              <w:spacing w:after="0"/>
              <w:rPr>
                <w:sz w:val="20"/>
                <w:szCs w:val="20"/>
                <w:color w:val="auto"/>
              </w:rPr>
            </w:pPr>
            <w:r>
              <w:rPr>
                <w:rFonts w:ascii="Arial" w:cs="Arial" w:eastAsia="Arial" w:hAnsi="Arial"/>
                <w:sz w:val="13"/>
                <w:szCs w:val="13"/>
                <w:b w:val="1"/>
                <w:bCs w:val="1"/>
                <w:color w:val="auto"/>
              </w:rPr>
              <w:t>Total Subordinated Debt/Corporate Notes</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9,194,181</w:t>
            </w: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8,296,719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Preferred Equity/Partnership Interests—0.2% </w:t>
            </w:r>
            <w:r>
              <w:rPr>
                <w:rFonts w:ascii="Arial" w:cs="Arial" w:eastAsia="Arial" w:hAnsi="Arial"/>
                <w:sz w:val="17"/>
                <w:szCs w:val="17"/>
                <w:b w:val="1"/>
                <w:bCs w:val="1"/>
                <w:color w:val="auto"/>
                <w:vertAlign w:val="superscript"/>
              </w:rPr>
              <w:t>(7), (8)</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940" w:type="dxa"/>
            <w:vAlign w:val="bottom"/>
            <w:gridSpan w:val="2"/>
          </w:tcPr>
          <w:p>
            <w:pPr>
              <w:spacing w:after="0" w:line="138" w:lineRule="exact"/>
              <w:rPr>
                <w:sz w:val="20"/>
                <w:szCs w:val="20"/>
                <w:color w:val="auto"/>
              </w:rPr>
            </w:pPr>
            <w:r>
              <w:rPr>
                <w:rFonts w:ascii="Arial" w:cs="Arial" w:eastAsia="Arial" w:hAnsi="Arial"/>
                <w:sz w:val="13"/>
                <w:szCs w:val="13"/>
                <w:color w:val="auto"/>
              </w:rPr>
              <w:t>TrustHouse Services Holdings, LLC</w:t>
            </w:r>
          </w:p>
        </w:tc>
        <w:tc>
          <w:tcPr>
            <w:tcW w:w="720" w:type="dxa"/>
            <w:vAlign w:val="bottom"/>
            <w:gridSpan w:val="2"/>
          </w:tcPr>
          <w:p>
            <w:pPr>
              <w:jc w:val="center"/>
              <w:ind w:right="80"/>
              <w:spacing w:after="0" w:line="138" w:lineRule="exact"/>
              <w:rPr>
                <w:sz w:val="20"/>
                <w:szCs w:val="20"/>
                <w:color w:val="auto"/>
              </w:rPr>
            </w:pPr>
            <w:r>
              <w:rPr>
                <w:rFonts w:ascii="Arial" w:cs="Arial" w:eastAsia="Arial" w:hAnsi="Arial"/>
                <w:sz w:val="13"/>
                <w:szCs w:val="13"/>
                <w:color w:val="auto"/>
                <w:w w:val="91"/>
              </w:rPr>
              <w:t>—</w:t>
            </w:r>
          </w:p>
        </w:tc>
        <w:tc>
          <w:tcPr>
            <w:tcW w:w="2180" w:type="dxa"/>
            <w:vAlign w:val="bottom"/>
            <w:gridSpan w:val="2"/>
          </w:tcPr>
          <w:p>
            <w:pPr>
              <w:jc w:val="center"/>
              <w:ind w:right="80"/>
              <w:spacing w:after="0" w:line="138" w:lineRule="exact"/>
              <w:rPr>
                <w:sz w:val="20"/>
                <w:szCs w:val="20"/>
                <w:color w:val="auto"/>
              </w:rPr>
            </w:pPr>
            <w:r>
              <w:rPr>
                <w:rFonts w:ascii="Arial" w:cs="Arial" w:eastAsia="Arial" w:hAnsi="Arial"/>
                <w:sz w:val="13"/>
                <w:szCs w:val="13"/>
                <w:color w:val="auto"/>
                <w:w w:val="92"/>
              </w:rPr>
              <w:t>Beverage, Food and Tobacco</w:t>
            </w:r>
          </w:p>
        </w:tc>
        <w:tc>
          <w:tcPr>
            <w:tcW w:w="840" w:type="dxa"/>
            <w:vAlign w:val="bottom"/>
            <w:gridSpan w:val="2"/>
          </w:tcPr>
          <w:p>
            <w:pPr>
              <w:jc w:val="right"/>
              <w:ind w:right="73"/>
              <w:spacing w:after="0" w:line="138" w:lineRule="exact"/>
              <w:rPr>
                <w:sz w:val="20"/>
                <w:szCs w:val="20"/>
                <w:color w:val="auto"/>
              </w:rPr>
            </w:pPr>
            <w:r>
              <w:rPr>
                <w:rFonts w:ascii="Arial" w:cs="Arial" w:eastAsia="Arial" w:hAnsi="Arial"/>
                <w:sz w:val="13"/>
                <w:szCs w:val="13"/>
                <w:color w:val="auto"/>
              </w:rPr>
              <w:t>12.50%</w:t>
            </w:r>
          </w:p>
        </w:tc>
        <w:tc>
          <w:tcPr>
            <w:tcW w:w="800" w:type="dxa"/>
            <w:vAlign w:val="bottom"/>
            <w:gridSpan w:val="2"/>
          </w:tcPr>
          <w:p>
            <w:pPr>
              <w:ind w:left="440"/>
              <w:spacing w:after="0" w:line="138"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8" w:lineRule="exact"/>
              <w:rPr>
                <w:sz w:val="20"/>
                <w:szCs w:val="20"/>
                <w:color w:val="auto"/>
              </w:rPr>
            </w:pPr>
            <w:r>
              <w:rPr>
                <w:rFonts w:ascii="Arial" w:cs="Arial" w:eastAsia="Arial" w:hAnsi="Arial"/>
                <w:sz w:val="13"/>
                <w:szCs w:val="13"/>
                <w:color w:val="auto"/>
              </w:rPr>
              <w:t>176</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tcPr>
          <w:p>
            <w:pPr>
              <w:jc w:val="right"/>
              <w:ind w:right="300"/>
              <w:spacing w:after="0" w:line="138" w:lineRule="exact"/>
              <w:rPr>
                <w:sz w:val="20"/>
                <w:szCs w:val="20"/>
                <w:color w:val="auto"/>
              </w:rPr>
            </w:pPr>
            <w:r>
              <w:rPr>
                <w:rFonts w:ascii="Arial" w:cs="Arial" w:eastAsia="Arial" w:hAnsi="Arial"/>
                <w:sz w:val="13"/>
                <w:szCs w:val="13"/>
                <w:color w:val="auto"/>
              </w:rPr>
              <w:t>110,697</w:t>
            </w:r>
          </w:p>
        </w:tc>
        <w:tc>
          <w:tcPr>
            <w:tcW w:w="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200,571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940" w:type="dxa"/>
            <w:vAlign w:val="bottom"/>
            <w:gridSpan w:val="2"/>
          </w:tcPr>
          <w:p>
            <w:pPr>
              <w:ind w:left="220"/>
              <w:spacing w:after="0"/>
              <w:rPr>
                <w:sz w:val="20"/>
                <w:szCs w:val="20"/>
                <w:color w:val="auto"/>
              </w:rPr>
            </w:pPr>
            <w:r>
              <w:rPr>
                <w:rFonts w:ascii="Arial" w:cs="Arial" w:eastAsia="Arial" w:hAnsi="Arial"/>
                <w:sz w:val="13"/>
                <w:szCs w:val="13"/>
                <w:color w:val="auto"/>
              </w:rPr>
              <w:t>(TrustHouse Services Group, Inc.)</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Common Equity/Partnership Interests—1.1% </w:t>
            </w:r>
            <w:r>
              <w:rPr>
                <w:rFonts w:ascii="Arial" w:cs="Arial" w:eastAsia="Arial" w:hAnsi="Arial"/>
                <w:sz w:val="17"/>
                <w:szCs w:val="17"/>
                <w:b w:val="1"/>
                <w:bCs w:val="1"/>
                <w:color w:val="auto"/>
                <w:vertAlign w:val="superscript"/>
              </w:rPr>
              <w:t>(7), (8)</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gridSpan w:val="2"/>
          </w:tcPr>
          <w:p>
            <w:pPr>
              <w:spacing w:after="0"/>
              <w:rPr>
                <w:sz w:val="20"/>
                <w:szCs w:val="20"/>
                <w:color w:val="auto"/>
              </w:rPr>
            </w:pPr>
            <w:r>
              <w:rPr>
                <w:rFonts w:ascii="Arial" w:cs="Arial" w:eastAsia="Arial" w:hAnsi="Arial"/>
                <w:sz w:val="13"/>
                <w:szCs w:val="13"/>
                <w:color w:val="auto"/>
              </w:rPr>
              <w:t>Titan Private Holdings I, LLC (Tekelec Global, Inc.)</w:t>
            </w:r>
          </w:p>
        </w:tc>
        <w:tc>
          <w:tcPr>
            <w:tcW w:w="720" w:type="dxa"/>
            <w:vAlign w:val="bottom"/>
            <w:gridSpan w:val="2"/>
          </w:tcPr>
          <w:p>
            <w:pPr>
              <w:jc w:val="center"/>
              <w:ind w:right="80"/>
              <w:spacing w:after="0"/>
              <w:rPr>
                <w:sz w:val="20"/>
                <w:szCs w:val="20"/>
                <w:color w:val="auto"/>
              </w:rPr>
            </w:pPr>
            <w:r>
              <w:rPr>
                <w:rFonts w:ascii="Arial" w:cs="Arial" w:eastAsia="Arial" w:hAnsi="Arial"/>
                <w:sz w:val="13"/>
                <w:szCs w:val="13"/>
                <w:color w:val="auto"/>
                <w:w w:val="91"/>
              </w:rPr>
              <w:t>—</w:t>
            </w:r>
          </w:p>
        </w:tc>
        <w:tc>
          <w:tcPr>
            <w:tcW w:w="2180" w:type="dxa"/>
            <w:vAlign w:val="bottom"/>
            <w:gridSpan w:val="2"/>
          </w:tcPr>
          <w:p>
            <w:pPr>
              <w:jc w:val="center"/>
              <w:ind w:right="100"/>
              <w:spacing w:after="0"/>
              <w:rPr>
                <w:sz w:val="20"/>
                <w:szCs w:val="20"/>
                <w:color w:val="auto"/>
              </w:rPr>
            </w:pPr>
            <w:r>
              <w:rPr>
                <w:rFonts w:ascii="Arial" w:cs="Arial" w:eastAsia="Arial" w:hAnsi="Arial"/>
                <w:sz w:val="13"/>
                <w:szCs w:val="13"/>
                <w:color w:val="auto"/>
                <w:w w:val="93"/>
              </w:rPr>
              <w:t>Telecommunications</w:t>
            </w:r>
          </w:p>
        </w:tc>
        <w:tc>
          <w:tcPr>
            <w:tcW w:w="840" w:type="dxa"/>
            <w:vAlign w:val="bottom"/>
            <w:gridSpan w:val="2"/>
          </w:tcPr>
          <w:p>
            <w:pPr>
              <w:jc w:val="right"/>
              <w:ind w:right="253"/>
              <w:spacing w:after="0"/>
              <w:rPr>
                <w:sz w:val="20"/>
                <w:szCs w:val="20"/>
                <w:color w:val="auto"/>
              </w:rPr>
            </w:pPr>
            <w:r>
              <w:rPr>
                <w:rFonts w:ascii="Arial" w:cs="Arial" w:eastAsia="Arial" w:hAnsi="Arial"/>
                <w:sz w:val="13"/>
                <w:szCs w:val="13"/>
                <w:color w:val="auto"/>
              </w:rPr>
              <w:t>—</w:t>
            </w:r>
          </w:p>
        </w:tc>
        <w:tc>
          <w:tcPr>
            <w:tcW w:w="8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401,797</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401,450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1,091,018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94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TrustHouse Services Holdings, LLC</w:t>
            </w:r>
          </w:p>
        </w:tc>
        <w:tc>
          <w:tcPr>
            <w:tcW w:w="720" w:type="dxa"/>
            <w:vAlign w:val="bottom"/>
            <w:gridSpan w:val="2"/>
            <w:shd w:val="clear" w:color="auto" w:fill="CCEEFF"/>
          </w:tcPr>
          <w:p>
            <w:pPr>
              <w:jc w:val="center"/>
              <w:ind w:right="80"/>
              <w:spacing w:after="0" w:line="138" w:lineRule="exact"/>
              <w:rPr>
                <w:sz w:val="20"/>
                <w:szCs w:val="20"/>
                <w:color w:val="auto"/>
              </w:rPr>
            </w:pPr>
            <w:r>
              <w:rPr>
                <w:rFonts w:ascii="Arial" w:cs="Arial" w:eastAsia="Arial" w:hAnsi="Arial"/>
                <w:sz w:val="13"/>
                <w:szCs w:val="13"/>
                <w:color w:val="auto"/>
                <w:w w:val="91"/>
              </w:rPr>
              <w:t>—</w:t>
            </w:r>
          </w:p>
        </w:tc>
        <w:tc>
          <w:tcPr>
            <w:tcW w:w="2180" w:type="dxa"/>
            <w:vAlign w:val="bottom"/>
            <w:gridSpan w:val="2"/>
            <w:shd w:val="clear" w:color="auto" w:fill="CCEEFF"/>
          </w:tcPr>
          <w:p>
            <w:pPr>
              <w:jc w:val="center"/>
              <w:ind w:right="80"/>
              <w:spacing w:after="0" w:line="138" w:lineRule="exact"/>
              <w:rPr>
                <w:sz w:val="20"/>
                <w:szCs w:val="20"/>
                <w:color w:val="auto"/>
              </w:rPr>
            </w:pPr>
            <w:r>
              <w:rPr>
                <w:rFonts w:ascii="Arial" w:cs="Arial" w:eastAsia="Arial" w:hAnsi="Arial"/>
                <w:sz w:val="13"/>
                <w:szCs w:val="13"/>
                <w:color w:val="auto"/>
                <w:w w:val="92"/>
              </w:rPr>
              <w:t>Beverage, Food and Tobacco</w:t>
            </w:r>
          </w:p>
        </w:tc>
        <w:tc>
          <w:tcPr>
            <w:tcW w:w="840" w:type="dxa"/>
            <w:vAlign w:val="bottom"/>
            <w:gridSpan w:val="2"/>
            <w:shd w:val="clear" w:color="auto" w:fill="CCEEFF"/>
          </w:tcPr>
          <w:p>
            <w:pPr>
              <w:jc w:val="right"/>
              <w:ind w:right="253"/>
              <w:spacing w:after="0" w:line="138"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8</w:t>
            </w: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5,000</w:t>
            </w: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10,845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94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(TrustHouse Services Group, Inc.)</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940" w:type="dxa"/>
            <w:vAlign w:val="bottom"/>
            <w:gridSpan w:val="2"/>
          </w:tcPr>
          <w:p>
            <w:pPr>
              <w:spacing w:after="0"/>
              <w:rPr>
                <w:sz w:val="20"/>
                <w:szCs w:val="20"/>
                <w:color w:val="auto"/>
              </w:rPr>
            </w:pPr>
            <w:r>
              <w:rPr>
                <w:rFonts w:ascii="Arial" w:cs="Arial" w:eastAsia="Arial" w:hAnsi="Arial"/>
                <w:sz w:val="13"/>
                <w:szCs w:val="13"/>
                <w:b w:val="1"/>
                <w:bCs w:val="1"/>
                <w:color w:val="auto"/>
              </w:rPr>
              <w:t>Total Common Equity</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406,450</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1,101,863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60" w:type="dxa"/>
            <w:vAlign w:val="bottom"/>
            <w:gridSpan w:val="4"/>
            <w:shd w:val="clear" w:color="auto" w:fill="CCEEFF"/>
          </w:tcPr>
          <w:p>
            <w:pPr>
              <w:spacing w:after="0"/>
              <w:rPr>
                <w:sz w:val="20"/>
                <w:szCs w:val="20"/>
                <w:color w:val="auto"/>
              </w:rPr>
            </w:pPr>
            <w:r>
              <w:rPr>
                <w:rFonts w:ascii="Arial" w:cs="Arial" w:eastAsia="Arial" w:hAnsi="Arial"/>
                <w:sz w:val="13"/>
                <w:szCs w:val="13"/>
                <w:b w:val="1"/>
                <w:bCs w:val="1"/>
                <w:color w:val="auto"/>
              </w:rPr>
              <w:t>Total Investments in Non-Controlled, Non-Affiliated Portfolio Companies</w:t>
            </w:r>
          </w:p>
        </w:tc>
        <w:tc>
          <w:tcPr>
            <w:tcW w:w="2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171,578,009</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171,834,400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940" w:type="dxa"/>
            <w:vAlign w:val="bottom"/>
            <w:gridSpan w:val="2"/>
          </w:tcPr>
          <w:p>
            <w:pPr>
              <w:spacing w:after="0"/>
              <w:rPr>
                <w:sz w:val="20"/>
                <w:szCs w:val="20"/>
                <w:color w:val="auto"/>
              </w:rPr>
            </w:pPr>
            <w:r>
              <w:rPr>
                <w:rFonts w:ascii="Arial" w:cs="Arial" w:eastAsia="Arial" w:hAnsi="Arial"/>
                <w:sz w:val="13"/>
                <w:szCs w:val="13"/>
                <w:b w:val="1"/>
                <w:bCs w:val="1"/>
                <w:color w:val="auto"/>
              </w:rPr>
              <w:t>Cash Equivalents—4.0%</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3,845,803</w:t>
            </w: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3,845,803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Investments and Cash Equivalents—183.5%</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1"/>
              </w:rPr>
              <w:t>175,423,812</w:t>
            </w: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u w:val="single" w:color="auto"/>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1"/>
              </w:rPr>
              <w:t>175,680,203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Liabilities in Excess of Other Assets—(83.5)%</w:t>
            </w: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94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0"/>
              <w:spacing w:after="0" w:line="143" w:lineRule="exact"/>
              <w:rPr>
                <w:sz w:val="20"/>
                <w:szCs w:val="20"/>
                <w:color w:val="auto"/>
              </w:rPr>
            </w:pPr>
            <w:r>
              <w:rPr>
                <w:rFonts w:ascii="Arial" w:cs="Arial" w:eastAsia="Arial" w:hAnsi="Arial"/>
                <w:sz w:val="13"/>
                <w:szCs w:val="13"/>
                <w:color w:val="auto"/>
                <w:w w:val="94"/>
              </w:rPr>
              <w:t>(79,936,326)</w:t>
            </w:r>
          </w:p>
        </w:tc>
        <w:tc>
          <w:tcPr>
            <w:tcW w:w="0" w:type="dxa"/>
            <w:vAlign w:val="bottom"/>
          </w:tcPr>
          <w:p>
            <w:pPr>
              <w:spacing w:after="0"/>
              <w:rPr>
                <w:sz w:val="1"/>
                <w:szCs w:val="1"/>
                <w:color w:val="auto"/>
              </w:rPr>
            </w:pPr>
          </w:p>
        </w:tc>
      </w:tr>
      <w:tr>
        <w:trPr>
          <w:trHeight w:val="148"/>
        </w:trPr>
        <w:tc>
          <w:tcPr>
            <w:tcW w:w="39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Net Assets—100.0%</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95,743,877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23571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280" w:lineRule="exact"/>
        <w:rPr>
          <w:sz w:val="20"/>
          <w:szCs w:val="20"/>
          <w:color w:val="auto"/>
        </w:rPr>
      </w:pPr>
    </w:p>
    <w:p>
      <w:pPr>
        <w:ind w:left="340" w:right="40" w:hanging="332"/>
        <w:spacing w:after="0" w:line="248" w:lineRule="auto"/>
        <w:tabs>
          <w:tab w:leader="none" w:pos="340" w:val="left"/>
        </w:tabs>
        <w:numPr>
          <w:ilvl w:val="0"/>
          <w:numId w:val="39"/>
        </w:numPr>
        <w:rPr>
          <w:rFonts w:ascii="Arial" w:cs="Arial" w:eastAsia="Arial" w:hAnsi="Arial"/>
          <w:sz w:val="13"/>
          <w:szCs w:val="13"/>
          <w:color w:val="auto"/>
        </w:rPr>
      </w:pPr>
      <w:r>
        <w:rPr>
          <w:rFonts w:ascii="Arial" w:cs="Arial" w:eastAsia="Arial" w:hAnsi="Arial"/>
          <w:sz w:val="13"/>
          <w:szCs w:val="13"/>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w:t>
      </w:r>
    </w:p>
    <w:p>
      <w:pPr>
        <w:ind w:left="340" w:hanging="332"/>
        <w:spacing w:after="0"/>
        <w:tabs>
          <w:tab w:leader="none" w:pos="340" w:val="left"/>
        </w:tabs>
        <w:numPr>
          <w:ilvl w:val="0"/>
          <w:numId w:val="39"/>
        </w:numPr>
        <w:rPr>
          <w:rFonts w:ascii="Arial" w:cs="Arial" w:eastAsia="Arial" w:hAnsi="Arial"/>
          <w:sz w:val="13"/>
          <w:szCs w:val="13"/>
          <w:color w:val="auto"/>
        </w:rPr>
      </w:pPr>
      <w:r>
        <w:rPr>
          <w:rFonts w:ascii="Arial" w:cs="Arial" w:eastAsia="Arial" w:hAnsi="Arial"/>
          <w:sz w:val="13"/>
          <w:szCs w:val="13"/>
          <w:color w:val="auto"/>
        </w:rPr>
        <w:t>Valued based on our accounting policy (see Note 2).</w:t>
      </w:r>
    </w:p>
    <w:p>
      <w:pPr>
        <w:ind w:left="340" w:right="500" w:hanging="332"/>
        <w:spacing w:after="0" w:line="258" w:lineRule="auto"/>
        <w:tabs>
          <w:tab w:leader="none" w:pos="3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320" w:hanging="332"/>
        <w:spacing w:after="0" w:line="238" w:lineRule="auto"/>
        <w:tabs>
          <w:tab w:leader="none" w:pos="34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right="580" w:hanging="332"/>
        <w:spacing w:after="0" w:line="238" w:lineRule="auto"/>
        <w:tabs>
          <w:tab w:leader="none" w:pos="340" w:val="left"/>
        </w:tabs>
        <w:numPr>
          <w:ilvl w:val="0"/>
          <w:numId w:val="39"/>
        </w:numPr>
        <w:rPr>
          <w:rFonts w:ascii="Arial" w:cs="Arial" w:eastAsia="Arial" w:hAnsi="Arial"/>
          <w:sz w:val="13"/>
          <w:szCs w:val="13"/>
          <w:color w:val="auto"/>
        </w:rPr>
      </w:pPr>
      <w:r>
        <w:rPr>
          <w:rFonts w:ascii="Arial" w:cs="Arial" w:eastAsia="Arial" w:hAnsi="Arial"/>
          <w:sz w:val="13"/>
          <w:szCs w:val="13"/>
          <w:color w:val="auto"/>
        </w:rPr>
        <w:t>Security is exempt from registration under Rule 144A promulgated under the Securities Act. The security may be resold in transactions that are exempt from registration, normally to qualified institutional buyers.</w:t>
      </w:r>
    </w:p>
    <w:p>
      <w:pPr>
        <w:ind w:left="340" w:hanging="332"/>
        <w:spacing w:after="0"/>
        <w:tabs>
          <w:tab w:leader="none" w:pos="340" w:val="left"/>
        </w:tabs>
        <w:numPr>
          <w:ilvl w:val="0"/>
          <w:numId w:val="39"/>
        </w:numPr>
        <w:rPr>
          <w:rFonts w:ascii="Arial" w:cs="Arial" w:eastAsia="Arial" w:hAnsi="Arial"/>
          <w:sz w:val="13"/>
          <w:szCs w:val="13"/>
          <w:color w:val="auto"/>
        </w:rPr>
      </w:pPr>
      <w:r>
        <w:rPr>
          <w:rFonts w:ascii="Arial" w:cs="Arial" w:eastAsia="Arial" w:hAnsi="Arial"/>
          <w:sz w:val="13"/>
          <w:szCs w:val="13"/>
          <w:color w:val="auto"/>
        </w:rPr>
        <w:t>Non-U.S. company or principal place of business outside the United States.</w:t>
      </w:r>
    </w:p>
    <w:p>
      <w:pPr>
        <w:ind w:left="340" w:hanging="332"/>
        <w:spacing w:after="0"/>
        <w:tabs>
          <w:tab w:leader="none" w:pos="340" w:val="left"/>
        </w:tabs>
        <w:numPr>
          <w:ilvl w:val="0"/>
          <w:numId w:val="39"/>
        </w:numPr>
        <w:rPr>
          <w:rFonts w:ascii="Arial" w:cs="Arial" w:eastAsia="Arial" w:hAnsi="Arial"/>
          <w:sz w:val="13"/>
          <w:szCs w:val="13"/>
          <w:color w:val="auto"/>
        </w:rPr>
      </w:pPr>
      <w:r>
        <w:rPr>
          <w:rFonts w:ascii="Arial" w:cs="Arial" w:eastAsia="Arial" w:hAnsi="Arial"/>
          <w:sz w:val="13"/>
          <w:szCs w:val="13"/>
          <w:color w:val="auto"/>
        </w:rPr>
        <w:t>Non-income producing securities.</w:t>
      </w:r>
    </w:p>
    <w:p>
      <w:pPr>
        <w:ind w:left="340" w:hanging="332"/>
        <w:spacing w:after="0"/>
        <w:tabs>
          <w:tab w:leader="none" w:pos="34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securities are not pledged as collateral under the Credit Facility. All other securities are pledged as collateral under the Credit Facility.</w:t>
      </w:r>
    </w:p>
    <w:p>
      <w:pPr>
        <w:ind w:left="340" w:hanging="332"/>
        <w:spacing w:after="0"/>
        <w:tabs>
          <w:tab w:leader="none" w:pos="340" w:val="left"/>
        </w:tabs>
        <w:numPr>
          <w:ilvl w:val="0"/>
          <w:numId w:val="39"/>
        </w:numPr>
        <w:rPr>
          <w:rFonts w:ascii="Arial" w:cs="Arial" w:eastAsia="Arial" w:hAnsi="Arial"/>
          <w:sz w:val="13"/>
          <w:szCs w:val="13"/>
          <w:color w:val="auto"/>
        </w:rPr>
      </w:pPr>
      <w:r>
        <w:rPr>
          <w:rFonts w:ascii="Arial" w:cs="Arial" w:eastAsia="Arial" w:hAnsi="Arial"/>
          <w:sz w:val="13"/>
          <w:szCs w:val="13"/>
          <w:color w:val="auto"/>
        </w:rPr>
        <w:t>Coupon is not subject to a LIBOR or Prime rate floor.</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61</w:t>
      </w:r>
    </w:p>
    <w:p>
      <w:pPr>
        <w:sectPr>
          <w:pgSz w:w="11900" w:h="16838" w:orient="portrait"/>
          <w:cols w:equalWidth="0" w:num="1">
            <w:col w:w="11240"/>
          </w:cols>
          <w:pgMar w:left="320" w:top="459" w:right="3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SCHEDULE OF INVESTMENTS</w:t>
      </w:r>
    </w:p>
    <w:p>
      <w:pPr>
        <w:jc w:val="center"/>
        <w:spacing w:after="0"/>
        <w:rPr>
          <w:sz w:val="20"/>
          <w:szCs w:val="20"/>
          <w:color w:val="auto"/>
        </w:rPr>
      </w:pPr>
      <w:r>
        <w:rPr>
          <w:rFonts w:ascii="Arial" w:cs="Arial" w:eastAsia="Arial" w:hAnsi="Arial"/>
          <w:sz w:val="13"/>
          <w:szCs w:val="13"/>
          <w:b w:val="1"/>
          <w:bCs w:val="1"/>
          <w:color w:val="auto"/>
        </w:rPr>
        <w:t>SEPTEMBER 30, 2011</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20" w:type="dxa"/>
            <w:vAlign w:val="bottom"/>
          </w:tcPr>
          <w:p>
            <w:pPr>
              <w:jc w:val="right"/>
              <w:ind w:right="113"/>
              <w:spacing w:after="0"/>
              <w:rPr>
                <w:sz w:val="20"/>
                <w:szCs w:val="20"/>
                <w:color w:val="auto"/>
              </w:rPr>
            </w:pPr>
            <w:r>
              <w:rPr>
                <w:rFonts w:ascii="Arial" w:cs="Arial" w:eastAsia="Arial" w:hAnsi="Arial"/>
                <w:sz w:val="13"/>
                <w:szCs w:val="13"/>
                <w:b w:val="1"/>
                <w:bCs w:val="1"/>
                <w:color w:val="auto"/>
              </w:rPr>
              <w:t>Basis Point</w:t>
            </w:r>
          </w:p>
        </w:tc>
        <w:tc>
          <w:tcPr>
            <w:tcW w:w="10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jc w:val="center"/>
              <w:ind w:right="13"/>
              <w:spacing w:after="0"/>
              <w:rPr>
                <w:sz w:val="20"/>
                <w:szCs w:val="20"/>
                <w:color w:val="auto"/>
              </w:rPr>
            </w:pPr>
            <w:r>
              <w:rPr>
                <w:rFonts w:ascii="Arial" w:cs="Arial" w:eastAsia="Arial" w:hAnsi="Arial"/>
                <w:sz w:val="13"/>
                <w:szCs w:val="13"/>
                <w:b w:val="1"/>
                <w:bCs w:val="1"/>
                <w:color w:val="auto"/>
                <w:w w:val="90"/>
              </w:rPr>
              <w:t>Spread</w:t>
            </w:r>
          </w:p>
        </w:tc>
        <w:tc>
          <w:tcPr>
            <w:tcW w:w="10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980" w:type="dxa"/>
            <w:vAlign w:val="bottom"/>
          </w:tcPr>
          <w:p>
            <w:pPr>
              <w:jc w:val="right"/>
              <w:ind w:right="333"/>
              <w:spacing w:after="0" w:line="134" w:lineRule="exact"/>
              <w:rPr>
                <w:sz w:val="20"/>
                <w:szCs w:val="20"/>
                <w:color w:val="auto"/>
              </w:rPr>
            </w:pPr>
            <w:r>
              <w:rPr>
                <w:rFonts w:ascii="Arial" w:cs="Arial" w:eastAsia="Arial" w:hAnsi="Arial"/>
                <w:sz w:val="13"/>
                <w:szCs w:val="13"/>
                <w:b w:val="1"/>
                <w:bCs w:val="1"/>
                <w:color w:val="auto"/>
              </w:rPr>
              <w:t>Current</w:t>
            </w:r>
          </w:p>
        </w:tc>
        <w:tc>
          <w:tcPr>
            <w:tcW w:w="920" w:type="dxa"/>
            <w:vAlign w:val="bottom"/>
          </w:tcPr>
          <w:p>
            <w:pPr>
              <w:jc w:val="center"/>
              <w:ind w:right="13"/>
              <w:spacing w:after="0" w:line="134" w:lineRule="exact"/>
              <w:rPr>
                <w:sz w:val="20"/>
                <w:szCs w:val="20"/>
                <w:color w:val="auto"/>
              </w:rPr>
            </w:pPr>
            <w:r>
              <w:rPr>
                <w:rFonts w:ascii="Arial" w:cs="Arial" w:eastAsia="Arial" w:hAnsi="Arial"/>
                <w:sz w:val="13"/>
                <w:szCs w:val="13"/>
                <w:b w:val="1"/>
                <w:bCs w:val="1"/>
                <w:color w:val="auto"/>
                <w:w w:val="90"/>
              </w:rPr>
              <w:t>Above</w:t>
            </w:r>
          </w:p>
        </w:tc>
        <w:tc>
          <w:tcPr>
            <w:tcW w:w="1000" w:type="dxa"/>
            <w:vAlign w:val="bottom"/>
          </w:tcPr>
          <w:p>
            <w:pPr>
              <w:jc w:val="right"/>
              <w:ind w:right="433"/>
              <w:spacing w:after="0" w:line="134" w:lineRule="exact"/>
              <w:rPr>
                <w:sz w:val="20"/>
                <w:szCs w:val="20"/>
                <w:color w:val="auto"/>
              </w:rPr>
            </w:pPr>
            <w:r>
              <w:rPr>
                <w:rFonts w:ascii="Arial" w:cs="Arial" w:eastAsia="Arial" w:hAnsi="Arial"/>
                <w:sz w:val="13"/>
                <w:szCs w:val="13"/>
                <w:b w:val="1"/>
                <w:bCs w:val="1"/>
                <w:color w:val="auto"/>
              </w:rPr>
              <w:t>Par/</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175"/>
        </w:trPr>
        <w:tc>
          <w:tcPr>
            <w:tcW w:w="3000" w:type="dxa"/>
            <w:vAlign w:val="bottom"/>
          </w:tcPr>
          <w:p>
            <w:pPr>
              <w:spacing w:after="0"/>
              <w:rPr>
                <w:sz w:val="20"/>
                <w:szCs w:val="20"/>
                <w:color w:val="auto"/>
              </w:rPr>
            </w:pPr>
            <w:r>
              <w:rPr>
                <w:rFonts w:ascii="Arial" w:cs="Arial" w:eastAsia="Arial" w:hAnsi="Arial"/>
                <w:sz w:val="13"/>
                <w:szCs w:val="13"/>
                <w:b w:val="1"/>
                <w:bCs w:val="1"/>
                <w:color w:val="auto"/>
              </w:rPr>
              <w:t>Issuer Name</w:t>
            </w:r>
          </w:p>
        </w:tc>
        <w:tc>
          <w:tcPr>
            <w:tcW w:w="1160" w:type="dxa"/>
            <w:vAlign w:val="bottom"/>
          </w:tcPr>
          <w:p>
            <w:pPr>
              <w:ind w:left="400"/>
              <w:spacing w:after="0"/>
              <w:rPr>
                <w:sz w:val="20"/>
                <w:szCs w:val="20"/>
                <w:color w:val="auto"/>
              </w:rPr>
            </w:pPr>
            <w:r>
              <w:rPr>
                <w:rFonts w:ascii="Arial" w:cs="Arial" w:eastAsia="Arial" w:hAnsi="Arial"/>
                <w:sz w:val="13"/>
                <w:szCs w:val="13"/>
                <w:b w:val="1"/>
                <w:bCs w:val="1"/>
                <w:color w:val="auto"/>
              </w:rPr>
              <w:t>Maturity</w:t>
            </w:r>
          </w:p>
        </w:tc>
        <w:tc>
          <w:tcPr>
            <w:tcW w:w="2020" w:type="dxa"/>
            <w:vAlign w:val="bottom"/>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980" w:type="dxa"/>
            <w:vAlign w:val="bottom"/>
          </w:tcPr>
          <w:p>
            <w:pPr>
              <w:jc w:val="right"/>
              <w:ind w:right="353"/>
              <w:spacing w:after="0"/>
              <w:rPr>
                <w:sz w:val="20"/>
                <w:szCs w:val="20"/>
                <w:color w:val="auto"/>
              </w:rPr>
            </w:pPr>
            <w:r>
              <w:rPr>
                <w:rFonts w:ascii="Arial" w:cs="Arial" w:eastAsia="Arial" w:hAnsi="Arial"/>
                <w:sz w:val="13"/>
                <w:szCs w:val="13"/>
                <w:b w:val="1"/>
                <w:bCs w:val="1"/>
                <w:color w:val="auto"/>
              </w:rPr>
              <w:t>Coupon</w:t>
            </w:r>
          </w:p>
        </w:tc>
        <w:tc>
          <w:tcPr>
            <w:tcW w:w="920" w:type="dxa"/>
            <w:vAlign w:val="bottom"/>
          </w:tcPr>
          <w:p>
            <w:pPr>
              <w:jc w:val="center"/>
              <w:ind w:right="13"/>
              <w:spacing w:after="0" w:line="176" w:lineRule="exact"/>
              <w:rPr>
                <w:sz w:val="20"/>
                <w:szCs w:val="20"/>
                <w:color w:val="auto"/>
              </w:rPr>
            </w:pPr>
            <w:r>
              <w:rPr>
                <w:rFonts w:ascii="Arial" w:cs="Arial" w:eastAsia="Arial" w:hAnsi="Arial"/>
                <w:sz w:val="12"/>
                <w:szCs w:val="12"/>
                <w:b w:val="1"/>
                <w:bCs w:val="1"/>
                <w:color w:val="auto"/>
                <w:w w:val="94"/>
              </w:rPr>
              <w:t xml:space="preserve">Index </w:t>
            </w:r>
            <w:r>
              <w:rPr>
                <w:rFonts w:ascii="Arial" w:cs="Arial" w:eastAsia="Arial" w:hAnsi="Arial"/>
                <w:sz w:val="20"/>
                <w:szCs w:val="20"/>
                <w:b w:val="1"/>
                <w:bCs w:val="1"/>
                <w:color w:val="auto"/>
                <w:w w:val="94"/>
                <w:vertAlign w:val="superscript"/>
              </w:rPr>
              <w:t>(1)</w:t>
            </w:r>
          </w:p>
        </w:tc>
        <w:tc>
          <w:tcPr>
            <w:tcW w:w="1000" w:type="dxa"/>
            <w:vAlign w:val="bottom"/>
          </w:tcPr>
          <w:p>
            <w:pPr>
              <w:jc w:val="right"/>
              <w:ind w:right="373"/>
              <w:spacing w:after="0"/>
              <w:rPr>
                <w:sz w:val="20"/>
                <w:szCs w:val="20"/>
                <w:color w:val="auto"/>
              </w:rPr>
            </w:pPr>
            <w:r>
              <w:rPr>
                <w:rFonts w:ascii="Arial" w:cs="Arial" w:eastAsia="Arial" w:hAnsi="Arial"/>
                <w:sz w:val="13"/>
                <w:szCs w:val="13"/>
                <w:b w:val="1"/>
                <w:bCs w:val="1"/>
                <w:color w:val="auto"/>
              </w:rPr>
              <w:t>Shares</w:t>
            </w:r>
          </w:p>
        </w:tc>
        <w:tc>
          <w:tcPr>
            <w:tcW w:w="108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Cost</w:t>
            </w: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180" w:type="dxa"/>
            <w:vAlign w:val="bottom"/>
            <w:tcBorders>
              <w:top w:val="single" w:sz="8" w:color="auto"/>
            </w:tcBorders>
            <w:gridSpan w:val="3"/>
            <w:shd w:val="clear" w:color="auto" w:fill="CCEEFF"/>
          </w:tcPr>
          <w:p>
            <w:pPr>
              <w:spacing w:after="0" w:line="142" w:lineRule="exact"/>
              <w:rPr>
                <w:sz w:val="20"/>
                <w:szCs w:val="20"/>
                <w:color w:val="auto"/>
              </w:rPr>
            </w:pPr>
            <w:r>
              <w:rPr>
                <w:rFonts w:ascii="Arial" w:cs="Arial" w:eastAsia="Arial" w:hAnsi="Arial"/>
                <w:sz w:val="10"/>
                <w:szCs w:val="10"/>
                <w:b w:val="1"/>
                <w:bCs w:val="1"/>
                <w:color w:val="auto"/>
              </w:rPr>
              <w:t>Investments in Non-Controlled, Non-Affiliated Portfolio Companies—120.2%</w:t>
            </w:r>
            <w:r>
              <w:rPr>
                <w:rFonts w:ascii="Arial" w:cs="Arial" w:eastAsia="Arial" w:hAnsi="Arial"/>
                <w:sz w:val="16"/>
                <w:szCs w:val="16"/>
                <w:b w:val="1"/>
                <w:bCs w:val="1"/>
                <w:color w:val="auto"/>
                <w:vertAlign w:val="superscript"/>
              </w:rPr>
              <w:t>(3),(4)</w:t>
            </w:r>
          </w:p>
        </w:tc>
        <w:tc>
          <w:tcPr>
            <w:tcW w:w="9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3"/>
                <w:szCs w:val="13"/>
                <w:b w:val="1"/>
                <w:bCs w:val="1"/>
                <w:color w:val="auto"/>
              </w:rPr>
              <w:t>First Lien Secured Debt—99.2%</w:t>
            </w:r>
          </w:p>
        </w:tc>
        <w:tc>
          <w:tcPr>
            <w:tcW w:w="11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Airvana Network Solutions Inc.</w:t>
            </w:r>
          </w:p>
        </w:tc>
        <w:tc>
          <w:tcPr>
            <w:tcW w:w="11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03/25/2015</w:t>
            </w: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Telecommunications</w:t>
            </w:r>
          </w:p>
        </w:tc>
        <w:tc>
          <w:tcPr>
            <w:tcW w:w="98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10.00%</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L+800</w:t>
            </w:r>
          </w:p>
        </w:tc>
        <w:tc>
          <w:tcPr>
            <w:tcW w:w="100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rPr>
              <w:t>1,209,524</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  1,213,365</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1,215,571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3"/>
                <w:szCs w:val="13"/>
                <w:color w:val="auto"/>
              </w:rPr>
              <w:t>Artel, LLC</w:t>
            </w:r>
          </w:p>
        </w:tc>
        <w:tc>
          <w:tcPr>
            <w:tcW w:w="1160" w:type="dxa"/>
            <w:vAlign w:val="bottom"/>
          </w:tcPr>
          <w:p>
            <w:pPr>
              <w:ind w:left="440"/>
              <w:spacing w:after="0"/>
              <w:rPr>
                <w:sz w:val="20"/>
                <w:szCs w:val="20"/>
                <w:color w:val="auto"/>
              </w:rPr>
            </w:pPr>
            <w:r>
              <w:rPr>
                <w:rFonts w:ascii="Arial" w:cs="Arial" w:eastAsia="Arial" w:hAnsi="Arial"/>
                <w:sz w:val="13"/>
                <w:szCs w:val="13"/>
                <w:color w:val="auto"/>
              </w:rPr>
              <w:t>06/01/2016</w:t>
            </w:r>
          </w:p>
        </w:tc>
        <w:tc>
          <w:tcPr>
            <w:tcW w:w="2020" w:type="dxa"/>
            <w:vAlign w:val="bottom"/>
          </w:tcPr>
          <w:p>
            <w:pPr>
              <w:jc w:val="center"/>
              <w:spacing w:after="0"/>
              <w:rPr>
                <w:sz w:val="20"/>
                <w:szCs w:val="20"/>
                <w:color w:val="auto"/>
              </w:rPr>
            </w:pPr>
            <w:r>
              <w:rPr>
                <w:rFonts w:ascii="Arial" w:cs="Arial" w:eastAsia="Arial" w:hAnsi="Arial"/>
                <w:sz w:val="13"/>
                <w:szCs w:val="13"/>
                <w:color w:val="auto"/>
                <w:w w:val="93"/>
              </w:rPr>
              <w:t>Telecommunications</w:t>
            </w:r>
          </w:p>
        </w:tc>
        <w:tc>
          <w:tcPr>
            <w:tcW w:w="980" w:type="dxa"/>
            <w:vAlign w:val="bottom"/>
          </w:tcPr>
          <w:p>
            <w:pPr>
              <w:jc w:val="right"/>
              <w:ind w:right="173"/>
              <w:spacing w:after="0"/>
              <w:rPr>
                <w:sz w:val="20"/>
                <w:szCs w:val="20"/>
                <w:color w:val="auto"/>
              </w:rPr>
            </w:pPr>
            <w:r>
              <w:rPr>
                <w:rFonts w:ascii="Arial" w:cs="Arial" w:eastAsia="Arial" w:hAnsi="Arial"/>
                <w:sz w:val="13"/>
                <w:szCs w:val="13"/>
                <w:color w:val="auto"/>
              </w:rPr>
              <w:t>5.50%</w:t>
            </w: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L+425</w:t>
            </w:r>
          </w:p>
        </w:tc>
        <w:tc>
          <w:tcPr>
            <w:tcW w:w="1000" w:type="dxa"/>
            <w:vAlign w:val="bottom"/>
          </w:tcPr>
          <w:p>
            <w:pPr>
              <w:jc w:val="right"/>
              <w:ind w:right="273"/>
              <w:spacing w:after="0"/>
              <w:rPr>
                <w:sz w:val="20"/>
                <w:szCs w:val="20"/>
                <w:color w:val="auto"/>
              </w:rPr>
            </w:pPr>
            <w:r>
              <w:rPr>
                <w:rFonts w:ascii="Arial" w:cs="Arial" w:eastAsia="Arial" w:hAnsi="Arial"/>
                <w:sz w:val="13"/>
                <w:szCs w:val="13"/>
                <w:color w:val="auto"/>
              </w:rPr>
              <w:t>987,500</w:t>
            </w:r>
          </w:p>
        </w:tc>
        <w:tc>
          <w:tcPr>
            <w:tcW w:w="740" w:type="dxa"/>
            <w:vAlign w:val="bottom"/>
          </w:tcPr>
          <w:p>
            <w:pPr>
              <w:jc w:val="right"/>
              <w:spacing w:after="0"/>
              <w:rPr>
                <w:sz w:val="20"/>
                <w:szCs w:val="20"/>
                <w:color w:val="auto"/>
              </w:rPr>
            </w:pPr>
            <w:r>
              <w:rPr>
                <w:rFonts w:ascii="Arial" w:cs="Arial" w:eastAsia="Arial" w:hAnsi="Arial"/>
                <w:sz w:val="13"/>
                <w:szCs w:val="13"/>
                <w:color w:val="auto"/>
              </w:rPr>
              <w:t>978,043</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972,688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Autoparts Holdings Limited</w:t>
            </w:r>
          </w:p>
        </w:tc>
        <w:tc>
          <w:tcPr>
            <w:tcW w:w="11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07/29/2017</w:t>
            </w: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Automotive</w:t>
            </w:r>
          </w:p>
        </w:tc>
        <w:tc>
          <w:tcPr>
            <w:tcW w:w="98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6.50%</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L+500</w:t>
            </w:r>
          </w:p>
        </w:tc>
        <w:tc>
          <w:tcPr>
            <w:tcW w:w="100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rPr>
              <w:t>1,000,000</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995,085</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992,500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line="216" w:lineRule="exact"/>
              <w:rPr>
                <w:sz w:val="20"/>
                <w:szCs w:val="20"/>
                <w:color w:val="auto"/>
              </w:rPr>
            </w:pPr>
            <w:r>
              <w:rPr>
                <w:rFonts w:ascii="Arial" w:cs="Arial" w:eastAsia="Arial" w:hAnsi="Arial"/>
                <w:sz w:val="13"/>
                <w:szCs w:val="13"/>
                <w:color w:val="auto"/>
              </w:rPr>
              <w:t xml:space="preserve">Chester Downs and Marina, LLC </w:t>
            </w:r>
            <w:r>
              <w:rPr>
                <w:rFonts w:ascii="Arial" w:cs="Arial" w:eastAsia="Arial" w:hAnsi="Arial"/>
                <w:sz w:val="22"/>
                <w:szCs w:val="22"/>
                <w:color w:val="auto"/>
                <w:vertAlign w:val="superscript"/>
              </w:rPr>
              <w:t>(5)</w:t>
            </w:r>
          </w:p>
        </w:tc>
        <w:tc>
          <w:tcPr>
            <w:tcW w:w="1160" w:type="dxa"/>
            <w:vAlign w:val="bottom"/>
          </w:tcPr>
          <w:p>
            <w:pPr>
              <w:ind w:left="440"/>
              <w:spacing w:after="0"/>
              <w:rPr>
                <w:sz w:val="20"/>
                <w:szCs w:val="20"/>
                <w:color w:val="auto"/>
              </w:rPr>
            </w:pPr>
            <w:r>
              <w:rPr>
                <w:rFonts w:ascii="Arial" w:cs="Arial" w:eastAsia="Arial" w:hAnsi="Arial"/>
                <w:sz w:val="13"/>
                <w:szCs w:val="13"/>
                <w:color w:val="auto"/>
              </w:rPr>
              <w:t>07/31/2016</w:t>
            </w:r>
          </w:p>
        </w:tc>
        <w:tc>
          <w:tcPr>
            <w:tcW w:w="2020" w:type="dxa"/>
            <w:vAlign w:val="bottom"/>
          </w:tcPr>
          <w:p>
            <w:pPr>
              <w:jc w:val="center"/>
              <w:spacing w:after="0"/>
              <w:rPr>
                <w:sz w:val="20"/>
                <w:szCs w:val="20"/>
                <w:color w:val="auto"/>
              </w:rPr>
            </w:pPr>
            <w:r>
              <w:rPr>
                <w:rFonts w:ascii="Arial" w:cs="Arial" w:eastAsia="Arial" w:hAnsi="Arial"/>
                <w:sz w:val="13"/>
                <w:szCs w:val="13"/>
                <w:color w:val="auto"/>
                <w:w w:val="94"/>
              </w:rPr>
              <w:t>Hotel, Gaming and Leisure</w:t>
            </w:r>
          </w:p>
        </w:tc>
        <w:tc>
          <w:tcPr>
            <w:tcW w:w="980" w:type="dxa"/>
            <w:vAlign w:val="bottom"/>
          </w:tcPr>
          <w:p>
            <w:pPr>
              <w:jc w:val="right"/>
              <w:ind w:right="173"/>
              <w:spacing w:after="0"/>
              <w:rPr>
                <w:sz w:val="20"/>
                <w:szCs w:val="20"/>
                <w:color w:val="auto"/>
              </w:rPr>
            </w:pPr>
            <w:r>
              <w:rPr>
                <w:rFonts w:ascii="Arial" w:cs="Arial" w:eastAsia="Arial" w:hAnsi="Arial"/>
                <w:sz w:val="13"/>
                <w:szCs w:val="13"/>
                <w:color w:val="auto"/>
              </w:rPr>
              <w:t>12.38%</w:t>
            </w: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L+988</w:t>
            </w:r>
          </w:p>
        </w:tc>
        <w:tc>
          <w:tcPr>
            <w:tcW w:w="1000" w:type="dxa"/>
            <w:vAlign w:val="bottom"/>
          </w:tcPr>
          <w:p>
            <w:pPr>
              <w:jc w:val="right"/>
              <w:ind w:right="273"/>
              <w:spacing w:after="0"/>
              <w:rPr>
                <w:sz w:val="20"/>
                <w:szCs w:val="20"/>
                <w:color w:val="auto"/>
              </w:rPr>
            </w:pPr>
            <w:r>
              <w:rPr>
                <w:rFonts w:ascii="Arial" w:cs="Arial" w:eastAsia="Arial" w:hAnsi="Arial"/>
                <w:sz w:val="13"/>
                <w:szCs w:val="13"/>
                <w:color w:val="auto"/>
              </w:rPr>
              <w:t>478,873</w:t>
            </w:r>
          </w:p>
        </w:tc>
        <w:tc>
          <w:tcPr>
            <w:tcW w:w="740" w:type="dxa"/>
            <w:vAlign w:val="bottom"/>
          </w:tcPr>
          <w:p>
            <w:pPr>
              <w:jc w:val="right"/>
              <w:spacing w:after="0"/>
              <w:rPr>
                <w:sz w:val="20"/>
                <w:szCs w:val="20"/>
                <w:color w:val="auto"/>
              </w:rPr>
            </w:pPr>
            <w:r>
              <w:rPr>
                <w:rFonts w:ascii="Arial" w:cs="Arial" w:eastAsia="Arial" w:hAnsi="Arial"/>
                <w:sz w:val="13"/>
                <w:szCs w:val="13"/>
                <w:color w:val="auto"/>
              </w:rPr>
              <w:t>488,220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476,878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C.H.I. Overhead Doors, Inc.</w:t>
            </w:r>
          </w:p>
        </w:tc>
        <w:tc>
          <w:tcPr>
            <w:tcW w:w="11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08/17/2017</w:t>
            </w: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Consumer Goods: Durable</w:t>
            </w:r>
          </w:p>
        </w:tc>
        <w:tc>
          <w:tcPr>
            <w:tcW w:w="98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7.25%</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L+575</w:t>
            </w:r>
          </w:p>
        </w:tc>
        <w:tc>
          <w:tcPr>
            <w:tcW w:w="100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rPr>
              <w:t>4,000,000</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3,921,236</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3"/>
                <w:szCs w:val="13"/>
                <w:color w:val="auto"/>
              </w:rPr>
              <w:t>EAG, Inc.</w:t>
            </w:r>
          </w:p>
        </w:tc>
        <w:tc>
          <w:tcPr>
            <w:tcW w:w="1160" w:type="dxa"/>
            <w:vAlign w:val="bottom"/>
          </w:tcPr>
          <w:p>
            <w:pPr>
              <w:ind w:left="440"/>
              <w:spacing w:after="0"/>
              <w:rPr>
                <w:sz w:val="20"/>
                <w:szCs w:val="20"/>
                <w:color w:val="auto"/>
              </w:rPr>
            </w:pPr>
            <w:r>
              <w:rPr>
                <w:rFonts w:ascii="Arial" w:cs="Arial" w:eastAsia="Arial" w:hAnsi="Arial"/>
                <w:sz w:val="13"/>
                <w:szCs w:val="13"/>
                <w:color w:val="auto"/>
              </w:rPr>
              <w:t>07/28/2017</w:t>
            </w:r>
          </w:p>
        </w:tc>
        <w:tc>
          <w:tcPr>
            <w:tcW w:w="2020" w:type="dxa"/>
            <w:vAlign w:val="bottom"/>
          </w:tcPr>
          <w:p>
            <w:pPr>
              <w:jc w:val="center"/>
              <w:spacing w:after="0"/>
              <w:rPr>
                <w:sz w:val="20"/>
                <w:szCs w:val="20"/>
                <w:color w:val="auto"/>
              </w:rPr>
            </w:pPr>
            <w:r>
              <w:rPr>
                <w:rFonts w:ascii="Arial" w:cs="Arial" w:eastAsia="Arial" w:hAnsi="Arial"/>
                <w:sz w:val="13"/>
                <w:szCs w:val="13"/>
                <w:color w:val="auto"/>
                <w:w w:val="92"/>
              </w:rPr>
              <w:t>Business Services</w:t>
            </w:r>
          </w:p>
        </w:tc>
        <w:tc>
          <w:tcPr>
            <w:tcW w:w="980" w:type="dxa"/>
            <w:vAlign w:val="bottom"/>
          </w:tcPr>
          <w:p>
            <w:pPr>
              <w:jc w:val="right"/>
              <w:ind w:right="173"/>
              <w:spacing w:after="0"/>
              <w:rPr>
                <w:sz w:val="20"/>
                <w:szCs w:val="20"/>
                <w:color w:val="auto"/>
              </w:rPr>
            </w:pPr>
            <w:r>
              <w:rPr>
                <w:rFonts w:ascii="Arial" w:cs="Arial" w:eastAsia="Arial" w:hAnsi="Arial"/>
                <w:sz w:val="13"/>
                <w:szCs w:val="13"/>
                <w:color w:val="auto"/>
              </w:rPr>
              <w:t>6.75%</w:t>
            </w: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P+350</w:t>
            </w:r>
          </w:p>
        </w:tc>
        <w:tc>
          <w:tcPr>
            <w:tcW w:w="1000" w:type="dxa"/>
            <w:vAlign w:val="bottom"/>
          </w:tcPr>
          <w:p>
            <w:pPr>
              <w:jc w:val="right"/>
              <w:ind w:right="273"/>
              <w:spacing w:after="0"/>
              <w:rPr>
                <w:sz w:val="20"/>
                <w:szCs w:val="20"/>
                <w:color w:val="auto"/>
              </w:rPr>
            </w:pPr>
            <w:r>
              <w:rPr>
                <w:rFonts w:ascii="Arial" w:cs="Arial" w:eastAsia="Arial" w:hAnsi="Arial"/>
                <w:sz w:val="13"/>
                <w:szCs w:val="13"/>
                <w:color w:val="auto"/>
              </w:rPr>
              <w:t>987,500</w:t>
            </w:r>
          </w:p>
        </w:tc>
        <w:tc>
          <w:tcPr>
            <w:tcW w:w="740" w:type="dxa"/>
            <w:vAlign w:val="bottom"/>
          </w:tcPr>
          <w:p>
            <w:pPr>
              <w:jc w:val="right"/>
              <w:spacing w:after="0"/>
              <w:rPr>
                <w:sz w:val="20"/>
                <w:szCs w:val="20"/>
                <w:color w:val="auto"/>
              </w:rPr>
            </w:pPr>
            <w:r>
              <w:rPr>
                <w:rFonts w:ascii="Arial" w:cs="Arial" w:eastAsia="Arial" w:hAnsi="Arial"/>
                <w:sz w:val="13"/>
                <w:szCs w:val="13"/>
                <w:color w:val="auto"/>
              </w:rPr>
              <w:t>982,590</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967,750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Ernest Health, Inc.</w:t>
            </w:r>
          </w:p>
        </w:tc>
        <w:tc>
          <w:tcPr>
            <w:tcW w:w="11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05/13/2016</w:t>
            </w: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Healthcare and Pharmaceuticals</w:t>
            </w:r>
          </w:p>
        </w:tc>
        <w:tc>
          <w:tcPr>
            <w:tcW w:w="98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6.25%</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L+475</w:t>
            </w:r>
          </w:p>
        </w:tc>
        <w:tc>
          <w:tcPr>
            <w:tcW w:w="100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rPr>
              <w:t>2,966,250</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2,939,107</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2,936,587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line="216" w:lineRule="exact"/>
              <w:rPr>
                <w:sz w:val="20"/>
                <w:szCs w:val="20"/>
                <w:color w:val="auto"/>
              </w:rPr>
            </w:pPr>
            <w:r>
              <w:rPr>
                <w:rFonts w:ascii="Arial" w:cs="Arial" w:eastAsia="Arial" w:hAnsi="Arial"/>
                <w:sz w:val="13"/>
                <w:szCs w:val="13"/>
                <w:color w:val="auto"/>
              </w:rPr>
              <w:t xml:space="preserve">Frac Tech International, LLC </w:t>
            </w:r>
            <w:r>
              <w:rPr>
                <w:rFonts w:ascii="Arial" w:cs="Arial" w:eastAsia="Arial" w:hAnsi="Arial"/>
                <w:sz w:val="22"/>
                <w:szCs w:val="22"/>
                <w:color w:val="auto"/>
                <w:vertAlign w:val="superscript"/>
              </w:rPr>
              <w:t>(5)</w:t>
            </w:r>
          </w:p>
        </w:tc>
        <w:tc>
          <w:tcPr>
            <w:tcW w:w="1160" w:type="dxa"/>
            <w:vAlign w:val="bottom"/>
          </w:tcPr>
          <w:p>
            <w:pPr>
              <w:ind w:left="440"/>
              <w:spacing w:after="0"/>
              <w:rPr>
                <w:sz w:val="20"/>
                <w:szCs w:val="20"/>
                <w:color w:val="auto"/>
              </w:rPr>
            </w:pPr>
            <w:r>
              <w:rPr>
                <w:rFonts w:ascii="Arial" w:cs="Arial" w:eastAsia="Arial" w:hAnsi="Arial"/>
                <w:sz w:val="13"/>
                <w:szCs w:val="13"/>
                <w:color w:val="auto"/>
              </w:rPr>
              <w:t>05/06/2016</w:t>
            </w:r>
          </w:p>
        </w:tc>
        <w:tc>
          <w:tcPr>
            <w:tcW w:w="2020" w:type="dxa"/>
            <w:vAlign w:val="bottom"/>
          </w:tcPr>
          <w:p>
            <w:pPr>
              <w:jc w:val="center"/>
              <w:spacing w:after="0"/>
              <w:rPr>
                <w:sz w:val="20"/>
                <w:szCs w:val="20"/>
                <w:color w:val="auto"/>
              </w:rPr>
            </w:pPr>
            <w:r>
              <w:rPr>
                <w:rFonts w:ascii="Arial" w:cs="Arial" w:eastAsia="Arial" w:hAnsi="Arial"/>
                <w:sz w:val="13"/>
                <w:szCs w:val="13"/>
                <w:color w:val="auto"/>
                <w:w w:val="93"/>
              </w:rPr>
              <w:t>Energy: Oil and Gas</w:t>
            </w:r>
          </w:p>
        </w:tc>
        <w:tc>
          <w:tcPr>
            <w:tcW w:w="980" w:type="dxa"/>
            <w:vAlign w:val="bottom"/>
          </w:tcPr>
          <w:p>
            <w:pPr>
              <w:jc w:val="right"/>
              <w:ind w:right="173"/>
              <w:spacing w:after="0"/>
              <w:rPr>
                <w:sz w:val="20"/>
                <w:szCs w:val="20"/>
                <w:color w:val="auto"/>
              </w:rPr>
            </w:pPr>
            <w:r>
              <w:rPr>
                <w:rFonts w:ascii="Arial" w:cs="Arial" w:eastAsia="Arial" w:hAnsi="Arial"/>
                <w:sz w:val="13"/>
                <w:szCs w:val="13"/>
                <w:color w:val="auto"/>
              </w:rPr>
              <w:t>6.25%</w:t>
            </w: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L+475</w:t>
            </w:r>
          </w:p>
        </w:tc>
        <w:tc>
          <w:tcPr>
            <w:tcW w:w="1000" w:type="dxa"/>
            <w:vAlign w:val="bottom"/>
          </w:tcPr>
          <w:p>
            <w:pPr>
              <w:jc w:val="right"/>
              <w:ind w:right="273"/>
              <w:spacing w:after="0"/>
              <w:rPr>
                <w:sz w:val="20"/>
                <w:szCs w:val="20"/>
                <w:color w:val="auto"/>
              </w:rPr>
            </w:pPr>
            <w:r>
              <w:rPr>
                <w:rFonts w:ascii="Arial" w:cs="Arial" w:eastAsia="Arial" w:hAnsi="Arial"/>
                <w:sz w:val="13"/>
                <w:szCs w:val="13"/>
                <w:color w:val="auto"/>
              </w:rPr>
              <w:t>2,073,930</w:t>
            </w:r>
          </w:p>
        </w:tc>
        <w:tc>
          <w:tcPr>
            <w:tcW w:w="740" w:type="dxa"/>
            <w:vAlign w:val="bottom"/>
          </w:tcPr>
          <w:p>
            <w:pPr>
              <w:jc w:val="right"/>
              <w:spacing w:after="0"/>
              <w:rPr>
                <w:sz w:val="20"/>
                <w:szCs w:val="20"/>
                <w:color w:val="auto"/>
              </w:rPr>
            </w:pPr>
            <w:r>
              <w:rPr>
                <w:rFonts w:ascii="Arial" w:cs="Arial" w:eastAsia="Arial" w:hAnsi="Arial"/>
                <w:sz w:val="13"/>
                <w:szCs w:val="13"/>
                <w:color w:val="auto"/>
              </w:rPr>
              <w:t>2,054,330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2,033,747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Gundle/SLT Environmental, Inc.</w:t>
            </w:r>
          </w:p>
        </w:tc>
        <w:tc>
          <w:tcPr>
            <w:tcW w:w="11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05/27/2016</w:t>
            </w: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Environmental Industries</w:t>
            </w:r>
          </w:p>
        </w:tc>
        <w:tc>
          <w:tcPr>
            <w:tcW w:w="98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7.01%</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L+550</w:t>
            </w:r>
          </w:p>
        </w:tc>
        <w:tc>
          <w:tcPr>
            <w:tcW w:w="100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rPr>
              <w:t>2,992,500</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2,964,467</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2,812,950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line="216" w:lineRule="exact"/>
              <w:rPr>
                <w:sz w:val="20"/>
                <w:szCs w:val="20"/>
                <w:color w:val="auto"/>
              </w:rPr>
            </w:pPr>
            <w:r>
              <w:rPr>
                <w:rFonts w:ascii="Arial" w:cs="Arial" w:eastAsia="Arial" w:hAnsi="Arial"/>
                <w:sz w:val="13"/>
                <w:szCs w:val="13"/>
                <w:color w:val="auto"/>
              </w:rPr>
              <w:t xml:space="preserve">Harmony Foods Corporation </w:t>
            </w:r>
            <w:r>
              <w:rPr>
                <w:rFonts w:ascii="Arial" w:cs="Arial" w:eastAsia="Arial" w:hAnsi="Arial"/>
                <w:sz w:val="22"/>
                <w:szCs w:val="22"/>
                <w:color w:val="auto"/>
                <w:vertAlign w:val="superscript"/>
              </w:rPr>
              <w:t>(5), (6), (11)</w:t>
            </w:r>
          </w:p>
        </w:tc>
        <w:tc>
          <w:tcPr>
            <w:tcW w:w="1160" w:type="dxa"/>
            <w:vAlign w:val="bottom"/>
          </w:tcPr>
          <w:p>
            <w:pPr>
              <w:ind w:left="440"/>
              <w:spacing w:after="0"/>
              <w:rPr>
                <w:sz w:val="20"/>
                <w:szCs w:val="20"/>
                <w:color w:val="auto"/>
              </w:rPr>
            </w:pPr>
            <w:r>
              <w:rPr>
                <w:rFonts w:ascii="Arial" w:cs="Arial" w:eastAsia="Arial" w:hAnsi="Arial"/>
                <w:sz w:val="13"/>
                <w:szCs w:val="13"/>
                <w:color w:val="auto"/>
              </w:rPr>
              <w:t>05/01/2016</w:t>
            </w:r>
          </w:p>
        </w:tc>
        <w:tc>
          <w:tcPr>
            <w:tcW w:w="2020" w:type="dxa"/>
            <w:vAlign w:val="bottom"/>
          </w:tcPr>
          <w:p>
            <w:pPr>
              <w:jc w:val="center"/>
              <w:spacing w:after="0"/>
              <w:rPr>
                <w:sz w:val="20"/>
                <w:szCs w:val="20"/>
                <w:color w:val="auto"/>
              </w:rPr>
            </w:pPr>
            <w:r>
              <w:rPr>
                <w:rFonts w:ascii="Arial" w:cs="Arial" w:eastAsia="Arial" w:hAnsi="Arial"/>
                <w:sz w:val="13"/>
                <w:szCs w:val="13"/>
                <w:color w:val="auto"/>
                <w:w w:val="92"/>
              </w:rPr>
              <w:t>Beverage, Food and Tobacco</w:t>
            </w:r>
          </w:p>
        </w:tc>
        <w:tc>
          <w:tcPr>
            <w:tcW w:w="980" w:type="dxa"/>
            <w:vAlign w:val="bottom"/>
          </w:tcPr>
          <w:p>
            <w:pPr>
              <w:jc w:val="right"/>
              <w:ind w:right="173"/>
              <w:spacing w:after="0"/>
              <w:rPr>
                <w:sz w:val="20"/>
                <w:szCs w:val="20"/>
                <w:color w:val="auto"/>
              </w:rPr>
            </w:pPr>
            <w:r>
              <w:rPr>
                <w:rFonts w:ascii="Arial" w:cs="Arial" w:eastAsia="Arial" w:hAnsi="Arial"/>
                <w:sz w:val="13"/>
                <w:szCs w:val="13"/>
                <w:color w:val="auto"/>
              </w:rPr>
              <w:t>10.00%</w:t>
            </w:r>
          </w:p>
        </w:tc>
        <w:tc>
          <w:tcPr>
            <w:tcW w:w="92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273"/>
              <w:spacing w:after="0"/>
              <w:rPr>
                <w:sz w:val="20"/>
                <w:szCs w:val="20"/>
                <w:color w:val="auto"/>
              </w:rPr>
            </w:pPr>
            <w:r>
              <w:rPr>
                <w:rFonts w:ascii="Arial" w:cs="Arial" w:eastAsia="Arial" w:hAnsi="Arial"/>
                <w:sz w:val="13"/>
                <w:szCs w:val="13"/>
                <w:color w:val="auto"/>
              </w:rPr>
              <w:t>2,000,000</w:t>
            </w:r>
          </w:p>
        </w:tc>
        <w:tc>
          <w:tcPr>
            <w:tcW w:w="740" w:type="dxa"/>
            <w:vAlign w:val="bottom"/>
          </w:tcPr>
          <w:p>
            <w:pPr>
              <w:jc w:val="right"/>
              <w:spacing w:after="0"/>
              <w:rPr>
                <w:sz w:val="20"/>
                <w:szCs w:val="20"/>
                <w:color w:val="auto"/>
              </w:rPr>
            </w:pPr>
            <w:r>
              <w:rPr>
                <w:rFonts w:ascii="Arial" w:cs="Arial" w:eastAsia="Arial" w:hAnsi="Arial"/>
                <w:sz w:val="13"/>
                <w:szCs w:val="13"/>
                <w:color w:val="auto"/>
              </w:rPr>
              <w:t>2,000,000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1,990,000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Insight Global, Inc.</w:t>
            </w:r>
          </w:p>
        </w:tc>
        <w:tc>
          <w:tcPr>
            <w:tcW w:w="11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08/16/2017</w:t>
            </w: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Business Services</w:t>
            </w:r>
          </w:p>
        </w:tc>
        <w:tc>
          <w:tcPr>
            <w:tcW w:w="98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6.50%</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L+500</w:t>
            </w:r>
          </w:p>
        </w:tc>
        <w:tc>
          <w:tcPr>
            <w:tcW w:w="100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rPr>
              <w:t>2,493,750</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2,481,331</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2,475,047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000" w:type="dxa"/>
            <w:vAlign w:val="bottom"/>
          </w:tcPr>
          <w:p>
            <w:pPr>
              <w:spacing w:after="0" w:line="138" w:lineRule="exact"/>
              <w:rPr>
                <w:sz w:val="20"/>
                <w:szCs w:val="20"/>
                <w:color w:val="auto"/>
              </w:rPr>
            </w:pPr>
            <w:r>
              <w:rPr>
                <w:rFonts w:ascii="Arial" w:cs="Arial" w:eastAsia="Arial" w:hAnsi="Arial"/>
                <w:sz w:val="10"/>
                <w:szCs w:val="10"/>
                <w:color w:val="auto"/>
              </w:rPr>
              <w:t xml:space="preserve">Instant Web, Inc. </w:t>
            </w:r>
            <w:r>
              <w:rPr>
                <w:rFonts w:ascii="Arial" w:cs="Arial" w:eastAsia="Arial" w:hAnsi="Arial"/>
                <w:sz w:val="15"/>
                <w:szCs w:val="15"/>
                <w:color w:val="auto"/>
                <w:vertAlign w:val="superscript"/>
              </w:rPr>
              <w:t>(5), (7)</w:t>
            </w:r>
          </w:p>
        </w:tc>
        <w:tc>
          <w:tcPr>
            <w:tcW w:w="1160" w:type="dxa"/>
            <w:vAlign w:val="bottom"/>
          </w:tcPr>
          <w:p>
            <w:pPr>
              <w:ind w:left="440"/>
              <w:spacing w:after="0" w:line="138" w:lineRule="exact"/>
              <w:rPr>
                <w:sz w:val="20"/>
                <w:szCs w:val="20"/>
                <w:color w:val="auto"/>
              </w:rPr>
            </w:pPr>
            <w:r>
              <w:rPr>
                <w:rFonts w:ascii="Arial" w:cs="Arial" w:eastAsia="Arial" w:hAnsi="Arial"/>
                <w:sz w:val="13"/>
                <w:szCs w:val="13"/>
                <w:color w:val="auto"/>
              </w:rPr>
              <w:t>08/07/2014</w:t>
            </w:r>
          </w:p>
        </w:tc>
        <w:tc>
          <w:tcPr>
            <w:tcW w:w="2020" w:type="dxa"/>
            <w:vAlign w:val="bottom"/>
          </w:tcPr>
          <w:p>
            <w:pPr>
              <w:jc w:val="center"/>
              <w:spacing w:after="0" w:line="138" w:lineRule="exact"/>
              <w:rPr>
                <w:sz w:val="20"/>
                <w:szCs w:val="20"/>
                <w:color w:val="auto"/>
              </w:rPr>
            </w:pPr>
            <w:r>
              <w:rPr>
                <w:rFonts w:ascii="Arial" w:cs="Arial" w:eastAsia="Arial" w:hAnsi="Arial"/>
                <w:sz w:val="13"/>
                <w:szCs w:val="13"/>
                <w:color w:val="auto"/>
                <w:w w:val="96"/>
              </w:rPr>
              <w:t>Media: Advertising, Printing and</w:t>
            </w:r>
          </w:p>
        </w:tc>
        <w:tc>
          <w:tcPr>
            <w:tcW w:w="980" w:type="dxa"/>
            <w:vAlign w:val="bottom"/>
          </w:tcPr>
          <w:p>
            <w:pPr>
              <w:jc w:val="right"/>
              <w:ind w:right="173"/>
              <w:spacing w:after="0" w:line="138" w:lineRule="exact"/>
              <w:rPr>
                <w:sz w:val="20"/>
                <w:szCs w:val="20"/>
                <w:color w:val="auto"/>
              </w:rPr>
            </w:pPr>
            <w:r>
              <w:rPr>
                <w:rFonts w:ascii="Arial" w:cs="Arial" w:eastAsia="Arial" w:hAnsi="Arial"/>
                <w:sz w:val="13"/>
                <w:szCs w:val="13"/>
                <w:color w:val="auto"/>
              </w:rPr>
              <w:t>3.61%</w:t>
            </w:r>
          </w:p>
        </w:tc>
        <w:tc>
          <w:tcPr>
            <w:tcW w:w="920" w:type="dxa"/>
            <w:vAlign w:val="bottom"/>
          </w:tcPr>
          <w:p>
            <w:pPr>
              <w:jc w:val="right"/>
              <w:ind w:right="33"/>
              <w:spacing w:after="0" w:line="138" w:lineRule="exact"/>
              <w:rPr>
                <w:sz w:val="20"/>
                <w:szCs w:val="20"/>
                <w:color w:val="auto"/>
              </w:rPr>
            </w:pPr>
            <w:r>
              <w:rPr>
                <w:rFonts w:ascii="Arial" w:cs="Arial" w:eastAsia="Arial" w:hAnsi="Arial"/>
                <w:sz w:val="13"/>
                <w:szCs w:val="13"/>
                <w:color w:val="auto"/>
              </w:rPr>
              <w:t>L+338</w:t>
            </w:r>
          </w:p>
        </w:tc>
        <w:tc>
          <w:tcPr>
            <w:tcW w:w="1000" w:type="dxa"/>
            <w:vAlign w:val="bottom"/>
          </w:tcPr>
          <w:p>
            <w:pPr>
              <w:jc w:val="right"/>
              <w:ind w:right="273"/>
              <w:spacing w:after="0" w:line="138" w:lineRule="exact"/>
              <w:rPr>
                <w:sz w:val="20"/>
                <w:szCs w:val="20"/>
                <w:color w:val="auto"/>
              </w:rPr>
            </w:pPr>
            <w:r>
              <w:rPr>
                <w:rFonts w:ascii="Arial" w:cs="Arial" w:eastAsia="Arial" w:hAnsi="Arial"/>
                <w:sz w:val="13"/>
                <w:szCs w:val="13"/>
                <w:color w:val="auto"/>
              </w:rPr>
              <w:t>6,981,823</w:t>
            </w: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6,523,240</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8" w:lineRule="exact"/>
              <w:rPr>
                <w:sz w:val="20"/>
                <w:szCs w:val="20"/>
                <w:color w:val="auto"/>
              </w:rPr>
            </w:pPr>
            <w:r>
              <w:rPr>
                <w:rFonts w:ascii="Arial" w:cs="Arial" w:eastAsia="Arial" w:hAnsi="Arial"/>
                <w:sz w:val="13"/>
                <w:szCs w:val="13"/>
                <w:color w:val="auto"/>
              </w:rPr>
              <w:t>6,283,641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96"/>
              </w:rPr>
              <w:t>Publishing</w:t>
            </w:r>
          </w:p>
        </w:tc>
        <w:tc>
          <w:tcPr>
            <w:tcW w:w="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K2 Pure Solutions NoCal, L.P.</w:t>
            </w:r>
          </w:p>
        </w:tc>
        <w:tc>
          <w:tcPr>
            <w:tcW w:w="11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09/10/2015</w:t>
            </w: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Chemicals, Plastics and Rubber</w:t>
            </w:r>
          </w:p>
        </w:tc>
        <w:tc>
          <w:tcPr>
            <w:tcW w:w="98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10.00%</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P+675</w:t>
            </w:r>
          </w:p>
        </w:tc>
        <w:tc>
          <w:tcPr>
            <w:tcW w:w="100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rPr>
              <w:t>5,476,250</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5,525,637</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5,202,437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Arial" w:cs="Arial" w:eastAsia="Arial" w:hAnsi="Arial"/>
                <w:sz w:val="11"/>
                <w:szCs w:val="11"/>
                <w:color w:val="auto"/>
              </w:rPr>
              <w:t xml:space="preserve">KAR Auction Services, Inc. </w:t>
            </w:r>
            <w:r>
              <w:rPr>
                <w:rFonts w:ascii="Arial" w:cs="Arial" w:eastAsia="Arial" w:hAnsi="Arial"/>
                <w:sz w:val="17"/>
                <w:szCs w:val="17"/>
                <w:color w:val="auto"/>
                <w:vertAlign w:val="superscript"/>
              </w:rPr>
              <w:t>(5)</w:t>
            </w:r>
          </w:p>
        </w:tc>
        <w:tc>
          <w:tcPr>
            <w:tcW w:w="1160" w:type="dxa"/>
            <w:vAlign w:val="bottom"/>
          </w:tcPr>
          <w:p>
            <w:pPr>
              <w:ind w:left="440"/>
              <w:spacing w:after="0"/>
              <w:rPr>
                <w:sz w:val="20"/>
                <w:szCs w:val="20"/>
                <w:color w:val="auto"/>
              </w:rPr>
            </w:pPr>
            <w:r>
              <w:rPr>
                <w:rFonts w:ascii="Arial" w:cs="Arial" w:eastAsia="Arial" w:hAnsi="Arial"/>
                <w:sz w:val="13"/>
                <w:szCs w:val="13"/>
                <w:color w:val="auto"/>
              </w:rPr>
              <w:t>05/19/2017</w:t>
            </w:r>
          </w:p>
        </w:tc>
        <w:tc>
          <w:tcPr>
            <w:tcW w:w="2020" w:type="dxa"/>
            <w:vAlign w:val="bottom"/>
          </w:tcPr>
          <w:p>
            <w:pPr>
              <w:jc w:val="center"/>
              <w:spacing w:after="0"/>
              <w:rPr>
                <w:sz w:val="20"/>
                <w:szCs w:val="20"/>
                <w:color w:val="auto"/>
              </w:rPr>
            </w:pPr>
            <w:r>
              <w:rPr>
                <w:rFonts w:ascii="Arial" w:cs="Arial" w:eastAsia="Arial" w:hAnsi="Arial"/>
                <w:sz w:val="13"/>
                <w:szCs w:val="13"/>
                <w:color w:val="auto"/>
              </w:rPr>
              <w:t>Automotive</w:t>
            </w:r>
          </w:p>
        </w:tc>
        <w:tc>
          <w:tcPr>
            <w:tcW w:w="980" w:type="dxa"/>
            <w:vAlign w:val="bottom"/>
          </w:tcPr>
          <w:p>
            <w:pPr>
              <w:jc w:val="right"/>
              <w:ind w:right="173"/>
              <w:spacing w:after="0"/>
              <w:rPr>
                <w:sz w:val="20"/>
                <w:szCs w:val="20"/>
                <w:color w:val="auto"/>
              </w:rPr>
            </w:pPr>
            <w:r>
              <w:rPr>
                <w:rFonts w:ascii="Arial" w:cs="Arial" w:eastAsia="Arial" w:hAnsi="Arial"/>
                <w:sz w:val="13"/>
                <w:szCs w:val="13"/>
                <w:color w:val="auto"/>
              </w:rPr>
              <w:t>5.00%</w:t>
            </w: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L+375</w:t>
            </w:r>
          </w:p>
        </w:tc>
        <w:tc>
          <w:tcPr>
            <w:tcW w:w="1000" w:type="dxa"/>
            <w:vAlign w:val="bottom"/>
          </w:tcPr>
          <w:p>
            <w:pPr>
              <w:jc w:val="right"/>
              <w:ind w:right="273"/>
              <w:spacing w:after="0"/>
              <w:rPr>
                <w:sz w:val="20"/>
                <w:szCs w:val="20"/>
                <w:color w:val="auto"/>
              </w:rPr>
            </w:pPr>
            <w:r>
              <w:rPr>
                <w:rFonts w:ascii="Arial" w:cs="Arial" w:eastAsia="Arial" w:hAnsi="Arial"/>
                <w:sz w:val="13"/>
                <w:szCs w:val="13"/>
                <w:color w:val="auto"/>
              </w:rPr>
              <w:t>2,992,500</w:t>
            </w:r>
          </w:p>
        </w:tc>
        <w:tc>
          <w:tcPr>
            <w:tcW w:w="740" w:type="dxa"/>
            <w:vAlign w:val="bottom"/>
          </w:tcPr>
          <w:p>
            <w:pPr>
              <w:jc w:val="right"/>
              <w:spacing w:after="0"/>
              <w:rPr>
                <w:sz w:val="20"/>
                <w:szCs w:val="20"/>
                <w:color w:val="auto"/>
              </w:rPr>
            </w:pPr>
            <w:r>
              <w:rPr>
                <w:rFonts w:ascii="Arial" w:cs="Arial" w:eastAsia="Arial" w:hAnsi="Arial"/>
                <w:sz w:val="13"/>
                <w:szCs w:val="13"/>
                <w:color w:val="auto"/>
              </w:rPr>
              <w:t>2,978,487</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2,895,244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KIK Custom Products Inc. </w:t>
            </w:r>
            <w:r>
              <w:rPr>
                <w:rFonts w:ascii="Arial" w:cs="Arial" w:eastAsia="Arial" w:hAnsi="Arial"/>
                <w:sz w:val="17"/>
                <w:szCs w:val="17"/>
                <w:color w:val="auto"/>
                <w:vertAlign w:val="superscript"/>
              </w:rPr>
              <w:t>(5), (7)</w:t>
            </w:r>
          </w:p>
        </w:tc>
        <w:tc>
          <w:tcPr>
            <w:tcW w:w="11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05/31/2014</w:t>
            </w: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Consumer Goods: Non-Durable</w:t>
            </w:r>
          </w:p>
        </w:tc>
        <w:tc>
          <w:tcPr>
            <w:tcW w:w="98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8.50%</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L+700</w:t>
            </w:r>
          </w:p>
        </w:tc>
        <w:tc>
          <w:tcPr>
            <w:tcW w:w="100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rPr>
              <w:t>4,987,500</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4,847,186</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4,713,187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3"/>
                <w:szCs w:val="13"/>
                <w:color w:val="auto"/>
              </w:rPr>
              <w:t>Medpace Holdings, Inc.</w:t>
            </w:r>
          </w:p>
        </w:tc>
        <w:tc>
          <w:tcPr>
            <w:tcW w:w="1160" w:type="dxa"/>
            <w:vAlign w:val="bottom"/>
          </w:tcPr>
          <w:p>
            <w:pPr>
              <w:ind w:left="440"/>
              <w:spacing w:after="0"/>
              <w:rPr>
                <w:sz w:val="20"/>
                <w:szCs w:val="20"/>
                <w:color w:val="auto"/>
              </w:rPr>
            </w:pPr>
            <w:r>
              <w:rPr>
                <w:rFonts w:ascii="Arial" w:cs="Arial" w:eastAsia="Arial" w:hAnsi="Arial"/>
                <w:sz w:val="13"/>
                <w:szCs w:val="13"/>
                <w:color w:val="auto"/>
              </w:rPr>
              <w:t>06/17/2017</w:t>
            </w:r>
          </w:p>
        </w:tc>
        <w:tc>
          <w:tcPr>
            <w:tcW w:w="2020" w:type="dxa"/>
            <w:vAlign w:val="bottom"/>
          </w:tcPr>
          <w:p>
            <w:pPr>
              <w:jc w:val="center"/>
              <w:spacing w:after="0"/>
              <w:rPr>
                <w:sz w:val="20"/>
                <w:szCs w:val="20"/>
                <w:color w:val="auto"/>
              </w:rPr>
            </w:pPr>
            <w:r>
              <w:rPr>
                <w:rFonts w:ascii="Arial" w:cs="Arial" w:eastAsia="Arial" w:hAnsi="Arial"/>
                <w:sz w:val="13"/>
                <w:szCs w:val="13"/>
                <w:color w:val="auto"/>
                <w:w w:val="92"/>
              </w:rPr>
              <w:t>Business Services</w:t>
            </w:r>
          </w:p>
        </w:tc>
        <w:tc>
          <w:tcPr>
            <w:tcW w:w="980" w:type="dxa"/>
            <w:vAlign w:val="bottom"/>
          </w:tcPr>
          <w:p>
            <w:pPr>
              <w:jc w:val="right"/>
              <w:ind w:right="173"/>
              <w:spacing w:after="0"/>
              <w:rPr>
                <w:sz w:val="20"/>
                <w:szCs w:val="20"/>
                <w:color w:val="auto"/>
              </w:rPr>
            </w:pPr>
            <w:r>
              <w:rPr>
                <w:rFonts w:ascii="Arial" w:cs="Arial" w:eastAsia="Arial" w:hAnsi="Arial"/>
                <w:sz w:val="13"/>
                <w:szCs w:val="13"/>
                <w:color w:val="auto"/>
              </w:rPr>
              <w:t>6.50%</w:t>
            </w: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L+500</w:t>
            </w:r>
          </w:p>
        </w:tc>
        <w:tc>
          <w:tcPr>
            <w:tcW w:w="1000" w:type="dxa"/>
            <w:vAlign w:val="bottom"/>
          </w:tcPr>
          <w:p>
            <w:pPr>
              <w:jc w:val="right"/>
              <w:ind w:right="273"/>
              <w:spacing w:after="0"/>
              <w:rPr>
                <w:sz w:val="20"/>
                <w:szCs w:val="20"/>
                <w:color w:val="auto"/>
              </w:rPr>
            </w:pPr>
            <w:r>
              <w:rPr>
                <w:rFonts w:ascii="Arial" w:cs="Arial" w:eastAsia="Arial" w:hAnsi="Arial"/>
                <w:sz w:val="13"/>
                <w:szCs w:val="13"/>
                <w:color w:val="auto"/>
              </w:rPr>
              <w:t>1,995,000</w:t>
            </w:r>
          </w:p>
        </w:tc>
        <w:tc>
          <w:tcPr>
            <w:tcW w:w="740" w:type="dxa"/>
            <w:vAlign w:val="bottom"/>
          </w:tcPr>
          <w:p>
            <w:pPr>
              <w:jc w:val="right"/>
              <w:spacing w:after="0"/>
              <w:rPr>
                <w:sz w:val="20"/>
                <w:szCs w:val="20"/>
                <w:color w:val="auto"/>
              </w:rPr>
            </w:pPr>
            <w:r>
              <w:rPr>
                <w:rFonts w:ascii="Arial" w:cs="Arial" w:eastAsia="Arial" w:hAnsi="Arial"/>
                <w:sz w:val="13"/>
                <w:szCs w:val="13"/>
                <w:color w:val="auto"/>
              </w:rPr>
              <w:t>1,966,025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1,895,250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Mood Media Corporation </w:t>
            </w:r>
            <w:r>
              <w:rPr>
                <w:rFonts w:ascii="Arial" w:cs="Arial" w:eastAsia="Arial" w:hAnsi="Arial"/>
                <w:sz w:val="17"/>
                <w:szCs w:val="17"/>
                <w:color w:val="auto"/>
                <w:vertAlign w:val="superscript"/>
              </w:rPr>
              <w:t>(7)</w:t>
            </w:r>
          </w:p>
        </w:tc>
        <w:tc>
          <w:tcPr>
            <w:tcW w:w="318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05/06/2018   Media: Diversified and Production</w:t>
            </w:r>
          </w:p>
        </w:tc>
        <w:tc>
          <w:tcPr>
            <w:tcW w:w="98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7.00%</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L+550</w:t>
            </w:r>
          </w:p>
        </w:tc>
        <w:tc>
          <w:tcPr>
            <w:tcW w:w="100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rPr>
              <w:t>3,990,000</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3,951,886</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3,670,800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3000" w:type="dxa"/>
            <w:vAlign w:val="bottom"/>
          </w:tcPr>
          <w:p>
            <w:pPr>
              <w:spacing w:after="0"/>
              <w:rPr>
                <w:sz w:val="20"/>
                <w:szCs w:val="20"/>
                <w:color w:val="auto"/>
              </w:rPr>
            </w:pPr>
            <w:r>
              <w:rPr>
                <w:rFonts w:ascii="Arial" w:cs="Arial" w:eastAsia="Arial" w:hAnsi="Arial"/>
                <w:sz w:val="13"/>
                <w:szCs w:val="13"/>
                <w:color w:val="auto"/>
              </w:rPr>
              <w:t xml:space="preserve">Penton Media, Inc. </w:t>
            </w:r>
            <w:r>
              <w:rPr>
                <w:rFonts w:ascii="Arial" w:cs="Arial" w:eastAsia="Arial" w:hAnsi="Arial"/>
                <w:sz w:val="22"/>
                <w:szCs w:val="22"/>
                <w:color w:val="auto"/>
                <w:vertAlign w:val="superscript"/>
              </w:rPr>
              <w:t>(5)</w:t>
            </w:r>
          </w:p>
        </w:tc>
        <w:tc>
          <w:tcPr>
            <w:tcW w:w="3180" w:type="dxa"/>
            <w:vAlign w:val="bottom"/>
            <w:gridSpan w:val="2"/>
          </w:tcPr>
          <w:p>
            <w:pPr>
              <w:ind w:left="440"/>
              <w:spacing w:after="0"/>
              <w:rPr>
                <w:sz w:val="20"/>
                <w:szCs w:val="20"/>
                <w:color w:val="auto"/>
              </w:rPr>
            </w:pPr>
            <w:r>
              <w:rPr>
                <w:rFonts w:ascii="Arial" w:cs="Arial" w:eastAsia="Arial" w:hAnsi="Arial"/>
                <w:sz w:val="13"/>
                <w:szCs w:val="13"/>
                <w:color w:val="auto"/>
              </w:rPr>
              <w:t>08/01/2014   Media: Diversified and Production</w:t>
            </w:r>
          </w:p>
        </w:tc>
        <w:tc>
          <w:tcPr>
            <w:tcW w:w="980" w:type="dxa"/>
            <w:vAlign w:val="bottom"/>
          </w:tcPr>
          <w:p>
            <w:pPr>
              <w:jc w:val="right"/>
              <w:ind w:right="33"/>
              <w:spacing w:after="0"/>
              <w:rPr>
                <w:sz w:val="20"/>
                <w:szCs w:val="20"/>
                <w:color w:val="auto"/>
              </w:rPr>
            </w:pPr>
            <w:r>
              <w:rPr>
                <w:rFonts w:ascii="Arial" w:cs="Arial" w:eastAsia="Arial" w:hAnsi="Arial"/>
                <w:sz w:val="13"/>
                <w:szCs w:val="13"/>
                <w:color w:val="auto"/>
              </w:rPr>
              <w:t>5.00%</w:t>
            </w:r>
            <w:r>
              <w:rPr>
                <w:rFonts w:ascii="Arial" w:cs="Arial" w:eastAsia="Arial" w:hAnsi="Arial"/>
                <w:sz w:val="22"/>
                <w:szCs w:val="22"/>
                <w:color w:val="auto"/>
                <w:vertAlign w:val="superscript"/>
              </w:rPr>
              <w:t>(8)</w:t>
            </w: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L+400</w:t>
            </w:r>
          </w:p>
        </w:tc>
        <w:tc>
          <w:tcPr>
            <w:tcW w:w="1000" w:type="dxa"/>
            <w:vAlign w:val="bottom"/>
          </w:tcPr>
          <w:p>
            <w:pPr>
              <w:jc w:val="right"/>
              <w:ind w:right="273"/>
              <w:spacing w:after="0"/>
              <w:rPr>
                <w:sz w:val="20"/>
                <w:szCs w:val="20"/>
                <w:color w:val="auto"/>
              </w:rPr>
            </w:pPr>
            <w:r>
              <w:rPr>
                <w:rFonts w:ascii="Arial" w:cs="Arial" w:eastAsia="Arial" w:hAnsi="Arial"/>
                <w:sz w:val="13"/>
                <w:szCs w:val="13"/>
                <w:color w:val="auto"/>
              </w:rPr>
              <w:t>5,498,048</w:t>
            </w:r>
          </w:p>
        </w:tc>
        <w:tc>
          <w:tcPr>
            <w:tcW w:w="740" w:type="dxa"/>
            <w:vAlign w:val="bottom"/>
          </w:tcPr>
          <w:p>
            <w:pPr>
              <w:jc w:val="right"/>
              <w:spacing w:after="0"/>
              <w:rPr>
                <w:sz w:val="20"/>
                <w:szCs w:val="20"/>
                <w:color w:val="auto"/>
              </w:rPr>
            </w:pPr>
            <w:r>
              <w:rPr>
                <w:rFonts w:ascii="Arial" w:cs="Arial" w:eastAsia="Arial" w:hAnsi="Arial"/>
                <w:sz w:val="13"/>
                <w:szCs w:val="13"/>
                <w:color w:val="auto"/>
              </w:rPr>
              <w:t>4,675,936</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3,802,818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Potter’s Holdings II, L.P.</w:t>
            </w:r>
          </w:p>
        </w:tc>
        <w:tc>
          <w:tcPr>
            <w:tcW w:w="318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05/08/2017   Containers, Packaging and Glass</w:t>
            </w:r>
          </w:p>
        </w:tc>
        <w:tc>
          <w:tcPr>
            <w:tcW w:w="98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6.00%</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L+450</w:t>
            </w:r>
          </w:p>
        </w:tc>
        <w:tc>
          <w:tcPr>
            <w:tcW w:w="100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rPr>
              <w:t>1,995,000</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1,976,257</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1,900,237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3"/>
                <w:szCs w:val="13"/>
                <w:color w:val="auto"/>
              </w:rPr>
              <w:t>Pro Mach, Inc.</w:t>
            </w:r>
          </w:p>
        </w:tc>
        <w:tc>
          <w:tcPr>
            <w:tcW w:w="1160" w:type="dxa"/>
            <w:vAlign w:val="bottom"/>
          </w:tcPr>
          <w:p>
            <w:pPr>
              <w:ind w:left="440"/>
              <w:spacing w:after="0"/>
              <w:rPr>
                <w:sz w:val="20"/>
                <w:szCs w:val="20"/>
                <w:color w:val="auto"/>
              </w:rPr>
            </w:pPr>
            <w:r>
              <w:rPr>
                <w:rFonts w:ascii="Arial" w:cs="Arial" w:eastAsia="Arial" w:hAnsi="Arial"/>
                <w:sz w:val="13"/>
                <w:szCs w:val="13"/>
                <w:color w:val="auto"/>
              </w:rPr>
              <w:t>07/06/2017</w:t>
            </w:r>
          </w:p>
        </w:tc>
        <w:tc>
          <w:tcPr>
            <w:tcW w:w="2020" w:type="dxa"/>
            <w:vAlign w:val="bottom"/>
          </w:tcPr>
          <w:p>
            <w:pPr>
              <w:jc w:val="center"/>
              <w:spacing w:after="0"/>
              <w:rPr>
                <w:sz w:val="20"/>
                <w:szCs w:val="20"/>
                <w:color w:val="auto"/>
              </w:rPr>
            </w:pPr>
            <w:r>
              <w:rPr>
                <w:rFonts w:ascii="Arial" w:cs="Arial" w:eastAsia="Arial" w:hAnsi="Arial"/>
                <w:sz w:val="13"/>
                <w:szCs w:val="13"/>
                <w:color w:val="auto"/>
                <w:w w:val="95"/>
              </w:rPr>
              <w:t>Capital Equipment</w:t>
            </w:r>
          </w:p>
        </w:tc>
        <w:tc>
          <w:tcPr>
            <w:tcW w:w="980" w:type="dxa"/>
            <w:vAlign w:val="bottom"/>
          </w:tcPr>
          <w:p>
            <w:pPr>
              <w:jc w:val="right"/>
              <w:ind w:right="173"/>
              <w:spacing w:after="0"/>
              <w:rPr>
                <w:sz w:val="20"/>
                <w:szCs w:val="20"/>
                <w:color w:val="auto"/>
              </w:rPr>
            </w:pPr>
            <w:r>
              <w:rPr>
                <w:rFonts w:ascii="Arial" w:cs="Arial" w:eastAsia="Arial" w:hAnsi="Arial"/>
                <w:sz w:val="13"/>
                <w:szCs w:val="13"/>
                <w:color w:val="auto"/>
              </w:rPr>
              <w:t>6.25%</w:t>
            </w: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L+475</w:t>
            </w:r>
          </w:p>
        </w:tc>
        <w:tc>
          <w:tcPr>
            <w:tcW w:w="1000" w:type="dxa"/>
            <w:vAlign w:val="bottom"/>
          </w:tcPr>
          <w:p>
            <w:pPr>
              <w:jc w:val="right"/>
              <w:ind w:right="273"/>
              <w:spacing w:after="0"/>
              <w:rPr>
                <w:sz w:val="20"/>
                <w:szCs w:val="20"/>
                <w:color w:val="auto"/>
              </w:rPr>
            </w:pPr>
            <w:r>
              <w:rPr>
                <w:rFonts w:ascii="Arial" w:cs="Arial" w:eastAsia="Arial" w:hAnsi="Arial"/>
                <w:sz w:val="13"/>
                <w:szCs w:val="13"/>
                <w:color w:val="auto"/>
              </w:rPr>
              <w:t>997,500</w:t>
            </w:r>
          </w:p>
        </w:tc>
        <w:tc>
          <w:tcPr>
            <w:tcW w:w="740" w:type="dxa"/>
            <w:vAlign w:val="bottom"/>
          </w:tcPr>
          <w:p>
            <w:pPr>
              <w:jc w:val="right"/>
              <w:spacing w:after="0"/>
              <w:rPr>
                <w:sz w:val="20"/>
                <w:szCs w:val="20"/>
                <w:color w:val="auto"/>
              </w:rPr>
            </w:pPr>
            <w:r>
              <w:rPr>
                <w:rFonts w:ascii="Arial" w:cs="Arial" w:eastAsia="Arial" w:hAnsi="Arial"/>
                <w:sz w:val="13"/>
                <w:szCs w:val="13"/>
                <w:color w:val="auto"/>
              </w:rPr>
              <w:t>987,986</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982,537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Securus Technologies, Inc.</w:t>
            </w:r>
          </w:p>
        </w:tc>
        <w:tc>
          <w:tcPr>
            <w:tcW w:w="11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05/31/2017</w:t>
            </w: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Telecommunications</w:t>
            </w:r>
          </w:p>
        </w:tc>
        <w:tc>
          <w:tcPr>
            <w:tcW w:w="98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5.25%</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L+400</w:t>
            </w:r>
          </w:p>
        </w:tc>
        <w:tc>
          <w:tcPr>
            <w:tcW w:w="100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rPr>
              <w:t>2,992,500</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2,963,597</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2,891,503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Arial" w:cs="Arial" w:eastAsia="Arial" w:hAnsi="Arial"/>
                <w:sz w:val="11"/>
                <w:szCs w:val="11"/>
                <w:color w:val="auto"/>
              </w:rPr>
              <w:t xml:space="preserve">Select Medical Corporation </w:t>
            </w:r>
            <w:r>
              <w:rPr>
                <w:rFonts w:ascii="Arial" w:cs="Arial" w:eastAsia="Arial" w:hAnsi="Arial"/>
                <w:sz w:val="17"/>
                <w:szCs w:val="17"/>
                <w:color w:val="auto"/>
                <w:vertAlign w:val="superscript"/>
              </w:rPr>
              <w:t>(5)</w:t>
            </w:r>
          </w:p>
        </w:tc>
        <w:tc>
          <w:tcPr>
            <w:tcW w:w="1160" w:type="dxa"/>
            <w:vAlign w:val="bottom"/>
          </w:tcPr>
          <w:p>
            <w:pPr>
              <w:ind w:left="440"/>
              <w:spacing w:after="0"/>
              <w:rPr>
                <w:sz w:val="20"/>
                <w:szCs w:val="20"/>
                <w:color w:val="auto"/>
              </w:rPr>
            </w:pPr>
            <w:r>
              <w:rPr>
                <w:rFonts w:ascii="Arial" w:cs="Arial" w:eastAsia="Arial" w:hAnsi="Arial"/>
                <w:sz w:val="13"/>
                <w:szCs w:val="13"/>
                <w:color w:val="auto"/>
              </w:rPr>
              <w:t>06/01/2018</w:t>
            </w:r>
          </w:p>
        </w:tc>
        <w:tc>
          <w:tcPr>
            <w:tcW w:w="2020" w:type="dxa"/>
            <w:vAlign w:val="bottom"/>
          </w:tcPr>
          <w:p>
            <w:pPr>
              <w:jc w:val="center"/>
              <w:spacing w:after="0"/>
              <w:rPr>
                <w:sz w:val="20"/>
                <w:szCs w:val="20"/>
                <w:color w:val="auto"/>
              </w:rPr>
            </w:pPr>
            <w:r>
              <w:rPr>
                <w:rFonts w:ascii="Arial" w:cs="Arial" w:eastAsia="Arial" w:hAnsi="Arial"/>
                <w:sz w:val="13"/>
                <w:szCs w:val="13"/>
                <w:color w:val="auto"/>
                <w:w w:val="92"/>
              </w:rPr>
              <w:t>Business Services</w:t>
            </w:r>
          </w:p>
        </w:tc>
        <w:tc>
          <w:tcPr>
            <w:tcW w:w="980" w:type="dxa"/>
            <w:vAlign w:val="bottom"/>
          </w:tcPr>
          <w:p>
            <w:pPr>
              <w:jc w:val="right"/>
              <w:ind w:right="173"/>
              <w:spacing w:after="0"/>
              <w:rPr>
                <w:sz w:val="20"/>
                <w:szCs w:val="20"/>
                <w:color w:val="auto"/>
              </w:rPr>
            </w:pPr>
            <w:r>
              <w:rPr>
                <w:rFonts w:ascii="Arial" w:cs="Arial" w:eastAsia="Arial" w:hAnsi="Arial"/>
                <w:sz w:val="13"/>
                <w:szCs w:val="13"/>
                <w:color w:val="auto"/>
              </w:rPr>
              <w:t>5.50%</w:t>
            </w: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L+375</w:t>
            </w:r>
          </w:p>
        </w:tc>
        <w:tc>
          <w:tcPr>
            <w:tcW w:w="1000" w:type="dxa"/>
            <w:vAlign w:val="bottom"/>
          </w:tcPr>
          <w:p>
            <w:pPr>
              <w:jc w:val="right"/>
              <w:ind w:right="273"/>
              <w:spacing w:after="0"/>
              <w:rPr>
                <w:sz w:val="20"/>
                <w:szCs w:val="20"/>
                <w:color w:val="auto"/>
              </w:rPr>
            </w:pPr>
            <w:r>
              <w:rPr>
                <w:rFonts w:ascii="Arial" w:cs="Arial" w:eastAsia="Arial" w:hAnsi="Arial"/>
                <w:sz w:val="13"/>
                <w:szCs w:val="13"/>
                <w:color w:val="auto"/>
              </w:rPr>
              <w:t>2,992,500</w:t>
            </w:r>
          </w:p>
        </w:tc>
        <w:tc>
          <w:tcPr>
            <w:tcW w:w="740" w:type="dxa"/>
            <w:vAlign w:val="bottom"/>
          </w:tcPr>
          <w:p>
            <w:pPr>
              <w:jc w:val="right"/>
              <w:spacing w:after="0"/>
              <w:rPr>
                <w:sz w:val="20"/>
                <w:szCs w:val="20"/>
                <w:color w:val="auto"/>
              </w:rPr>
            </w:pPr>
            <w:r>
              <w:rPr>
                <w:rFonts w:ascii="Arial" w:cs="Arial" w:eastAsia="Arial" w:hAnsi="Arial"/>
                <w:sz w:val="13"/>
                <w:szCs w:val="13"/>
                <w:color w:val="auto"/>
              </w:rPr>
              <w:t>2,963,943</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2,708,212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Sotera Defense Solutions, Inc.</w:t>
            </w:r>
          </w:p>
        </w:tc>
        <w:tc>
          <w:tcPr>
            <w:tcW w:w="11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04/22/2017</w:t>
            </w: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Aerospace and Defense</w:t>
            </w:r>
          </w:p>
        </w:tc>
        <w:tc>
          <w:tcPr>
            <w:tcW w:w="98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7.00%</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L+550</w:t>
            </w:r>
          </w:p>
        </w:tc>
        <w:tc>
          <w:tcPr>
            <w:tcW w:w="100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rPr>
              <w:t>2,992,500</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2,964,848</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2,917,688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000" w:type="dxa"/>
            <w:vAlign w:val="bottom"/>
          </w:tcPr>
          <w:p>
            <w:pPr>
              <w:spacing w:after="0"/>
              <w:rPr>
                <w:sz w:val="20"/>
                <w:szCs w:val="20"/>
                <w:color w:val="auto"/>
              </w:rPr>
            </w:pPr>
            <w:r>
              <w:rPr>
                <w:rFonts w:ascii="Arial" w:cs="Arial" w:eastAsia="Arial" w:hAnsi="Arial"/>
                <w:sz w:val="13"/>
                <w:szCs w:val="13"/>
                <w:color w:val="auto"/>
              </w:rPr>
              <w:t>Tank Intermediate Holding Corp.</w:t>
            </w:r>
          </w:p>
        </w:tc>
        <w:tc>
          <w:tcPr>
            <w:tcW w:w="3180" w:type="dxa"/>
            <w:vAlign w:val="bottom"/>
            <w:gridSpan w:val="2"/>
          </w:tcPr>
          <w:p>
            <w:pPr>
              <w:ind w:left="440"/>
              <w:spacing w:after="0"/>
              <w:rPr>
                <w:sz w:val="20"/>
                <w:szCs w:val="20"/>
                <w:color w:val="auto"/>
              </w:rPr>
            </w:pPr>
            <w:r>
              <w:rPr>
                <w:rFonts w:ascii="Arial" w:cs="Arial" w:eastAsia="Arial" w:hAnsi="Arial"/>
                <w:sz w:val="13"/>
                <w:szCs w:val="13"/>
                <w:color w:val="auto"/>
              </w:rPr>
              <w:t>04/15/2016   Containers, Packaging and Glass</w:t>
            </w:r>
          </w:p>
        </w:tc>
        <w:tc>
          <w:tcPr>
            <w:tcW w:w="980" w:type="dxa"/>
            <w:vAlign w:val="bottom"/>
          </w:tcPr>
          <w:p>
            <w:pPr>
              <w:jc w:val="right"/>
              <w:ind w:right="173"/>
              <w:spacing w:after="0"/>
              <w:rPr>
                <w:sz w:val="20"/>
                <w:szCs w:val="20"/>
                <w:color w:val="auto"/>
              </w:rPr>
            </w:pPr>
            <w:r>
              <w:rPr>
                <w:rFonts w:ascii="Arial" w:cs="Arial" w:eastAsia="Arial" w:hAnsi="Arial"/>
                <w:sz w:val="13"/>
                <w:szCs w:val="13"/>
                <w:color w:val="auto"/>
              </w:rPr>
              <w:t>5.00%</w:t>
            </w: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L+375</w:t>
            </w:r>
          </w:p>
        </w:tc>
        <w:tc>
          <w:tcPr>
            <w:tcW w:w="1000" w:type="dxa"/>
            <w:vAlign w:val="bottom"/>
          </w:tcPr>
          <w:p>
            <w:pPr>
              <w:jc w:val="right"/>
              <w:ind w:right="273"/>
              <w:spacing w:after="0"/>
              <w:rPr>
                <w:sz w:val="20"/>
                <w:szCs w:val="20"/>
                <w:color w:val="auto"/>
              </w:rPr>
            </w:pPr>
            <w:r>
              <w:rPr>
                <w:rFonts w:ascii="Arial" w:cs="Arial" w:eastAsia="Arial" w:hAnsi="Arial"/>
                <w:sz w:val="13"/>
                <w:szCs w:val="13"/>
                <w:color w:val="auto"/>
              </w:rPr>
              <w:t>1,835,472</w:t>
            </w:r>
          </w:p>
        </w:tc>
        <w:tc>
          <w:tcPr>
            <w:tcW w:w="740" w:type="dxa"/>
            <w:vAlign w:val="bottom"/>
          </w:tcPr>
          <w:p>
            <w:pPr>
              <w:jc w:val="right"/>
              <w:spacing w:after="0"/>
              <w:rPr>
                <w:sz w:val="20"/>
                <w:szCs w:val="20"/>
                <w:color w:val="auto"/>
              </w:rPr>
            </w:pPr>
            <w:r>
              <w:rPr>
                <w:rFonts w:ascii="Arial" w:cs="Arial" w:eastAsia="Arial" w:hAnsi="Arial"/>
                <w:sz w:val="13"/>
                <w:szCs w:val="13"/>
                <w:color w:val="auto"/>
              </w:rPr>
              <w:t>1,831,420</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1,807,940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3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Terex Corporation</w:t>
            </w:r>
          </w:p>
        </w:tc>
        <w:tc>
          <w:tcPr>
            <w:tcW w:w="11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04/28/2017</w:t>
            </w: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Capital Equipment</w:t>
            </w:r>
          </w:p>
        </w:tc>
        <w:tc>
          <w:tcPr>
            <w:tcW w:w="98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5.50%</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L+400</w:t>
            </w:r>
          </w:p>
        </w:tc>
        <w:tc>
          <w:tcPr>
            <w:tcW w:w="100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rPr>
              <w:t>2,000,000</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1,980,598</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1,962,500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3"/>
                <w:szCs w:val="13"/>
                <w:color w:val="auto"/>
              </w:rPr>
              <w:t>Triple Point Technology, Inc.</w:t>
            </w:r>
          </w:p>
        </w:tc>
        <w:tc>
          <w:tcPr>
            <w:tcW w:w="1160" w:type="dxa"/>
            <w:vAlign w:val="bottom"/>
          </w:tcPr>
          <w:p>
            <w:pPr>
              <w:ind w:left="440"/>
              <w:spacing w:after="0"/>
              <w:rPr>
                <w:sz w:val="20"/>
                <w:szCs w:val="20"/>
                <w:color w:val="auto"/>
              </w:rPr>
            </w:pPr>
            <w:r>
              <w:rPr>
                <w:rFonts w:ascii="Arial" w:cs="Arial" w:eastAsia="Arial" w:hAnsi="Arial"/>
                <w:sz w:val="13"/>
                <w:szCs w:val="13"/>
                <w:color w:val="auto"/>
              </w:rPr>
              <w:t>04/14/2016</w:t>
            </w:r>
          </w:p>
        </w:tc>
        <w:tc>
          <w:tcPr>
            <w:tcW w:w="2020" w:type="dxa"/>
            <w:vAlign w:val="bottom"/>
          </w:tcPr>
          <w:p>
            <w:pPr>
              <w:jc w:val="center"/>
              <w:spacing w:after="0"/>
              <w:rPr>
                <w:sz w:val="20"/>
                <w:szCs w:val="20"/>
                <w:color w:val="auto"/>
              </w:rPr>
            </w:pPr>
            <w:r>
              <w:rPr>
                <w:rFonts w:ascii="Arial" w:cs="Arial" w:eastAsia="Arial" w:hAnsi="Arial"/>
                <w:sz w:val="13"/>
                <w:szCs w:val="13"/>
                <w:color w:val="auto"/>
                <w:w w:val="95"/>
              </w:rPr>
              <w:t>High Tech Industries</w:t>
            </w:r>
          </w:p>
        </w:tc>
        <w:tc>
          <w:tcPr>
            <w:tcW w:w="980" w:type="dxa"/>
            <w:vAlign w:val="bottom"/>
          </w:tcPr>
          <w:p>
            <w:pPr>
              <w:jc w:val="right"/>
              <w:ind w:right="173"/>
              <w:spacing w:after="0"/>
              <w:rPr>
                <w:sz w:val="20"/>
                <w:szCs w:val="20"/>
                <w:color w:val="auto"/>
              </w:rPr>
            </w:pPr>
            <w:r>
              <w:rPr>
                <w:rFonts w:ascii="Arial" w:cs="Arial" w:eastAsia="Arial" w:hAnsi="Arial"/>
                <w:sz w:val="13"/>
                <w:szCs w:val="13"/>
                <w:color w:val="auto"/>
              </w:rPr>
              <w:t>6.25%</w:t>
            </w: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L+475</w:t>
            </w:r>
          </w:p>
        </w:tc>
        <w:tc>
          <w:tcPr>
            <w:tcW w:w="1000" w:type="dxa"/>
            <w:vAlign w:val="bottom"/>
          </w:tcPr>
          <w:p>
            <w:pPr>
              <w:jc w:val="right"/>
              <w:ind w:right="273"/>
              <w:spacing w:after="0"/>
              <w:rPr>
                <w:sz w:val="20"/>
                <w:szCs w:val="20"/>
                <w:color w:val="auto"/>
              </w:rPr>
            </w:pPr>
            <w:r>
              <w:rPr>
                <w:rFonts w:ascii="Arial" w:cs="Arial" w:eastAsia="Arial" w:hAnsi="Arial"/>
                <w:sz w:val="13"/>
                <w:szCs w:val="13"/>
                <w:color w:val="auto"/>
              </w:rPr>
              <w:t>4,968,750</w:t>
            </w:r>
          </w:p>
        </w:tc>
        <w:tc>
          <w:tcPr>
            <w:tcW w:w="740" w:type="dxa"/>
            <w:vAlign w:val="bottom"/>
          </w:tcPr>
          <w:p>
            <w:pPr>
              <w:jc w:val="right"/>
              <w:spacing w:after="0"/>
              <w:rPr>
                <w:sz w:val="20"/>
                <w:szCs w:val="20"/>
                <w:color w:val="auto"/>
              </w:rPr>
            </w:pPr>
            <w:r>
              <w:rPr>
                <w:rFonts w:ascii="Arial" w:cs="Arial" w:eastAsia="Arial" w:hAnsi="Arial"/>
                <w:sz w:val="13"/>
                <w:szCs w:val="13"/>
                <w:color w:val="auto"/>
              </w:rPr>
              <w:t>4,923,769</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4,819,688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Univita Health Inc.</w:t>
            </w:r>
          </w:p>
        </w:tc>
        <w:tc>
          <w:tcPr>
            <w:tcW w:w="11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06/19/2017</w:t>
            </w: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Consumer Services</w:t>
            </w:r>
          </w:p>
        </w:tc>
        <w:tc>
          <w:tcPr>
            <w:tcW w:w="98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6.25%</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L+475</w:t>
            </w:r>
          </w:p>
        </w:tc>
        <w:tc>
          <w:tcPr>
            <w:tcW w:w="100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rPr>
              <w:t>2,992,500</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2,964,110</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2,827,913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3"/>
                <w:szCs w:val="13"/>
                <w:color w:val="auto"/>
              </w:rPr>
              <w:t>U.S. Healthworks Holding Company, Inc.</w:t>
            </w:r>
          </w:p>
        </w:tc>
        <w:tc>
          <w:tcPr>
            <w:tcW w:w="1160" w:type="dxa"/>
            <w:vAlign w:val="bottom"/>
          </w:tcPr>
          <w:p>
            <w:pPr>
              <w:ind w:left="440"/>
              <w:spacing w:after="0"/>
              <w:rPr>
                <w:sz w:val="20"/>
                <w:szCs w:val="20"/>
                <w:color w:val="auto"/>
              </w:rPr>
            </w:pPr>
            <w:r>
              <w:rPr>
                <w:rFonts w:ascii="Arial" w:cs="Arial" w:eastAsia="Arial" w:hAnsi="Arial"/>
                <w:sz w:val="13"/>
                <w:szCs w:val="13"/>
                <w:color w:val="auto"/>
              </w:rPr>
              <w:t>06/15/2016</w:t>
            </w:r>
          </w:p>
        </w:tc>
        <w:tc>
          <w:tcPr>
            <w:tcW w:w="2020" w:type="dxa"/>
            <w:vAlign w:val="bottom"/>
          </w:tcPr>
          <w:p>
            <w:pPr>
              <w:jc w:val="center"/>
              <w:spacing w:after="0"/>
              <w:rPr>
                <w:sz w:val="20"/>
                <w:szCs w:val="20"/>
                <w:color w:val="auto"/>
              </w:rPr>
            </w:pPr>
            <w:r>
              <w:rPr>
                <w:rFonts w:ascii="Arial" w:cs="Arial" w:eastAsia="Arial" w:hAnsi="Arial"/>
                <w:sz w:val="13"/>
                <w:szCs w:val="13"/>
                <w:color w:val="auto"/>
                <w:w w:val="92"/>
              </w:rPr>
              <w:t>Healthcare and Pharmaceuticals</w:t>
            </w:r>
          </w:p>
        </w:tc>
        <w:tc>
          <w:tcPr>
            <w:tcW w:w="980" w:type="dxa"/>
            <w:vAlign w:val="bottom"/>
          </w:tcPr>
          <w:p>
            <w:pPr>
              <w:jc w:val="right"/>
              <w:ind w:right="173"/>
              <w:spacing w:after="0"/>
              <w:rPr>
                <w:sz w:val="20"/>
                <w:szCs w:val="20"/>
                <w:color w:val="auto"/>
              </w:rPr>
            </w:pPr>
            <w:r>
              <w:rPr>
                <w:rFonts w:ascii="Arial" w:cs="Arial" w:eastAsia="Arial" w:hAnsi="Arial"/>
                <w:sz w:val="13"/>
                <w:szCs w:val="13"/>
                <w:color w:val="auto"/>
              </w:rPr>
              <w:t>6.25%</w:t>
            </w: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L+475</w:t>
            </w:r>
          </w:p>
        </w:tc>
        <w:tc>
          <w:tcPr>
            <w:tcW w:w="1000" w:type="dxa"/>
            <w:vAlign w:val="bottom"/>
          </w:tcPr>
          <w:p>
            <w:pPr>
              <w:jc w:val="right"/>
              <w:ind w:right="273"/>
              <w:spacing w:after="0"/>
              <w:rPr>
                <w:sz w:val="20"/>
                <w:szCs w:val="20"/>
                <w:color w:val="auto"/>
              </w:rPr>
            </w:pPr>
            <w:r>
              <w:rPr>
                <w:rFonts w:ascii="Arial" w:cs="Arial" w:eastAsia="Arial" w:hAnsi="Arial"/>
                <w:sz w:val="13"/>
                <w:szCs w:val="13"/>
                <w:color w:val="auto"/>
              </w:rPr>
              <w:t>2,992,500</w:t>
            </w:r>
          </w:p>
        </w:tc>
        <w:tc>
          <w:tcPr>
            <w:tcW w:w="740" w:type="dxa"/>
            <w:vAlign w:val="bottom"/>
          </w:tcPr>
          <w:p>
            <w:pPr>
              <w:jc w:val="right"/>
              <w:spacing w:after="0"/>
              <w:rPr>
                <w:sz w:val="20"/>
                <w:szCs w:val="20"/>
                <w:color w:val="auto"/>
              </w:rPr>
            </w:pPr>
            <w:r>
              <w:rPr>
                <w:rFonts w:ascii="Arial" w:cs="Arial" w:eastAsia="Arial" w:hAnsi="Arial"/>
                <w:sz w:val="13"/>
                <w:szCs w:val="13"/>
                <w:color w:val="auto"/>
              </w:rPr>
              <w:t>2,964,480</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2,887,763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Valitas Health Services, Inc.</w:t>
            </w:r>
          </w:p>
        </w:tc>
        <w:tc>
          <w:tcPr>
            <w:tcW w:w="11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06/02/2017</w:t>
            </w: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Healthcare and Pharmaceuticals</w:t>
            </w:r>
          </w:p>
        </w:tc>
        <w:tc>
          <w:tcPr>
            <w:tcW w:w="98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5.75%</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L+450</w:t>
            </w:r>
          </w:p>
        </w:tc>
        <w:tc>
          <w:tcPr>
            <w:tcW w:w="100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rPr>
              <w:t>1,496,250</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1,489,223</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1,406,475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000" w:type="dxa"/>
            <w:vAlign w:val="bottom"/>
          </w:tcPr>
          <w:p>
            <w:pPr>
              <w:spacing w:after="0" w:line="138" w:lineRule="exact"/>
              <w:rPr>
                <w:sz w:val="20"/>
                <w:szCs w:val="20"/>
                <w:color w:val="auto"/>
              </w:rPr>
            </w:pPr>
            <w:r>
              <w:rPr>
                <w:rFonts w:ascii="Arial" w:cs="Arial" w:eastAsia="Arial" w:hAnsi="Arial"/>
                <w:sz w:val="10"/>
                <w:szCs w:val="10"/>
                <w:color w:val="auto"/>
              </w:rPr>
              <w:t xml:space="preserve">Viamedia Services Corp. </w:t>
            </w:r>
            <w:r>
              <w:rPr>
                <w:rFonts w:ascii="Arial" w:cs="Arial" w:eastAsia="Arial" w:hAnsi="Arial"/>
                <w:sz w:val="15"/>
                <w:szCs w:val="15"/>
                <w:color w:val="auto"/>
                <w:vertAlign w:val="superscript"/>
              </w:rPr>
              <w:t>(5)</w:t>
            </w:r>
          </w:p>
        </w:tc>
        <w:tc>
          <w:tcPr>
            <w:tcW w:w="3180" w:type="dxa"/>
            <w:vAlign w:val="bottom"/>
            <w:gridSpan w:val="2"/>
          </w:tcPr>
          <w:p>
            <w:pPr>
              <w:ind w:left="440"/>
              <w:spacing w:after="0" w:line="138" w:lineRule="exact"/>
              <w:rPr>
                <w:sz w:val="20"/>
                <w:szCs w:val="20"/>
                <w:color w:val="auto"/>
              </w:rPr>
            </w:pPr>
            <w:r>
              <w:rPr>
                <w:rFonts w:ascii="Arial" w:cs="Arial" w:eastAsia="Arial" w:hAnsi="Arial"/>
                <w:sz w:val="13"/>
                <w:szCs w:val="13"/>
                <w:color w:val="auto"/>
              </w:rPr>
              <w:t>04/19/2016   Media: Advertising, Printing and</w:t>
            </w:r>
          </w:p>
        </w:tc>
        <w:tc>
          <w:tcPr>
            <w:tcW w:w="980" w:type="dxa"/>
            <w:vAlign w:val="bottom"/>
          </w:tcPr>
          <w:p>
            <w:pPr>
              <w:jc w:val="right"/>
              <w:ind w:right="173"/>
              <w:spacing w:after="0" w:line="138" w:lineRule="exact"/>
              <w:rPr>
                <w:sz w:val="20"/>
                <w:szCs w:val="20"/>
                <w:color w:val="auto"/>
              </w:rPr>
            </w:pPr>
            <w:r>
              <w:rPr>
                <w:rFonts w:ascii="Arial" w:cs="Arial" w:eastAsia="Arial" w:hAnsi="Arial"/>
                <w:sz w:val="13"/>
                <w:szCs w:val="13"/>
                <w:color w:val="auto"/>
              </w:rPr>
              <w:t>7.00%</w:t>
            </w:r>
          </w:p>
        </w:tc>
        <w:tc>
          <w:tcPr>
            <w:tcW w:w="920" w:type="dxa"/>
            <w:vAlign w:val="bottom"/>
          </w:tcPr>
          <w:p>
            <w:pPr>
              <w:jc w:val="right"/>
              <w:ind w:right="33"/>
              <w:spacing w:after="0" w:line="138" w:lineRule="exact"/>
              <w:rPr>
                <w:sz w:val="20"/>
                <w:szCs w:val="20"/>
                <w:color w:val="auto"/>
              </w:rPr>
            </w:pPr>
            <w:r>
              <w:rPr>
                <w:rFonts w:ascii="Arial" w:cs="Arial" w:eastAsia="Arial" w:hAnsi="Arial"/>
                <w:sz w:val="13"/>
                <w:szCs w:val="13"/>
                <w:color w:val="auto"/>
              </w:rPr>
              <w:t>L+550</w:t>
            </w:r>
          </w:p>
        </w:tc>
        <w:tc>
          <w:tcPr>
            <w:tcW w:w="1000" w:type="dxa"/>
            <w:vAlign w:val="bottom"/>
          </w:tcPr>
          <w:p>
            <w:pPr>
              <w:jc w:val="right"/>
              <w:ind w:right="273"/>
              <w:spacing w:after="0" w:line="138" w:lineRule="exact"/>
              <w:rPr>
                <w:sz w:val="20"/>
                <w:szCs w:val="20"/>
                <w:color w:val="auto"/>
              </w:rPr>
            </w:pPr>
            <w:r>
              <w:rPr>
                <w:rFonts w:ascii="Arial" w:cs="Arial" w:eastAsia="Arial" w:hAnsi="Arial"/>
                <w:sz w:val="13"/>
                <w:szCs w:val="13"/>
                <w:color w:val="auto"/>
              </w:rPr>
              <w:t>4,750,000</w:t>
            </w: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4,694,273</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8" w:lineRule="exact"/>
              <w:rPr>
                <w:sz w:val="20"/>
                <w:szCs w:val="20"/>
                <w:color w:val="auto"/>
              </w:rPr>
            </w:pPr>
            <w:r>
              <w:rPr>
                <w:rFonts w:ascii="Arial" w:cs="Arial" w:eastAsia="Arial" w:hAnsi="Arial"/>
                <w:sz w:val="13"/>
                <w:szCs w:val="13"/>
                <w:color w:val="auto"/>
              </w:rPr>
              <w:t>4,690,625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96"/>
              </w:rPr>
              <w:t>Publishing</w:t>
            </w:r>
          </w:p>
        </w:tc>
        <w:tc>
          <w:tcPr>
            <w:tcW w:w="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Virtual Radiologic Corporation</w:t>
            </w:r>
          </w:p>
        </w:tc>
        <w:tc>
          <w:tcPr>
            <w:tcW w:w="11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12/22/2016</w:t>
            </w: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Business Services</w:t>
            </w:r>
          </w:p>
        </w:tc>
        <w:tc>
          <w:tcPr>
            <w:tcW w:w="98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7.75%</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P+450</w:t>
            </w:r>
          </w:p>
        </w:tc>
        <w:tc>
          <w:tcPr>
            <w:tcW w:w="100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rPr>
              <w:t>2,992,500</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2,963,172</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2,812,950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3"/>
                <w:szCs w:val="13"/>
                <w:color w:val="auto"/>
              </w:rPr>
              <w:t>Water Pik, Inc.</w:t>
            </w:r>
          </w:p>
        </w:tc>
        <w:tc>
          <w:tcPr>
            <w:tcW w:w="1160" w:type="dxa"/>
            <w:vAlign w:val="bottom"/>
          </w:tcPr>
          <w:p>
            <w:pPr>
              <w:ind w:left="440"/>
              <w:spacing w:after="0"/>
              <w:rPr>
                <w:sz w:val="20"/>
                <w:szCs w:val="20"/>
                <w:color w:val="auto"/>
              </w:rPr>
            </w:pPr>
            <w:r>
              <w:rPr>
                <w:rFonts w:ascii="Arial" w:cs="Arial" w:eastAsia="Arial" w:hAnsi="Arial"/>
                <w:sz w:val="13"/>
                <w:szCs w:val="13"/>
                <w:color w:val="auto"/>
              </w:rPr>
              <w:t>08/10/2017</w:t>
            </w:r>
          </w:p>
        </w:tc>
        <w:tc>
          <w:tcPr>
            <w:tcW w:w="2020" w:type="dxa"/>
            <w:vAlign w:val="bottom"/>
          </w:tcPr>
          <w:p>
            <w:pPr>
              <w:jc w:val="center"/>
              <w:spacing w:after="0"/>
              <w:rPr>
                <w:sz w:val="20"/>
                <w:szCs w:val="20"/>
                <w:color w:val="auto"/>
              </w:rPr>
            </w:pPr>
            <w:r>
              <w:rPr>
                <w:rFonts w:ascii="Arial" w:cs="Arial" w:eastAsia="Arial" w:hAnsi="Arial"/>
                <w:sz w:val="13"/>
                <w:szCs w:val="13"/>
                <w:color w:val="auto"/>
                <w:w w:val="94"/>
              </w:rPr>
              <w:t>Consumer Goods: Durable</w:t>
            </w:r>
          </w:p>
        </w:tc>
        <w:tc>
          <w:tcPr>
            <w:tcW w:w="980" w:type="dxa"/>
            <w:vAlign w:val="bottom"/>
          </w:tcPr>
          <w:p>
            <w:pPr>
              <w:jc w:val="right"/>
              <w:ind w:right="173"/>
              <w:spacing w:after="0"/>
              <w:rPr>
                <w:sz w:val="20"/>
                <w:szCs w:val="20"/>
                <w:color w:val="auto"/>
              </w:rPr>
            </w:pPr>
            <w:r>
              <w:rPr>
                <w:rFonts w:ascii="Arial" w:cs="Arial" w:eastAsia="Arial" w:hAnsi="Arial"/>
                <w:sz w:val="13"/>
                <w:szCs w:val="13"/>
                <w:color w:val="auto"/>
              </w:rPr>
              <w:t>6.75%</w:t>
            </w: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L+525</w:t>
            </w:r>
          </w:p>
        </w:tc>
        <w:tc>
          <w:tcPr>
            <w:tcW w:w="1000" w:type="dxa"/>
            <w:vAlign w:val="bottom"/>
          </w:tcPr>
          <w:p>
            <w:pPr>
              <w:jc w:val="right"/>
              <w:ind w:right="273"/>
              <w:spacing w:after="0"/>
              <w:rPr>
                <w:sz w:val="20"/>
                <w:szCs w:val="20"/>
                <w:color w:val="auto"/>
              </w:rPr>
            </w:pPr>
            <w:r>
              <w:rPr>
                <w:rFonts w:ascii="Arial" w:cs="Arial" w:eastAsia="Arial" w:hAnsi="Arial"/>
                <w:sz w:val="13"/>
                <w:szCs w:val="13"/>
                <w:color w:val="auto"/>
              </w:rPr>
              <w:t>3,500,000</w:t>
            </w:r>
          </w:p>
        </w:tc>
        <w:tc>
          <w:tcPr>
            <w:tcW w:w="740" w:type="dxa"/>
            <w:vAlign w:val="bottom"/>
          </w:tcPr>
          <w:p>
            <w:pPr>
              <w:jc w:val="right"/>
              <w:spacing w:after="0"/>
              <w:rPr>
                <w:sz w:val="20"/>
                <w:szCs w:val="20"/>
                <w:color w:val="auto"/>
              </w:rPr>
            </w:pPr>
            <w:r>
              <w:rPr>
                <w:rFonts w:ascii="Arial" w:cs="Arial" w:eastAsia="Arial" w:hAnsi="Arial"/>
                <w:sz w:val="13"/>
                <w:szCs w:val="13"/>
                <w:color w:val="auto"/>
              </w:rPr>
              <w:t>3,465,501</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3,430,000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Yonkers Racing Corporation </w:t>
            </w:r>
            <w:r>
              <w:rPr>
                <w:rFonts w:ascii="Arial" w:cs="Arial" w:eastAsia="Arial" w:hAnsi="Arial"/>
                <w:sz w:val="17"/>
                <w:szCs w:val="17"/>
                <w:color w:val="auto"/>
                <w:vertAlign w:val="superscript"/>
              </w:rPr>
              <w:t>(11), (6), (5)</w:t>
            </w:r>
          </w:p>
        </w:tc>
        <w:tc>
          <w:tcPr>
            <w:tcW w:w="11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07/15/2016</w:t>
            </w: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Hotel, Gaming and Leisure</w:t>
            </w:r>
          </w:p>
        </w:tc>
        <w:tc>
          <w:tcPr>
            <w:tcW w:w="98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11.38%</w:t>
            </w:r>
          </w:p>
        </w:tc>
        <w:tc>
          <w:tcPr>
            <w:tcW w:w="92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rPr>
              <w:t>4,000,000</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4,355,966</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4,080,000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000" w:type="dxa"/>
            <w:vAlign w:val="bottom"/>
            <w:vMerge w:val="restart"/>
          </w:tcPr>
          <w:p>
            <w:pPr>
              <w:spacing w:after="0"/>
              <w:rPr>
                <w:sz w:val="20"/>
                <w:szCs w:val="20"/>
                <w:color w:val="auto"/>
              </w:rPr>
            </w:pPr>
            <w:r>
              <w:rPr>
                <w:rFonts w:ascii="Arial" w:cs="Arial" w:eastAsia="Arial" w:hAnsi="Arial"/>
                <w:sz w:val="13"/>
                <w:szCs w:val="13"/>
                <w:b w:val="1"/>
                <w:bCs w:val="1"/>
                <w:color w:val="auto"/>
              </w:rPr>
              <w:t>Total First Lien Secured Debt</w:t>
            </w:r>
          </w:p>
        </w:tc>
        <w:tc>
          <w:tcPr>
            <w:tcW w:w="11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9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00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94,975,314</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91,363,126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Second Lien Secured Debt—13.3%</w:t>
            </w:r>
          </w:p>
        </w:tc>
        <w:tc>
          <w:tcPr>
            <w:tcW w:w="116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3"/>
                <w:szCs w:val="13"/>
                <w:color w:val="auto"/>
              </w:rPr>
              <w:t>Autoparts Holdings Limited</w:t>
            </w:r>
          </w:p>
        </w:tc>
        <w:tc>
          <w:tcPr>
            <w:tcW w:w="1160" w:type="dxa"/>
            <w:vAlign w:val="bottom"/>
          </w:tcPr>
          <w:p>
            <w:pPr>
              <w:ind w:left="440"/>
              <w:spacing w:after="0"/>
              <w:rPr>
                <w:sz w:val="20"/>
                <w:szCs w:val="20"/>
                <w:color w:val="auto"/>
              </w:rPr>
            </w:pPr>
            <w:r>
              <w:rPr>
                <w:rFonts w:ascii="Arial" w:cs="Arial" w:eastAsia="Arial" w:hAnsi="Arial"/>
                <w:sz w:val="13"/>
                <w:szCs w:val="13"/>
                <w:color w:val="auto"/>
              </w:rPr>
              <w:t>01/29/2018</w:t>
            </w:r>
          </w:p>
        </w:tc>
        <w:tc>
          <w:tcPr>
            <w:tcW w:w="2020" w:type="dxa"/>
            <w:vAlign w:val="bottom"/>
          </w:tcPr>
          <w:p>
            <w:pPr>
              <w:jc w:val="center"/>
              <w:spacing w:after="0"/>
              <w:rPr>
                <w:sz w:val="20"/>
                <w:szCs w:val="20"/>
                <w:color w:val="auto"/>
              </w:rPr>
            </w:pPr>
            <w:r>
              <w:rPr>
                <w:rFonts w:ascii="Arial" w:cs="Arial" w:eastAsia="Arial" w:hAnsi="Arial"/>
                <w:sz w:val="13"/>
                <w:szCs w:val="13"/>
                <w:color w:val="auto"/>
              </w:rPr>
              <w:t>Automotive</w:t>
            </w:r>
          </w:p>
        </w:tc>
        <w:tc>
          <w:tcPr>
            <w:tcW w:w="980" w:type="dxa"/>
            <w:vAlign w:val="bottom"/>
          </w:tcPr>
          <w:p>
            <w:pPr>
              <w:jc w:val="right"/>
              <w:ind w:right="173"/>
              <w:spacing w:after="0"/>
              <w:rPr>
                <w:sz w:val="20"/>
                <w:szCs w:val="20"/>
                <w:color w:val="auto"/>
              </w:rPr>
            </w:pPr>
            <w:r>
              <w:rPr>
                <w:rFonts w:ascii="Arial" w:cs="Arial" w:eastAsia="Arial" w:hAnsi="Arial"/>
                <w:sz w:val="13"/>
                <w:szCs w:val="13"/>
                <w:color w:val="auto"/>
              </w:rPr>
              <w:t>10.50%</w:t>
            </w: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L+900</w:t>
            </w:r>
          </w:p>
        </w:tc>
        <w:tc>
          <w:tcPr>
            <w:tcW w:w="1000" w:type="dxa"/>
            <w:vAlign w:val="bottom"/>
          </w:tcPr>
          <w:p>
            <w:pPr>
              <w:jc w:val="right"/>
              <w:ind w:right="273"/>
              <w:spacing w:after="0"/>
              <w:rPr>
                <w:sz w:val="20"/>
                <w:szCs w:val="20"/>
                <w:color w:val="auto"/>
              </w:rPr>
            </w:pPr>
            <w:r>
              <w:rPr>
                <w:rFonts w:ascii="Arial" w:cs="Arial" w:eastAsia="Arial" w:hAnsi="Arial"/>
                <w:sz w:val="13"/>
                <w:szCs w:val="13"/>
                <w:color w:val="auto"/>
              </w:rPr>
              <w:t>1,000,000</w:t>
            </w:r>
          </w:p>
        </w:tc>
        <w:tc>
          <w:tcPr>
            <w:tcW w:w="740" w:type="dxa"/>
            <w:vAlign w:val="bottom"/>
          </w:tcPr>
          <w:p>
            <w:pPr>
              <w:jc w:val="right"/>
              <w:spacing w:after="0"/>
              <w:rPr>
                <w:sz w:val="20"/>
                <w:szCs w:val="20"/>
                <w:color w:val="auto"/>
              </w:rPr>
            </w:pPr>
            <w:r>
              <w:rPr>
                <w:rFonts w:ascii="Arial" w:cs="Arial" w:eastAsia="Arial" w:hAnsi="Arial"/>
                <w:sz w:val="13"/>
                <w:szCs w:val="13"/>
                <w:color w:val="auto"/>
              </w:rPr>
              <w:t>995,000</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985,000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Ernest Health, Inc. </w:t>
            </w:r>
            <w:r>
              <w:rPr>
                <w:rFonts w:ascii="Arial" w:cs="Arial" w:eastAsia="Arial" w:hAnsi="Arial"/>
                <w:sz w:val="17"/>
                <w:szCs w:val="17"/>
                <w:color w:val="auto"/>
                <w:vertAlign w:val="superscript"/>
              </w:rPr>
              <w:t>(5)</w:t>
            </w:r>
          </w:p>
        </w:tc>
        <w:tc>
          <w:tcPr>
            <w:tcW w:w="11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05/13/2017</w:t>
            </w: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Healthcare and Pharmaceuticals</w:t>
            </w:r>
          </w:p>
        </w:tc>
        <w:tc>
          <w:tcPr>
            <w:tcW w:w="98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10.25%</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L+850</w:t>
            </w:r>
          </w:p>
        </w:tc>
        <w:tc>
          <w:tcPr>
            <w:tcW w:w="100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rPr>
              <w:t>4,000,000</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3,942,406</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line="216" w:lineRule="exact"/>
              <w:rPr>
                <w:sz w:val="20"/>
                <w:szCs w:val="20"/>
                <w:color w:val="auto"/>
              </w:rPr>
            </w:pPr>
            <w:r>
              <w:rPr>
                <w:rFonts w:ascii="Arial" w:cs="Arial" w:eastAsia="Arial" w:hAnsi="Arial"/>
                <w:sz w:val="13"/>
                <w:szCs w:val="13"/>
                <w:color w:val="auto"/>
              </w:rPr>
              <w:t xml:space="preserve">Mood Media Corporation </w:t>
            </w:r>
            <w:r>
              <w:rPr>
                <w:rFonts w:ascii="Arial" w:cs="Arial" w:eastAsia="Arial" w:hAnsi="Arial"/>
                <w:sz w:val="22"/>
                <w:szCs w:val="22"/>
                <w:color w:val="auto"/>
                <w:vertAlign w:val="superscript"/>
              </w:rPr>
              <w:t>(5),(7)</w:t>
            </w:r>
          </w:p>
        </w:tc>
        <w:tc>
          <w:tcPr>
            <w:tcW w:w="3180" w:type="dxa"/>
            <w:vAlign w:val="bottom"/>
            <w:gridSpan w:val="2"/>
          </w:tcPr>
          <w:p>
            <w:pPr>
              <w:ind w:left="440"/>
              <w:spacing w:after="0"/>
              <w:rPr>
                <w:sz w:val="20"/>
                <w:szCs w:val="20"/>
                <w:color w:val="auto"/>
              </w:rPr>
            </w:pPr>
            <w:r>
              <w:rPr>
                <w:rFonts w:ascii="Arial" w:cs="Arial" w:eastAsia="Arial" w:hAnsi="Arial"/>
                <w:sz w:val="13"/>
                <w:szCs w:val="13"/>
                <w:color w:val="auto"/>
              </w:rPr>
              <w:t>11/06/2018   Media: Diversified and Production</w:t>
            </w:r>
          </w:p>
        </w:tc>
        <w:tc>
          <w:tcPr>
            <w:tcW w:w="980" w:type="dxa"/>
            <w:vAlign w:val="bottom"/>
          </w:tcPr>
          <w:p>
            <w:pPr>
              <w:jc w:val="right"/>
              <w:ind w:right="173"/>
              <w:spacing w:after="0"/>
              <w:rPr>
                <w:sz w:val="20"/>
                <w:szCs w:val="20"/>
                <w:color w:val="auto"/>
              </w:rPr>
            </w:pPr>
            <w:r>
              <w:rPr>
                <w:rFonts w:ascii="Arial" w:cs="Arial" w:eastAsia="Arial" w:hAnsi="Arial"/>
                <w:sz w:val="13"/>
                <w:szCs w:val="13"/>
                <w:color w:val="auto"/>
              </w:rPr>
              <w:t>10.25%</w:t>
            </w: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L+875</w:t>
            </w:r>
          </w:p>
        </w:tc>
        <w:tc>
          <w:tcPr>
            <w:tcW w:w="1000" w:type="dxa"/>
            <w:vAlign w:val="bottom"/>
          </w:tcPr>
          <w:p>
            <w:pPr>
              <w:jc w:val="right"/>
              <w:ind w:right="273"/>
              <w:spacing w:after="0"/>
              <w:rPr>
                <w:sz w:val="20"/>
                <w:szCs w:val="20"/>
                <w:color w:val="auto"/>
              </w:rPr>
            </w:pPr>
            <w:r>
              <w:rPr>
                <w:rFonts w:ascii="Arial" w:cs="Arial" w:eastAsia="Arial" w:hAnsi="Arial"/>
                <w:sz w:val="13"/>
                <w:szCs w:val="13"/>
                <w:color w:val="auto"/>
              </w:rPr>
              <w:t>1,500,000</w:t>
            </w:r>
          </w:p>
        </w:tc>
        <w:tc>
          <w:tcPr>
            <w:tcW w:w="740" w:type="dxa"/>
            <w:vAlign w:val="bottom"/>
          </w:tcPr>
          <w:p>
            <w:pPr>
              <w:jc w:val="right"/>
              <w:spacing w:after="0"/>
              <w:rPr>
                <w:sz w:val="20"/>
                <w:szCs w:val="20"/>
                <w:color w:val="auto"/>
              </w:rPr>
            </w:pPr>
            <w:r>
              <w:rPr>
                <w:rFonts w:ascii="Arial" w:cs="Arial" w:eastAsia="Arial" w:hAnsi="Arial"/>
                <w:sz w:val="13"/>
                <w:szCs w:val="13"/>
                <w:color w:val="auto"/>
              </w:rPr>
              <w:t>1,485,581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1,380,000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ROC Finance LLC and ROC Finance 1 Corp </w:t>
            </w:r>
            <w:r>
              <w:rPr>
                <w:rFonts w:ascii="Arial" w:cs="Arial" w:eastAsia="Arial" w:hAnsi="Arial"/>
                <w:sz w:val="17"/>
                <w:szCs w:val="17"/>
                <w:color w:val="auto"/>
                <w:vertAlign w:val="superscript"/>
              </w:rPr>
              <w:t>(5)</w:t>
            </w:r>
          </w:p>
        </w:tc>
        <w:tc>
          <w:tcPr>
            <w:tcW w:w="11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09/01/2018</w:t>
            </w: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Hotel, Gaming and Leisure</w:t>
            </w:r>
          </w:p>
        </w:tc>
        <w:tc>
          <w:tcPr>
            <w:tcW w:w="98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12.13%</w:t>
            </w:r>
          </w:p>
        </w:tc>
        <w:tc>
          <w:tcPr>
            <w:tcW w:w="92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rPr>
              <w:t>2,000,000</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1,965,834</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line="149" w:lineRule="exact"/>
              <w:rPr>
                <w:sz w:val="20"/>
                <w:szCs w:val="20"/>
                <w:color w:val="auto"/>
              </w:rPr>
            </w:pPr>
            <w:r>
              <w:rPr>
                <w:rFonts w:ascii="Arial" w:cs="Arial" w:eastAsia="Arial" w:hAnsi="Arial"/>
                <w:sz w:val="11"/>
                <w:szCs w:val="11"/>
                <w:color w:val="auto"/>
              </w:rPr>
              <w:t>Sensus USA Inc.</w:t>
            </w:r>
            <w:r>
              <w:rPr>
                <w:rFonts w:ascii="Arial" w:cs="Arial" w:eastAsia="Arial" w:hAnsi="Arial"/>
                <w:sz w:val="17"/>
                <w:szCs w:val="17"/>
                <w:color w:val="auto"/>
                <w:vertAlign w:val="superscript"/>
              </w:rPr>
              <w:t>(5)</w:t>
            </w:r>
          </w:p>
        </w:tc>
        <w:tc>
          <w:tcPr>
            <w:tcW w:w="1160" w:type="dxa"/>
            <w:vAlign w:val="bottom"/>
          </w:tcPr>
          <w:p>
            <w:pPr>
              <w:ind w:left="440"/>
              <w:spacing w:after="0"/>
              <w:rPr>
                <w:sz w:val="20"/>
                <w:szCs w:val="20"/>
                <w:color w:val="auto"/>
              </w:rPr>
            </w:pPr>
            <w:r>
              <w:rPr>
                <w:rFonts w:ascii="Arial" w:cs="Arial" w:eastAsia="Arial" w:hAnsi="Arial"/>
                <w:sz w:val="13"/>
                <w:szCs w:val="13"/>
                <w:color w:val="auto"/>
              </w:rPr>
              <w:t>05/09/2018</w:t>
            </w:r>
          </w:p>
        </w:tc>
        <w:tc>
          <w:tcPr>
            <w:tcW w:w="2020" w:type="dxa"/>
            <w:vAlign w:val="bottom"/>
          </w:tcPr>
          <w:p>
            <w:pPr>
              <w:jc w:val="center"/>
              <w:spacing w:after="0"/>
              <w:rPr>
                <w:sz w:val="20"/>
                <w:szCs w:val="20"/>
                <w:color w:val="auto"/>
              </w:rPr>
            </w:pPr>
            <w:r>
              <w:rPr>
                <w:rFonts w:ascii="Arial" w:cs="Arial" w:eastAsia="Arial" w:hAnsi="Arial"/>
                <w:sz w:val="13"/>
                <w:szCs w:val="13"/>
                <w:color w:val="auto"/>
                <w:w w:val="97"/>
              </w:rPr>
              <w:t>Utilities: Water</w:t>
            </w:r>
          </w:p>
        </w:tc>
        <w:tc>
          <w:tcPr>
            <w:tcW w:w="980" w:type="dxa"/>
            <w:vAlign w:val="bottom"/>
          </w:tcPr>
          <w:p>
            <w:pPr>
              <w:jc w:val="right"/>
              <w:ind w:right="173"/>
              <w:spacing w:after="0"/>
              <w:rPr>
                <w:sz w:val="20"/>
                <w:szCs w:val="20"/>
                <w:color w:val="auto"/>
              </w:rPr>
            </w:pPr>
            <w:r>
              <w:rPr>
                <w:rFonts w:ascii="Arial" w:cs="Arial" w:eastAsia="Arial" w:hAnsi="Arial"/>
                <w:sz w:val="13"/>
                <w:szCs w:val="13"/>
                <w:color w:val="auto"/>
              </w:rPr>
              <w:t>8.50%</w:t>
            </w: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L+725</w:t>
            </w:r>
          </w:p>
        </w:tc>
        <w:tc>
          <w:tcPr>
            <w:tcW w:w="1000" w:type="dxa"/>
            <w:vAlign w:val="bottom"/>
          </w:tcPr>
          <w:p>
            <w:pPr>
              <w:jc w:val="right"/>
              <w:ind w:right="273"/>
              <w:spacing w:after="0"/>
              <w:rPr>
                <w:sz w:val="20"/>
                <w:szCs w:val="20"/>
                <w:color w:val="auto"/>
              </w:rPr>
            </w:pPr>
            <w:r>
              <w:rPr>
                <w:rFonts w:ascii="Arial" w:cs="Arial" w:eastAsia="Arial" w:hAnsi="Arial"/>
                <w:sz w:val="13"/>
                <w:szCs w:val="13"/>
                <w:color w:val="auto"/>
              </w:rPr>
              <w:t>1,000,000</w:t>
            </w:r>
          </w:p>
        </w:tc>
        <w:tc>
          <w:tcPr>
            <w:tcW w:w="740" w:type="dxa"/>
            <w:vAlign w:val="bottom"/>
          </w:tcPr>
          <w:p>
            <w:pPr>
              <w:jc w:val="right"/>
              <w:spacing w:after="0"/>
              <w:rPr>
                <w:sz w:val="20"/>
                <w:szCs w:val="20"/>
                <w:color w:val="auto"/>
              </w:rPr>
            </w:pPr>
            <w:r>
              <w:rPr>
                <w:rFonts w:ascii="Arial" w:cs="Arial" w:eastAsia="Arial" w:hAnsi="Arial"/>
                <w:sz w:val="13"/>
                <w:szCs w:val="13"/>
                <w:color w:val="auto"/>
              </w:rPr>
              <w:t>990,624</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960,000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vertAlign w:val="subscript"/>
              </w:rPr>
              <w:t>Seven Seas Cruises</w:t>
            </w:r>
            <w:r>
              <w:rPr>
                <w:rFonts w:ascii="Arial" w:cs="Arial" w:eastAsia="Arial" w:hAnsi="Arial"/>
                <w:sz w:val="9"/>
                <w:szCs w:val="9"/>
                <w:color w:val="auto"/>
              </w:rPr>
              <w:t xml:space="preserve"> (11), (6), (7), (5)</w:t>
            </w:r>
          </w:p>
        </w:tc>
        <w:tc>
          <w:tcPr>
            <w:tcW w:w="11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05/15/2019</w:t>
            </w: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Hotel, Gaming and Leisure</w:t>
            </w:r>
          </w:p>
        </w:tc>
        <w:tc>
          <w:tcPr>
            <w:tcW w:w="98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9.13%</w:t>
            </w:r>
          </w:p>
        </w:tc>
        <w:tc>
          <w:tcPr>
            <w:tcW w:w="92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rPr>
              <w:t>3,000,000</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3,000,000</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000" w:type="dxa"/>
            <w:vAlign w:val="bottom"/>
            <w:vMerge w:val="restart"/>
          </w:tcPr>
          <w:p>
            <w:pPr>
              <w:spacing w:after="0"/>
              <w:rPr>
                <w:sz w:val="20"/>
                <w:szCs w:val="20"/>
                <w:color w:val="auto"/>
              </w:rPr>
            </w:pPr>
            <w:r>
              <w:rPr>
                <w:rFonts w:ascii="Arial" w:cs="Arial" w:eastAsia="Arial" w:hAnsi="Arial"/>
                <w:sz w:val="13"/>
                <w:szCs w:val="13"/>
                <w:b w:val="1"/>
                <w:bCs w:val="1"/>
                <w:color w:val="auto"/>
              </w:rPr>
              <w:t>Total Second Lien Secured Debt</w:t>
            </w:r>
          </w:p>
        </w:tc>
        <w:tc>
          <w:tcPr>
            <w:tcW w:w="11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9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300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12,379,445</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12,255,000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Subordinated Debt/Corporate Notes—7.6%</w:t>
            </w:r>
          </w:p>
        </w:tc>
        <w:tc>
          <w:tcPr>
            <w:tcW w:w="116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Arial" w:cs="Arial" w:eastAsia="Arial" w:hAnsi="Arial"/>
                <w:sz w:val="11"/>
                <w:szCs w:val="11"/>
                <w:color w:val="auto"/>
              </w:rPr>
              <w:t xml:space="preserve">Affinion Group Holdings, Inc. </w:t>
            </w:r>
            <w:r>
              <w:rPr>
                <w:rFonts w:ascii="Arial" w:cs="Arial" w:eastAsia="Arial" w:hAnsi="Arial"/>
                <w:sz w:val="17"/>
                <w:szCs w:val="17"/>
                <w:color w:val="auto"/>
                <w:vertAlign w:val="superscript"/>
              </w:rPr>
              <w:t>(5),(11)</w:t>
            </w:r>
          </w:p>
        </w:tc>
        <w:tc>
          <w:tcPr>
            <w:tcW w:w="1160" w:type="dxa"/>
            <w:vAlign w:val="bottom"/>
          </w:tcPr>
          <w:p>
            <w:pPr>
              <w:ind w:left="440"/>
              <w:spacing w:after="0"/>
              <w:rPr>
                <w:sz w:val="20"/>
                <w:szCs w:val="20"/>
                <w:color w:val="auto"/>
              </w:rPr>
            </w:pPr>
            <w:r>
              <w:rPr>
                <w:rFonts w:ascii="Arial" w:cs="Arial" w:eastAsia="Arial" w:hAnsi="Arial"/>
                <w:sz w:val="13"/>
                <w:szCs w:val="13"/>
                <w:color w:val="auto"/>
              </w:rPr>
              <w:t>11/15/2015</w:t>
            </w:r>
          </w:p>
        </w:tc>
        <w:tc>
          <w:tcPr>
            <w:tcW w:w="2020" w:type="dxa"/>
            <w:vAlign w:val="bottom"/>
          </w:tcPr>
          <w:p>
            <w:pPr>
              <w:jc w:val="center"/>
              <w:spacing w:after="0"/>
              <w:rPr>
                <w:sz w:val="20"/>
                <w:szCs w:val="20"/>
                <w:color w:val="auto"/>
              </w:rPr>
            </w:pPr>
            <w:r>
              <w:rPr>
                <w:rFonts w:ascii="Arial" w:cs="Arial" w:eastAsia="Arial" w:hAnsi="Arial"/>
                <w:sz w:val="13"/>
                <w:szCs w:val="13"/>
                <w:color w:val="auto"/>
                <w:w w:val="95"/>
              </w:rPr>
              <w:t>Consumer Goods: Non-Durable</w:t>
            </w:r>
          </w:p>
        </w:tc>
        <w:tc>
          <w:tcPr>
            <w:tcW w:w="980" w:type="dxa"/>
            <w:vAlign w:val="bottom"/>
          </w:tcPr>
          <w:p>
            <w:pPr>
              <w:jc w:val="right"/>
              <w:ind w:right="173"/>
              <w:spacing w:after="0"/>
              <w:rPr>
                <w:sz w:val="20"/>
                <w:szCs w:val="20"/>
                <w:color w:val="auto"/>
              </w:rPr>
            </w:pPr>
            <w:r>
              <w:rPr>
                <w:rFonts w:ascii="Arial" w:cs="Arial" w:eastAsia="Arial" w:hAnsi="Arial"/>
                <w:sz w:val="13"/>
                <w:szCs w:val="13"/>
                <w:color w:val="auto"/>
              </w:rPr>
              <w:t>11.63%</w:t>
            </w:r>
          </w:p>
        </w:tc>
        <w:tc>
          <w:tcPr>
            <w:tcW w:w="92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273"/>
              <w:spacing w:after="0"/>
              <w:rPr>
                <w:sz w:val="20"/>
                <w:szCs w:val="20"/>
                <w:color w:val="auto"/>
              </w:rPr>
            </w:pPr>
            <w:r>
              <w:rPr>
                <w:rFonts w:ascii="Arial" w:cs="Arial" w:eastAsia="Arial" w:hAnsi="Arial"/>
                <w:sz w:val="13"/>
                <w:szCs w:val="13"/>
                <w:color w:val="auto"/>
              </w:rPr>
              <w:t>1,500,000</w:t>
            </w:r>
          </w:p>
        </w:tc>
        <w:tc>
          <w:tcPr>
            <w:tcW w:w="740" w:type="dxa"/>
            <w:vAlign w:val="bottom"/>
          </w:tcPr>
          <w:p>
            <w:pPr>
              <w:jc w:val="right"/>
              <w:spacing w:after="0"/>
              <w:rPr>
                <w:sz w:val="20"/>
                <w:szCs w:val="20"/>
                <w:color w:val="auto"/>
              </w:rPr>
            </w:pPr>
            <w:r>
              <w:rPr>
                <w:rFonts w:ascii="Arial" w:cs="Arial" w:eastAsia="Arial" w:hAnsi="Arial"/>
                <w:sz w:val="13"/>
                <w:szCs w:val="13"/>
                <w:color w:val="auto"/>
              </w:rPr>
              <w:t>1,524,891</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1,155,000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TrustHouse Services Group, Inc. </w:t>
            </w:r>
            <w:r>
              <w:rPr>
                <w:rFonts w:ascii="Arial" w:cs="Arial" w:eastAsia="Arial" w:hAnsi="Arial"/>
                <w:sz w:val="17"/>
                <w:szCs w:val="17"/>
                <w:color w:val="auto"/>
                <w:vertAlign w:val="superscript"/>
              </w:rPr>
              <w:t>(11),(7),(5)</w:t>
            </w:r>
          </w:p>
        </w:tc>
        <w:tc>
          <w:tcPr>
            <w:tcW w:w="11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07/31/2018</w:t>
            </w: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Beverage, Food and Tobacco</w:t>
            </w:r>
          </w:p>
        </w:tc>
        <w:tc>
          <w:tcPr>
            <w:tcW w:w="980" w:type="dxa"/>
            <w:vAlign w:val="bottom"/>
            <w:shd w:val="clear" w:color="auto" w:fill="CCEEFF"/>
          </w:tcPr>
          <w:p>
            <w:pPr>
              <w:jc w:val="right"/>
              <w:ind w:right="33"/>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(8)</w:t>
            </w:r>
          </w:p>
        </w:tc>
        <w:tc>
          <w:tcPr>
            <w:tcW w:w="92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rPr>
              <w:t>3,762,500</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3,688,091</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3,687,250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000" w:type="dxa"/>
            <w:vAlign w:val="bottom"/>
          </w:tcPr>
          <w:p>
            <w:pPr>
              <w:spacing w:after="0" w:line="149" w:lineRule="exact"/>
              <w:rPr>
                <w:sz w:val="20"/>
                <w:szCs w:val="20"/>
                <w:color w:val="auto"/>
              </w:rPr>
            </w:pPr>
            <w:r>
              <w:rPr>
                <w:rFonts w:ascii="Arial" w:cs="Arial" w:eastAsia="Arial" w:hAnsi="Arial"/>
                <w:sz w:val="11"/>
                <w:szCs w:val="11"/>
                <w:color w:val="auto"/>
              </w:rPr>
              <w:t xml:space="preserve">TrustHouse Services Group, Inc. </w:t>
            </w:r>
            <w:r>
              <w:rPr>
                <w:rFonts w:ascii="Arial" w:cs="Arial" w:eastAsia="Arial" w:hAnsi="Arial"/>
                <w:sz w:val="17"/>
                <w:szCs w:val="17"/>
                <w:color w:val="auto"/>
                <w:vertAlign w:val="superscript"/>
              </w:rPr>
              <w:t>(11),(9),(5)</w:t>
            </w:r>
          </w:p>
        </w:tc>
        <w:tc>
          <w:tcPr>
            <w:tcW w:w="1160" w:type="dxa"/>
            <w:vAlign w:val="bottom"/>
          </w:tcPr>
          <w:p>
            <w:pPr>
              <w:ind w:left="440"/>
              <w:spacing w:after="0"/>
              <w:rPr>
                <w:sz w:val="20"/>
                <w:szCs w:val="20"/>
                <w:color w:val="auto"/>
              </w:rPr>
            </w:pPr>
            <w:r>
              <w:rPr>
                <w:rFonts w:ascii="Arial" w:cs="Arial" w:eastAsia="Arial" w:hAnsi="Arial"/>
                <w:sz w:val="13"/>
                <w:szCs w:val="13"/>
                <w:color w:val="auto"/>
              </w:rPr>
              <w:t>07/31/2018</w:t>
            </w:r>
          </w:p>
        </w:tc>
        <w:tc>
          <w:tcPr>
            <w:tcW w:w="2020" w:type="dxa"/>
            <w:vAlign w:val="bottom"/>
          </w:tcPr>
          <w:p>
            <w:pPr>
              <w:jc w:val="center"/>
              <w:spacing w:after="0"/>
              <w:rPr>
                <w:sz w:val="20"/>
                <w:szCs w:val="20"/>
                <w:color w:val="auto"/>
              </w:rPr>
            </w:pPr>
            <w:r>
              <w:rPr>
                <w:rFonts w:ascii="Arial" w:cs="Arial" w:eastAsia="Arial" w:hAnsi="Arial"/>
                <w:sz w:val="13"/>
                <w:szCs w:val="13"/>
                <w:color w:val="auto"/>
                <w:w w:val="92"/>
              </w:rPr>
              <w:t>Beverage, Food and Tobacco</w:t>
            </w:r>
          </w:p>
        </w:tc>
        <w:tc>
          <w:tcPr>
            <w:tcW w:w="980" w:type="dxa"/>
            <w:vAlign w:val="bottom"/>
          </w:tcPr>
          <w:p>
            <w:pPr>
              <w:jc w:val="right"/>
              <w:ind w:right="353"/>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273"/>
              <w:spacing w:after="0"/>
              <w:rPr>
                <w:sz w:val="20"/>
                <w:szCs w:val="20"/>
                <w:color w:val="auto"/>
              </w:rPr>
            </w:pPr>
            <w:r>
              <w:rPr>
                <w:rFonts w:ascii="Arial" w:cs="Arial" w:eastAsia="Arial" w:hAnsi="Arial"/>
                <w:sz w:val="13"/>
                <w:szCs w:val="13"/>
                <w:color w:val="auto"/>
              </w:rPr>
              <w:t>2,206,000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2,161,880</w:t>
            </w:r>
          </w:p>
        </w:tc>
        <w:tc>
          <w:tcPr>
            <w:tcW w:w="3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2,161,880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Subordinated Debt/Corporate Notes</w:t>
            </w:r>
          </w:p>
        </w:tc>
        <w:tc>
          <w:tcPr>
            <w:tcW w:w="116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7,374,862</w:t>
            </w:r>
          </w:p>
        </w:tc>
        <w:tc>
          <w:tcPr>
            <w:tcW w:w="3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7,004,130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62</w:t>
      </w:r>
    </w:p>
    <w:p>
      <w:pPr>
        <w:sectPr>
          <w:pgSz w:w="11900" w:h="16838" w:orient="portrait"/>
          <w:cols w:equalWidth="0" w:num="1">
            <w:col w:w="11240"/>
          </w:cols>
          <w:pgMar w:left="320" w:top="459" w:right="3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SCHEDULE OF INVESTMENTS (CONTINUED)</w:t>
      </w:r>
    </w:p>
    <w:p>
      <w:pPr>
        <w:jc w:val="center"/>
        <w:spacing w:after="0"/>
        <w:rPr>
          <w:sz w:val="20"/>
          <w:szCs w:val="20"/>
          <w:color w:val="auto"/>
        </w:rPr>
      </w:pPr>
      <w:r>
        <w:rPr>
          <w:rFonts w:ascii="Arial" w:cs="Arial" w:eastAsia="Arial" w:hAnsi="Arial"/>
          <w:sz w:val="13"/>
          <w:szCs w:val="13"/>
          <w:b w:val="1"/>
          <w:bCs w:val="1"/>
          <w:color w:val="auto"/>
        </w:rPr>
        <w:t>SEPTEMBER 30, 2011</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3"/>
              </w:rPr>
              <w:t>Basis Point</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Spread</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320"/>
              <w:spacing w:after="0" w:line="134" w:lineRule="exact"/>
              <w:rPr>
                <w:sz w:val="20"/>
                <w:szCs w:val="20"/>
                <w:color w:val="auto"/>
              </w:rPr>
            </w:pPr>
            <w:r>
              <w:rPr>
                <w:rFonts w:ascii="Arial" w:cs="Arial" w:eastAsia="Arial" w:hAnsi="Arial"/>
                <w:sz w:val="13"/>
                <w:szCs w:val="13"/>
                <w:b w:val="1"/>
                <w:bCs w:val="1"/>
                <w:color w:val="auto"/>
              </w:rPr>
              <w:t>Current</w:t>
            </w:r>
          </w:p>
        </w:tc>
        <w:tc>
          <w:tcPr>
            <w:tcW w:w="980" w:type="dxa"/>
            <w:vAlign w:val="bottom"/>
            <w:gridSpan w:val="2"/>
          </w:tcPr>
          <w:p>
            <w:pPr>
              <w:jc w:val="center"/>
              <w:ind w:right="200"/>
              <w:spacing w:after="0" w:line="134" w:lineRule="exact"/>
              <w:rPr>
                <w:sz w:val="20"/>
                <w:szCs w:val="20"/>
                <w:color w:val="auto"/>
              </w:rPr>
            </w:pPr>
            <w:r>
              <w:rPr>
                <w:rFonts w:ascii="Arial" w:cs="Arial" w:eastAsia="Arial" w:hAnsi="Arial"/>
                <w:sz w:val="13"/>
                <w:szCs w:val="13"/>
                <w:b w:val="1"/>
                <w:bCs w:val="1"/>
                <w:color w:val="auto"/>
                <w:w w:val="95"/>
              </w:rPr>
              <w:t>Above</w:t>
            </w:r>
          </w:p>
        </w:tc>
        <w:tc>
          <w:tcPr>
            <w:tcW w:w="840" w:type="dxa"/>
            <w:vAlign w:val="bottom"/>
            <w:gridSpan w:val="2"/>
          </w:tcPr>
          <w:p>
            <w:pPr>
              <w:jc w:val="right"/>
              <w:ind w:right="380"/>
              <w:spacing w:after="0" w:line="134" w:lineRule="exact"/>
              <w:rPr>
                <w:sz w:val="20"/>
                <w:szCs w:val="20"/>
                <w:color w:val="auto"/>
              </w:rPr>
            </w:pPr>
            <w:r>
              <w:rPr>
                <w:rFonts w:ascii="Arial" w:cs="Arial" w:eastAsia="Arial" w:hAnsi="Arial"/>
                <w:sz w:val="13"/>
                <w:szCs w:val="13"/>
                <w:b w:val="1"/>
                <w:bCs w:val="1"/>
                <w:color w:val="auto"/>
              </w:rPr>
              <w:t>Par/</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auto"/>
                <w:w w:val="97"/>
              </w:rPr>
              <w:t xml:space="preserve">Fair Value </w:t>
            </w:r>
            <w:r>
              <w:rPr>
                <w:rFonts w:ascii="Arial" w:cs="Arial" w:eastAsia="Arial" w:hAnsi="Arial"/>
                <w:sz w:val="22"/>
                <w:szCs w:val="22"/>
                <w:b w:val="1"/>
                <w:bCs w:val="1"/>
                <w:color w:val="auto"/>
                <w:w w:val="97"/>
                <w:vertAlign w:val="superscript"/>
              </w:rPr>
              <w:t>(2)</w:t>
            </w:r>
          </w:p>
        </w:tc>
        <w:tc>
          <w:tcPr>
            <w:tcW w:w="0" w:type="dxa"/>
            <w:vAlign w:val="bottom"/>
          </w:tcPr>
          <w:p>
            <w:pPr>
              <w:spacing w:after="0"/>
              <w:rPr>
                <w:sz w:val="1"/>
                <w:szCs w:val="1"/>
                <w:color w:val="auto"/>
              </w:rPr>
            </w:pPr>
          </w:p>
        </w:tc>
      </w:tr>
      <w:tr>
        <w:trPr>
          <w:trHeight w:val="176"/>
        </w:trPr>
        <w:tc>
          <w:tcPr>
            <w:tcW w:w="3300" w:type="dxa"/>
            <w:vAlign w:val="bottom"/>
          </w:tcPr>
          <w:p>
            <w:pPr>
              <w:spacing w:after="0"/>
              <w:rPr>
                <w:sz w:val="20"/>
                <w:szCs w:val="20"/>
                <w:color w:val="auto"/>
              </w:rPr>
            </w:pPr>
            <w:r>
              <w:rPr>
                <w:rFonts w:ascii="Arial" w:cs="Arial" w:eastAsia="Arial" w:hAnsi="Arial"/>
                <w:sz w:val="13"/>
                <w:szCs w:val="13"/>
                <w:b w:val="1"/>
                <w:bCs w:val="1"/>
                <w:color w:val="auto"/>
              </w:rPr>
              <w:t>Issuer Name</w:t>
            </w:r>
          </w:p>
        </w:tc>
        <w:tc>
          <w:tcPr>
            <w:tcW w:w="980" w:type="dxa"/>
            <w:vAlign w:val="bottom"/>
            <w:gridSpan w:val="2"/>
          </w:tcPr>
          <w:p>
            <w:pPr>
              <w:jc w:val="center"/>
              <w:spacing w:after="0"/>
              <w:rPr>
                <w:sz w:val="20"/>
                <w:szCs w:val="20"/>
                <w:color w:val="auto"/>
              </w:rPr>
            </w:pPr>
            <w:r>
              <w:rPr>
                <w:rFonts w:ascii="Arial" w:cs="Arial" w:eastAsia="Arial" w:hAnsi="Arial"/>
                <w:sz w:val="13"/>
                <w:szCs w:val="13"/>
                <w:b w:val="1"/>
                <w:bCs w:val="1"/>
                <w:color w:val="auto"/>
              </w:rPr>
              <w:t>Maturity</w:t>
            </w:r>
          </w:p>
        </w:tc>
        <w:tc>
          <w:tcPr>
            <w:tcW w:w="17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Industry</w:t>
            </w:r>
          </w:p>
        </w:tc>
        <w:tc>
          <w:tcPr>
            <w:tcW w:w="86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Coupon</w:t>
            </w:r>
          </w:p>
        </w:tc>
        <w:tc>
          <w:tcPr>
            <w:tcW w:w="980" w:type="dxa"/>
            <w:vAlign w:val="bottom"/>
            <w:gridSpan w:val="2"/>
          </w:tcPr>
          <w:p>
            <w:pPr>
              <w:jc w:val="center"/>
              <w:ind w:right="200"/>
              <w:spacing w:after="0" w:line="176" w:lineRule="exact"/>
              <w:rPr>
                <w:sz w:val="20"/>
                <w:szCs w:val="20"/>
                <w:color w:val="auto"/>
              </w:rPr>
            </w:pPr>
            <w:r>
              <w:rPr>
                <w:rFonts w:ascii="Arial" w:cs="Arial" w:eastAsia="Arial" w:hAnsi="Arial"/>
                <w:sz w:val="12"/>
                <w:szCs w:val="12"/>
                <w:b w:val="1"/>
                <w:bCs w:val="1"/>
                <w:color w:val="auto"/>
                <w:w w:val="97"/>
              </w:rPr>
              <w:t xml:space="preserve">Index </w:t>
            </w:r>
            <w:r>
              <w:rPr>
                <w:rFonts w:ascii="Arial" w:cs="Arial" w:eastAsia="Arial" w:hAnsi="Arial"/>
                <w:sz w:val="20"/>
                <w:szCs w:val="20"/>
                <w:b w:val="1"/>
                <w:bCs w:val="1"/>
                <w:color w:val="auto"/>
                <w:w w:val="97"/>
                <w:vertAlign w:val="superscript"/>
              </w:rPr>
              <w:t>(1)</w:t>
            </w:r>
          </w:p>
        </w:tc>
        <w:tc>
          <w:tcPr>
            <w:tcW w:w="84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Shares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Cost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0"/>
                <w:szCs w:val="10"/>
                <w:b w:val="1"/>
                <w:bCs w:val="1"/>
                <w:color w:val="auto"/>
              </w:rPr>
              <w:t xml:space="preserve">Preferred Equity/Partnership Interests—0.1% </w:t>
            </w:r>
            <w:r>
              <w:rPr>
                <w:rFonts w:ascii="Arial" w:cs="Arial" w:eastAsia="Arial" w:hAnsi="Arial"/>
                <w:sz w:val="16"/>
                <w:szCs w:val="16"/>
                <w:b w:val="1"/>
                <w:bCs w:val="1"/>
                <w:color w:val="auto"/>
                <w:vertAlign w:val="superscript"/>
              </w:rPr>
              <w:t>(5),(10)</w:t>
            </w:r>
          </w:p>
        </w:tc>
        <w:tc>
          <w:tcPr>
            <w:tcW w:w="9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5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20"/>
                <w:szCs w:val="20"/>
                <w:color w:val="auto"/>
              </w:rPr>
            </w:pPr>
            <w:r>
              <w:rPr>
                <w:rFonts w:ascii="Arial" w:cs="Arial" w:eastAsia="Arial" w:hAnsi="Arial"/>
                <w:sz w:val="13"/>
                <w:szCs w:val="13"/>
                <w:color w:val="auto"/>
              </w:rPr>
              <w:t>TrustHouse Services Holdings, LLC</w:t>
            </w:r>
          </w:p>
        </w:tc>
        <w:tc>
          <w:tcPr>
            <w:tcW w:w="980" w:type="dxa"/>
            <w:vAlign w:val="bottom"/>
            <w:gridSpan w:val="2"/>
          </w:tcPr>
          <w:p>
            <w:pPr>
              <w:jc w:val="center"/>
              <w:spacing w:after="0"/>
              <w:rPr>
                <w:sz w:val="20"/>
                <w:szCs w:val="20"/>
                <w:color w:val="auto"/>
              </w:rPr>
            </w:pPr>
            <w:r>
              <w:rPr>
                <w:rFonts w:ascii="Arial" w:cs="Arial" w:eastAsia="Arial" w:hAnsi="Arial"/>
                <w:sz w:val="13"/>
                <w:szCs w:val="13"/>
                <w:color w:val="auto"/>
              </w:rPr>
              <w:t>—</w:t>
            </w:r>
          </w:p>
        </w:tc>
        <w:tc>
          <w:tcPr>
            <w:tcW w:w="1700" w:type="dxa"/>
            <w:vAlign w:val="bottom"/>
            <w:gridSpan w:val="2"/>
          </w:tcPr>
          <w:p>
            <w:pPr>
              <w:jc w:val="center"/>
              <w:ind w:right="140"/>
              <w:spacing w:after="0"/>
              <w:rPr>
                <w:sz w:val="20"/>
                <w:szCs w:val="20"/>
                <w:color w:val="auto"/>
              </w:rPr>
            </w:pPr>
            <w:r>
              <w:rPr>
                <w:rFonts w:ascii="Arial" w:cs="Arial" w:eastAsia="Arial" w:hAnsi="Arial"/>
                <w:sz w:val="13"/>
                <w:szCs w:val="13"/>
                <w:color w:val="auto"/>
                <w:w w:val="91"/>
              </w:rPr>
              <w:t>Beverage, Food and Tobacco</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12.50%</w:t>
            </w:r>
          </w:p>
        </w:tc>
        <w:tc>
          <w:tcPr>
            <w:tcW w:w="98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158</w:t>
            </w:r>
          </w:p>
        </w:tc>
        <w:tc>
          <w:tcPr>
            <w:tcW w:w="3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95,000</w:t>
            </w:r>
          </w:p>
        </w:tc>
        <w:tc>
          <w:tcPr>
            <w:tcW w:w="2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96,985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(TrustHouse Services Group, Inc.)</w:t>
            </w: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line="149" w:lineRule="exact"/>
              <w:rPr>
                <w:sz w:val="20"/>
                <w:szCs w:val="20"/>
                <w:color w:val="auto"/>
              </w:rPr>
            </w:pPr>
            <w:r>
              <w:rPr>
                <w:rFonts w:ascii="Arial" w:cs="Arial" w:eastAsia="Arial" w:hAnsi="Arial"/>
                <w:sz w:val="11"/>
                <w:szCs w:val="11"/>
                <w:b w:val="1"/>
                <w:bCs w:val="1"/>
                <w:color w:val="auto"/>
              </w:rPr>
              <w:t xml:space="preserve">Common Equity—0.0% </w:t>
            </w:r>
            <w:r>
              <w:rPr>
                <w:rFonts w:ascii="Arial" w:cs="Arial" w:eastAsia="Arial" w:hAnsi="Arial"/>
                <w:sz w:val="17"/>
                <w:szCs w:val="17"/>
                <w:b w:val="1"/>
                <w:bCs w:val="1"/>
                <w:color w:val="auto"/>
                <w:vertAlign w:val="superscript"/>
              </w:rPr>
              <w:t>(5),(10)</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CCEEFF"/>
          </w:tcPr>
          <w:p>
            <w:pPr>
              <w:spacing w:after="0"/>
              <w:rPr>
                <w:sz w:val="20"/>
                <w:szCs w:val="20"/>
                <w:color w:val="auto"/>
              </w:rPr>
            </w:pPr>
            <w:r>
              <w:rPr>
                <w:rFonts w:ascii="Arial" w:cs="Arial" w:eastAsia="Arial" w:hAnsi="Arial"/>
                <w:sz w:val="13"/>
                <w:szCs w:val="13"/>
                <w:color w:val="auto"/>
              </w:rPr>
              <w:t>TrustHouse Services Holdings, LLC</w:t>
            </w: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2"/>
              </w:rPr>
              <w:t>Beverage, Food and Tobacco</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8</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5,000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300" w:type="dxa"/>
            <w:vAlign w:val="bottom"/>
          </w:tcPr>
          <w:p>
            <w:pPr>
              <w:ind w:left="220"/>
              <w:spacing w:after="0"/>
              <w:rPr>
                <w:sz w:val="20"/>
                <w:szCs w:val="20"/>
                <w:color w:val="auto"/>
              </w:rPr>
            </w:pPr>
            <w:r>
              <w:rPr>
                <w:rFonts w:ascii="Arial" w:cs="Arial" w:eastAsia="Arial" w:hAnsi="Arial"/>
                <w:sz w:val="13"/>
                <w:szCs w:val="13"/>
                <w:color w:val="auto"/>
              </w:rPr>
              <w:t>(TrustHouse Services Group, Inc.)</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8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w w:val="95"/>
              </w:rPr>
              <w:t>Total Investments in Non-Controlled, Non-Affiliated Portfolio Companies</w:t>
            </w: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99"/>
              </w:rPr>
              <w:t>114,829,621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110,724,241</w:t>
            </w: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Arial" w:cs="Arial" w:eastAsia="Arial" w:hAnsi="Arial"/>
                <w:sz w:val="13"/>
                <w:szCs w:val="13"/>
                <w:b w:val="1"/>
                <w:bCs w:val="1"/>
                <w:color w:val="auto"/>
              </w:rPr>
              <w:t>Cash Equivalents—7.6%</w:t>
            </w: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30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6,987,450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6,987,450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3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Investments and Cash Equivalents—127.8%</w:t>
            </w: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99"/>
              </w:rPr>
              <w:t>121,817,071</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117,711,691</w:t>
            </w: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Arial" w:cs="Arial" w:eastAsia="Arial" w:hAnsi="Arial"/>
                <w:sz w:val="13"/>
                <w:szCs w:val="13"/>
                <w:b w:val="1"/>
                <w:bCs w:val="1"/>
                <w:color w:val="auto"/>
              </w:rPr>
              <w:t>Liabilities in Excess of Other Assets—(27.8%)</w:t>
            </w: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0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3"/>
                <w:szCs w:val="13"/>
                <w:color w:val="auto"/>
              </w:rPr>
              <w:t>(25,639,586)</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Assets—100.0%</w:t>
            </w: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92,072,105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23571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31"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Prime and its coupon is subject to a LIBOR or Prime rate floor.</w:t>
      </w:r>
    </w:p>
    <w:p>
      <w:pPr>
        <w:spacing w:after="0" w:line="22" w:lineRule="exact"/>
        <w:rPr>
          <w:rFonts w:ascii="Arial" w:cs="Arial" w:eastAsia="Arial" w:hAnsi="Arial"/>
          <w:sz w:val="12"/>
          <w:szCs w:val="12"/>
          <w:color w:val="auto"/>
        </w:rPr>
      </w:pPr>
    </w:p>
    <w:p>
      <w:pPr>
        <w:ind w:left="340" w:hanging="332"/>
        <w:spacing w:after="0"/>
        <w:tabs>
          <w:tab w:leader="none" w:pos="340" w:val="left"/>
        </w:tabs>
        <w:numPr>
          <w:ilvl w:val="0"/>
          <w:numId w:val="40"/>
        </w:numPr>
        <w:rPr>
          <w:rFonts w:ascii="Arial" w:cs="Arial" w:eastAsia="Arial" w:hAnsi="Arial"/>
          <w:sz w:val="13"/>
          <w:szCs w:val="13"/>
          <w:color w:val="auto"/>
        </w:rPr>
      </w:pPr>
      <w:r>
        <w:rPr>
          <w:rFonts w:ascii="Arial" w:cs="Arial" w:eastAsia="Arial" w:hAnsi="Arial"/>
          <w:sz w:val="13"/>
          <w:szCs w:val="13"/>
          <w:color w:val="auto"/>
        </w:rPr>
        <w:t>Valued based on our accounting policy (see Note 2).</w:t>
      </w:r>
    </w:p>
    <w:p>
      <w:pPr>
        <w:ind w:left="340" w:right="540" w:hanging="332"/>
        <w:spacing w:after="0" w:line="258" w:lineRule="auto"/>
        <w:tabs>
          <w:tab w:leader="none" w:pos="3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320" w:hanging="332"/>
        <w:spacing w:after="0" w:line="238" w:lineRule="auto"/>
        <w:tabs>
          <w:tab w:leader="none" w:pos="340"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hanging="332"/>
        <w:spacing w:after="0"/>
        <w:tabs>
          <w:tab w:leader="none" w:pos="340"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 securities are not pledged as collateral under the Credit Facility. All other securities are pledged as collateral under the Credit Facility.</w:t>
      </w:r>
    </w:p>
    <w:p>
      <w:pPr>
        <w:ind w:left="340" w:right="580" w:hanging="332"/>
        <w:spacing w:after="0" w:line="238" w:lineRule="auto"/>
        <w:tabs>
          <w:tab w:leader="none" w:pos="340" w:val="left"/>
        </w:tabs>
        <w:numPr>
          <w:ilvl w:val="0"/>
          <w:numId w:val="40"/>
        </w:numPr>
        <w:rPr>
          <w:rFonts w:ascii="Arial" w:cs="Arial" w:eastAsia="Arial" w:hAnsi="Arial"/>
          <w:sz w:val="13"/>
          <w:szCs w:val="13"/>
          <w:color w:val="auto"/>
        </w:rPr>
      </w:pPr>
      <w:r>
        <w:rPr>
          <w:rFonts w:ascii="Arial" w:cs="Arial" w:eastAsia="Arial" w:hAnsi="Arial"/>
          <w:sz w:val="13"/>
          <w:szCs w:val="13"/>
          <w:color w:val="auto"/>
        </w:rPr>
        <w:t>Security is exempt from registration under Rule 144A promulgated under the Securities Act. The security may be resold in transactions that are exempt from registration, normally to qualified institutional buyers.</w:t>
      </w:r>
    </w:p>
    <w:p>
      <w:pPr>
        <w:ind w:left="340" w:hanging="332"/>
        <w:spacing w:after="0"/>
        <w:tabs>
          <w:tab w:leader="none" w:pos="340" w:val="left"/>
        </w:tabs>
        <w:numPr>
          <w:ilvl w:val="0"/>
          <w:numId w:val="40"/>
        </w:numPr>
        <w:rPr>
          <w:rFonts w:ascii="Arial" w:cs="Arial" w:eastAsia="Arial" w:hAnsi="Arial"/>
          <w:sz w:val="13"/>
          <w:szCs w:val="13"/>
          <w:color w:val="auto"/>
        </w:rPr>
      </w:pPr>
      <w:r>
        <w:rPr>
          <w:rFonts w:ascii="Arial" w:cs="Arial" w:eastAsia="Arial" w:hAnsi="Arial"/>
          <w:sz w:val="13"/>
          <w:szCs w:val="13"/>
          <w:color w:val="auto"/>
        </w:rPr>
        <w:t>Non-U.S. company or principal place of business outside the United States.</w:t>
      </w:r>
    </w:p>
    <w:p>
      <w:pPr>
        <w:ind w:left="340" w:hanging="332"/>
        <w:spacing w:after="0"/>
        <w:tabs>
          <w:tab w:leader="none" w:pos="340" w:val="left"/>
        </w:tabs>
        <w:numPr>
          <w:ilvl w:val="0"/>
          <w:numId w:val="40"/>
        </w:numPr>
        <w:rPr>
          <w:rFonts w:ascii="Arial" w:cs="Arial" w:eastAsia="Arial" w:hAnsi="Arial"/>
          <w:sz w:val="13"/>
          <w:szCs w:val="13"/>
          <w:color w:val="auto"/>
        </w:rPr>
      </w:pPr>
      <w:r>
        <w:rPr>
          <w:rFonts w:ascii="Arial" w:cs="Arial" w:eastAsia="Arial" w:hAnsi="Arial"/>
          <w:sz w:val="13"/>
          <w:szCs w:val="13"/>
          <w:color w:val="auto"/>
        </w:rPr>
        <w:t>Coupon is payable in cash and/or through payment-in-kind, or PIK.</w:t>
      </w:r>
    </w:p>
    <w:p>
      <w:pPr>
        <w:ind w:left="340" w:hanging="332"/>
        <w:spacing w:after="0"/>
        <w:tabs>
          <w:tab w:leader="none" w:pos="340" w:val="left"/>
        </w:tabs>
        <w:numPr>
          <w:ilvl w:val="0"/>
          <w:numId w:val="40"/>
        </w:numPr>
        <w:rPr>
          <w:rFonts w:ascii="Arial" w:cs="Arial" w:eastAsia="Arial" w:hAnsi="Arial"/>
          <w:sz w:val="13"/>
          <w:szCs w:val="13"/>
          <w:color w:val="auto"/>
        </w:rPr>
      </w:pPr>
      <w:r>
        <w:rPr>
          <w:rFonts w:ascii="Arial" w:cs="Arial" w:eastAsia="Arial" w:hAnsi="Arial"/>
          <w:sz w:val="13"/>
          <w:szCs w:val="13"/>
          <w:color w:val="auto"/>
        </w:rPr>
        <w:t>Represents the purchase of a security with delayed settlement (unfunded investment). This security does not have a basis point spread above an index.</w:t>
      </w:r>
    </w:p>
    <w:p>
      <w:pPr>
        <w:ind w:left="340" w:hanging="332"/>
        <w:spacing w:after="0"/>
        <w:tabs>
          <w:tab w:leader="none" w:pos="340" w:val="left"/>
        </w:tabs>
        <w:numPr>
          <w:ilvl w:val="0"/>
          <w:numId w:val="40"/>
        </w:numPr>
        <w:rPr>
          <w:rFonts w:ascii="Arial" w:cs="Arial" w:eastAsia="Arial" w:hAnsi="Arial"/>
          <w:sz w:val="13"/>
          <w:szCs w:val="13"/>
          <w:color w:val="auto"/>
        </w:rPr>
      </w:pPr>
      <w:r>
        <w:rPr>
          <w:rFonts w:ascii="Arial" w:cs="Arial" w:eastAsia="Arial" w:hAnsi="Arial"/>
          <w:sz w:val="13"/>
          <w:szCs w:val="13"/>
          <w:color w:val="auto"/>
        </w:rPr>
        <w:t>Non-income producing securities.</w:t>
      </w:r>
    </w:p>
    <w:p>
      <w:pPr>
        <w:ind w:left="340" w:hanging="332"/>
        <w:spacing w:after="0"/>
        <w:tabs>
          <w:tab w:leader="none" w:pos="340" w:val="left"/>
        </w:tabs>
        <w:numPr>
          <w:ilvl w:val="0"/>
          <w:numId w:val="40"/>
        </w:numPr>
        <w:rPr>
          <w:rFonts w:ascii="Arial" w:cs="Arial" w:eastAsia="Arial" w:hAnsi="Arial"/>
          <w:sz w:val="13"/>
          <w:szCs w:val="13"/>
          <w:color w:val="auto"/>
        </w:rPr>
      </w:pPr>
      <w:r>
        <w:rPr>
          <w:rFonts w:ascii="Arial" w:cs="Arial" w:eastAsia="Arial" w:hAnsi="Arial"/>
          <w:sz w:val="13"/>
          <w:szCs w:val="13"/>
          <w:color w:val="auto"/>
        </w:rPr>
        <w:t>Coupon is not subject to a LIBOR or Prime rate floor.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63</w:t>
      </w:r>
    </w:p>
    <w:p>
      <w:pPr>
        <w:sectPr>
          <w:pgSz w:w="11900" w:h="16838" w:orient="portrait"/>
          <w:cols w:equalWidth="0" w:num="1">
            <w:col w:w="11240"/>
          </w:cols>
          <w:pgMar w:left="320" w:top="459" w:right="3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NOTES TO CONSOLIDATED FINANCIAL STATEMENTS</w:t>
      </w:r>
    </w:p>
    <w:p>
      <w:pPr>
        <w:jc w:val="center"/>
        <w:ind w:right="-39"/>
        <w:spacing w:after="0"/>
        <w:rPr>
          <w:sz w:val="20"/>
          <w:szCs w:val="20"/>
          <w:color w:val="auto"/>
        </w:rPr>
      </w:pPr>
      <w:r>
        <w:rPr>
          <w:rFonts w:ascii="Arial" w:cs="Arial" w:eastAsia="Arial" w:hAnsi="Arial"/>
          <w:sz w:val="13"/>
          <w:szCs w:val="13"/>
          <w:b w:val="1"/>
          <w:bCs w:val="1"/>
          <w:color w:val="auto"/>
        </w:rPr>
        <w:t>SEPTEMBER 30, 2012</w:t>
      </w:r>
    </w:p>
    <w:p>
      <w:pPr>
        <w:spacing w:after="0" w:line="12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 ORGANIZATION</w:t>
      </w:r>
    </w:p>
    <w:p>
      <w:pPr>
        <w:spacing w:after="0" w:line="136" w:lineRule="exact"/>
        <w:rPr>
          <w:sz w:val="20"/>
          <w:szCs w:val="20"/>
          <w:color w:val="auto"/>
        </w:rPr>
      </w:pPr>
    </w:p>
    <w:p>
      <w:pPr>
        <w:ind w:right="320" w:firstLine="786"/>
        <w:spacing w:after="0" w:line="274" w:lineRule="auto"/>
        <w:rPr>
          <w:sz w:val="20"/>
          <w:szCs w:val="20"/>
          <w:color w:val="auto"/>
        </w:rPr>
      </w:pPr>
      <w:r>
        <w:rPr>
          <w:rFonts w:ascii="Arial" w:cs="Arial" w:eastAsia="Arial" w:hAnsi="Arial"/>
          <w:sz w:val="13"/>
          <w:szCs w:val="13"/>
          <w:color w:val="auto"/>
        </w:rPr>
        <w:t>PennantPark Floating Rate Capital Ltd. was organized as a Maryland corporation in October 2010. We are a closed-end, externally managed, non-diversified investment company that has elected to be treated as a business development company, or BDC, under the 1940 Act.</w:t>
      </w:r>
    </w:p>
    <w:p>
      <w:pPr>
        <w:spacing w:after="0" w:line="91" w:lineRule="exact"/>
        <w:rPr>
          <w:sz w:val="20"/>
          <w:szCs w:val="20"/>
          <w:color w:val="auto"/>
        </w:rPr>
      </w:pPr>
    </w:p>
    <w:p>
      <w:pPr>
        <w:ind w:right="40" w:firstLine="562"/>
        <w:spacing w:after="0" w:line="270" w:lineRule="auto"/>
        <w:rPr>
          <w:sz w:val="20"/>
          <w:szCs w:val="20"/>
          <w:color w:val="auto"/>
        </w:rPr>
      </w:pPr>
      <w:r>
        <w:rPr>
          <w:rFonts w:ascii="Arial" w:cs="Arial" w:eastAsia="Arial" w:hAnsi="Arial"/>
          <w:sz w:val="12"/>
          <w:szCs w:val="12"/>
          <w:color w:val="auto"/>
        </w:rPr>
        <w:t>Our investment objectives are to generate current income and capital appreciation. We seek to achieve our investment objective by investing primarily in Floating Rate Loans and other instruments made to U.S. middle-market private companies whose debt is rated below investment grade. Floating Rate Loans or variable-rate investments are loans that typically pay interest at variable rates, which are determined periodically, on the basis of a floating base lending rate such as LIBOR, plus a fixed spread over it. Under normal market conditions, we generally expect that at least 80% of the value of our “Managed Assets,” which means our net assets plus any borrowings for investment purposes, will be invested in Floating Rate Loans and other investments bearing a variable rate of interest, which may include, from time to time, variable rate derivative instruments. We generally expect that senior secured loans, or first lien loans, will represent at least 65% of our overall portfolio. We generally expect to invest up to 35% of our overall portfolio opportunistically in other types of investments, including second-lien, high yield, mezzanine and distressed debt securities and, to a lesser extent, equity investments.</w:t>
      </w:r>
    </w:p>
    <w:p>
      <w:pPr>
        <w:spacing w:after="0" w:line="95" w:lineRule="exact"/>
        <w:rPr>
          <w:sz w:val="20"/>
          <w:szCs w:val="20"/>
          <w:color w:val="auto"/>
        </w:rPr>
      </w:pPr>
    </w:p>
    <w:p>
      <w:pPr>
        <w:ind w:right="80" w:firstLine="562"/>
        <w:spacing w:after="0" w:line="278" w:lineRule="auto"/>
        <w:rPr>
          <w:sz w:val="20"/>
          <w:szCs w:val="20"/>
          <w:color w:val="auto"/>
        </w:rPr>
      </w:pPr>
      <w:r>
        <w:rPr>
          <w:rFonts w:ascii="Arial" w:cs="Arial" w:eastAsia="Arial" w:hAnsi="Arial"/>
          <w:sz w:val="12"/>
          <w:szCs w:val="12"/>
          <w:color w:val="auto"/>
        </w:rPr>
        <w:t>In April 2011, we closed our initial public offering and our common stock trades on the NASDAQ Global Select Market under the symbol “PFLT.” Also in April 2011, we issued 6,700,000 shares of common stock, and in May 2011, the underwriters exercised their overallotment option and purchased an additional 150,000 shares of common stock, resulting in total gross proceeds of $102.8 million. After deducting the underwriters’ discount, or the sales load, of $5.1 million, we received net proceeds of $97.7 million from our initial public offering. The underwriters agreed to reimburse, and have paid us, $0.4 million of the estimated $1.0 million of offering expenses. In March 2011, we sold 667 shares of common stock for $10,000 ($15.00 per share) to the Investment Adviser.</w:t>
      </w:r>
    </w:p>
    <w:p>
      <w:pPr>
        <w:spacing w:after="0" w:line="90" w:lineRule="exact"/>
        <w:rPr>
          <w:sz w:val="20"/>
          <w:szCs w:val="20"/>
          <w:color w:val="auto"/>
        </w:rPr>
      </w:pPr>
    </w:p>
    <w:p>
      <w:pPr>
        <w:ind w:right="200" w:firstLine="562"/>
        <w:spacing w:after="0" w:line="274" w:lineRule="auto"/>
        <w:rPr>
          <w:sz w:val="20"/>
          <w:szCs w:val="20"/>
          <w:color w:val="auto"/>
        </w:rPr>
      </w:pPr>
      <w:r>
        <w:rPr>
          <w:rFonts w:ascii="Arial" w:cs="Arial" w:eastAsia="Arial" w:hAnsi="Arial"/>
          <w:sz w:val="13"/>
          <w:szCs w:val="13"/>
          <w:color w:val="auto"/>
        </w:rPr>
        <w:t>We entered into an investment management agreement, or the Investment Management Agreement, with the Investment Adviser, an external adviser that manages our day-to-day operations. We also entered into an administration agreement, or the Administration Agreement, with the Administrator, which provides the administrative services necessary for us to operate.</w:t>
      </w:r>
    </w:p>
    <w:p>
      <w:pPr>
        <w:spacing w:after="0" w:line="91" w:lineRule="exact"/>
        <w:rPr>
          <w:sz w:val="20"/>
          <w:szCs w:val="20"/>
          <w:color w:val="auto"/>
        </w:rPr>
      </w:pPr>
    </w:p>
    <w:p>
      <w:pPr>
        <w:ind w:right="100" w:firstLine="562"/>
        <w:spacing w:after="0" w:line="250" w:lineRule="auto"/>
        <w:rPr>
          <w:sz w:val="20"/>
          <w:szCs w:val="20"/>
          <w:color w:val="auto"/>
        </w:rPr>
      </w:pPr>
      <w:r>
        <w:rPr>
          <w:rFonts w:ascii="Arial" w:cs="Arial" w:eastAsia="Arial" w:hAnsi="Arial"/>
          <w:sz w:val="13"/>
          <w:szCs w:val="13"/>
          <w:color w:val="auto"/>
        </w:rPr>
        <w:t>Funding I, our wholly owned subsidiary and a special purpose entity, was organized in Delaware as a limited liability company in May 2011. We formed Funding I, in order to establish our Credit Facility. The Investment Adviser serves as the collateral manager to Funding I and has irrevocably directed that all management fees owing with respect to such services are to be paid to us so long as the Investment Adviser remains the collateral manager. This arrangement does not increase our consolidated management fee. The five-year Credit Facility allows Funding I to borrow up to $100.0 million at LIBOR plus 225 basis points during the revolving period. The Credit Facility is secured by all of the assets held by Funding I. See Note 10.</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 SIGNIFICANT ACCOUNTING POLICIES</w:t>
      </w:r>
    </w:p>
    <w:p>
      <w:pPr>
        <w:spacing w:after="0" w:line="136" w:lineRule="exact"/>
        <w:rPr>
          <w:sz w:val="20"/>
          <w:szCs w:val="20"/>
          <w:color w:val="auto"/>
        </w:rPr>
      </w:pPr>
    </w:p>
    <w:p>
      <w:pPr>
        <w:ind w:firstLine="786"/>
        <w:spacing w:after="0" w:line="247" w:lineRule="auto"/>
        <w:rPr>
          <w:sz w:val="20"/>
          <w:szCs w:val="20"/>
          <w:color w:val="auto"/>
        </w:rPr>
      </w:pPr>
      <w:r>
        <w:rPr>
          <w:rFonts w:ascii="Arial" w:cs="Arial" w:eastAsia="Arial" w:hAnsi="Arial"/>
          <w:sz w:val="13"/>
          <w:szCs w:val="13"/>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 Actual results could differ from these estimates. We have reclassified certain prior period amounts to conform to the current period presentation. We have eliminated all intercompany balances and transactions, if any. References to the Accounting Standards Codification, or ASC, serve as a single source of accounting literature. Subsequent events are evaluated and disclosed as appropriate for events occurring through the date the Consolidated Financial Statements are issued.</w:t>
      </w:r>
    </w:p>
    <w:p>
      <w:pPr>
        <w:spacing w:after="0" w:line="108"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Our Consolidated Financial Statements are prepared in accordance with GAAP and pursuant to the requirements for reporting on Form 10-K/Q and Article 6 or 10 of Regulation S-X, as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appropriate. In accordance with Article 6-09 of Regulation S-X, we have provided a Consolidated Statement of Changes in Net Assets in lieu of a Consolidated Statement of Changes in Stockholders’ Equity.</w:t>
      </w:r>
    </w:p>
    <w:p>
      <w:pPr>
        <w:spacing w:after="0" w:line="13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Our significant accounting policies consistently applied are as follows:</w:t>
      </w:r>
    </w:p>
    <w:p>
      <w:pPr>
        <w:spacing w:after="0" w:line="134"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(a) Investment Valuations</w:t>
      </w:r>
    </w:p>
    <w:p>
      <w:pPr>
        <w:spacing w:after="0" w:line="134" w:lineRule="exact"/>
        <w:rPr>
          <w:sz w:val="20"/>
          <w:szCs w:val="20"/>
          <w:color w:val="auto"/>
        </w:rPr>
      </w:pPr>
    </w:p>
    <w:p>
      <w:pPr>
        <w:ind w:right="60" w:firstLine="562"/>
        <w:spacing w:after="0" w:line="247"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brokers/dealers, if available, or otherwise from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64</w:t>
      </w:r>
    </w:p>
    <w:p>
      <w:pPr>
        <w:sectPr>
          <w:pgSz w:w="11900" w:h="16838" w:orient="portrait"/>
          <w:cols w:equalWidth="0" w:num="1">
            <w:col w:w="11200"/>
          </w:cols>
          <w:pgMar w:left="320" w:top="459" w:right="3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NOTES TO CONSOLIDATED FINANCIAL STATEMENTS</w:t>
      </w:r>
    </w:p>
    <w:p>
      <w:pPr>
        <w:jc w:val="center"/>
        <w:ind w:right="-39"/>
        <w:spacing w:after="0"/>
        <w:rPr>
          <w:sz w:val="20"/>
          <w:szCs w:val="20"/>
          <w:color w:val="auto"/>
        </w:rPr>
      </w:pPr>
      <w:r>
        <w:rPr>
          <w:rFonts w:ascii="Arial" w:cs="Arial" w:eastAsia="Arial" w:hAnsi="Arial"/>
          <w:sz w:val="13"/>
          <w:szCs w:val="13"/>
          <w:b w:val="1"/>
          <w:bCs w:val="1"/>
          <w:color w:val="auto"/>
        </w:rPr>
        <w:t>SEPTEMBER 30, 2012</w:t>
      </w:r>
    </w:p>
    <w:p>
      <w:pPr>
        <w:spacing w:after="0" w:line="136" w:lineRule="exact"/>
        <w:rPr>
          <w:sz w:val="20"/>
          <w:szCs w:val="20"/>
          <w:color w:val="auto"/>
        </w:rPr>
      </w:pPr>
    </w:p>
    <w:p>
      <w:pPr>
        <w:ind w:firstLine="562"/>
        <w:spacing w:after="0" w:line="244" w:lineRule="auto"/>
        <w:rPr>
          <w:sz w:val="20"/>
          <w:szCs w:val="20"/>
          <w:color w:val="auto"/>
        </w:rPr>
      </w:pPr>
      <w:r>
        <w:rPr>
          <w:rFonts w:ascii="Arial" w:cs="Arial" w:eastAsia="Arial" w:hAnsi="Arial"/>
          <w:sz w:val="13"/>
          <w:szCs w:val="13"/>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11" w:lineRule="exact"/>
        <w:rPr>
          <w:sz w:val="20"/>
          <w:szCs w:val="20"/>
          <w:color w:val="auto"/>
        </w:rPr>
      </w:pPr>
    </w:p>
    <w:p>
      <w:pPr>
        <w:ind w:right="260" w:firstLine="562"/>
        <w:spacing w:after="0" w:line="274" w:lineRule="auto"/>
        <w:rPr>
          <w:sz w:val="20"/>
          <w:szCs w:val="20"/>
          <w:color w:val="auto"/>
        </w:rPr>
      </w:pPr>
      <w:r>
        <w:rPr>
          <w:rFonts w:ascii="Arial" w:cs="Arial" w:eastAsia="Arial" w:hAnsi="Arial"/>
          <w:sz w:val="13"/>
          <w:szCs w:val="13"/>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04" w:lineRule="exact"/>
        <w:rPr>
          <w:sz w:val="20"/>
          <w:szCs w:val="20"/>
          <w:color w:val="auto"/>
        </w:rPr>
      </w:pPr>
    </w:p>
    <w:p>
      <w:pPr>
        <w:ind w:left="1000" w:right="320" w:hanging="547"/>
        <w:spacing w:after="0" w:line="274" w:lineRule="auto"/>
        <w:tabs>
          <w:tab w:leader="none" w:pos="10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Our quarterly valuation process begins with each portfolio company or investment being initially valued by the investment professionals of our Investment Adviser responsible for the portfolio investment;</w:t>
      </w:r>
    </w:p>
    <w:p>
      <w:pPr>
        <w:spacing w:after="0" w:line="104" w:lineRule="exact"/>
        <w:rPr>
          <w:rFonts w:ascii="Arial" w:cs="Arial" w:eastAsia="Arial" w:hAnsi="Arial"/>
          <w:sz w:val="13"/>
          <w:szCs w:val="13"/>
          <w:color w:val="auto"/>
        </w:rPr>
      </w:pPr>
    </w:p>
    <w:p>
      <w:pPr>
        <w:ind w:left="1000" w:hanging="547"/>
        <w:spacing w:after="0"/>
        <w:tabs>
          <w:tab w:leader="none" w:pos="10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Preliminary valuation conclusions are then documented and discussed with the management of our Investment Adviser;</w:t>
      </w:r>
    </w:p>
    <w:p>
      <w:pPr>
        <w:spacing w:after="0" w:line="147" w:lineRule="exact"/>
        <w:rPr>
          <w:rFonts w:ascii="Arial" w:cs="Arial" w:eastAsia="Arial" w:hAnsi="Arial"/>
          <w:sz w:val="13"/>
          <w:szCs w:val="13"/>
          <w:color w:val="auto"/>
        </w:rPr>
      </w:pPr>
    </w:p>
    <w:p>
      <w:pPr>
        <w:ind w:left="1000" w:right="160" w:hanging="547"/>
        <w:spacing w:after="0" w:line="256" w:lineRule="auto"/>
        <w:tabs>
          <w:tab w:leader="none" w:pos="10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15" w:lineRule="exact"/>
        <w:rPr>
          <w:rFonts w:ascii="Arial" w:cs="Arial" w:eastAsia="Arial" w:hAnsi="Arial"/>
          <w:sz w:val="13"/>
          <w:szCs w:val="13"/>
          <w:color w:val="auto"/>
        </w:rPr>
      </w:pPr>
    </w:p>
    <w:p>
      <w:pPr>
        <w:ind w:left="1000" w:right="40" w:hanging="547"/>
        <w:spacing w:after="0" w:line="274" w:lineRule="auto"/>
        <w:tabs>
          <w:tab w:leader="none" w:pos="10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audit committee of our board of directors reviews the preliminary valuations of our Investment Adviser and those of the independent valuation firms and responds and supplements the valuation recommendations of the independent valuation firms to reflect any comments; and</w:t>
      </w:r>
    </w:p>
    <w:p>
      <w:pPr>
        <w:spacing w:after="0" w:line="104" w:lineRule="exact"/>
        <w:rPr>
          <w:rFonts w:ascii="Arial" w:cs="Arial" w:eastAsia="Arial" w:hAnsi="Arial"/>
          <w:sz w:val="13"/>
          <w:szCs w:val="13"/>
          <w:color w:val="auto"/>
        </w:rPr>
      </w:pPr>
    </w:p>
    <w:p>
      <w:pPr>
        <w:ind w:left="1000" w:right="40" w:hanging="547"/>
        <w:spacing w:after="0" w:line="274" w:lineRule="auto"/>
        <w:tabs>
          <w:tab w:leader="none" w:pos="10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90" w:lineRule="exact"/>
        <w:rPr>
          <w:rFonts w:ascii="Arial" w:cs="Arial" w:eastAsia="Arial" w:hAnsi="Arial"/>
          <w:sz w:val="13"/>
          <w:szCs w:val="13"/>
          <w:color w:val="auto"/>
        </w:rPr>
      </w:pPr>
    </w:p>
    <w:p>
      <w:pPr>
        <w:ind w:left="760" w:hanging="190"/>
        <w:spacing w:after="0"/>
        <w:tabs>
          <w:tab w:leader="none" w:pos="760" w:val="left"/>
        </w:tabs>
        <w:numPr>
          <w:ilvl w:val="1"/>
          <w:numId w:val="41"/>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Security Transactions, Revenue Recognition, and Realized/Unrealized Gains or Losses</w:t>
      </w:r>
    </w:p>
    <w:p>
      <w:pPr>
        <w:spacing w:after="0" w:line="134" w:lineRule="exact"/>
        <w:rPr>
          <w:sz w:val="20"/>
          <w:szCs w:val="20"/>
          <w:color w:val="auto"/>
        </w:rPr>
      </w:pPr>
    </w:p>
    <w:p>
      <w:pPr>
        <w:ind w:right="80" w:firstLine="562"/>
        <w:spacing w:after="0" w:line="250" w:lineRule="auto"/>
        <w:rPr>
          <w:sz w:val="20"/>
          <w:szCs w:val="20"/>
          <w:color w:val="auto"/>
        </w:rPr>
      </w:pPr>
      <w:r>
        <w:rPr>
          <w:rFonts w:ascii="Arial" w:cs="Arial" w:eastAsia="Arial" w:hAnsi="Arial"/>
          <w:sz w:val="13"/>
          <w:szCs w:val="13"/>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our portfolio investments and Credit Facility values during the reporting period, including any reversal of previously recorded unrealized appreciation or depreciation, when gains or losses are realized.</w:t>
      </w:r>
    </w:p>
    <w:p>
      <w:pPr>
        <w:spacing w:after="0" w:line="106" w:lineRule="exact"/>
        <w:rPr>
          <w:sz w:val="20"/>
          <w:szCs w:val="20"/>
          <w:color w:val="auto"/>
        </w:rPr>
      </w:pPr>
    </w:p>
    <w:p>
      <w:pPr>
        <w:ind w:right="20" w:firstLine="562"/>
        <w:spacing w:after="0" w:line="247"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market discount or premium are capitalized and then accreted or amortized using the effective interest method as interest income. We record prepayment penalties on loans and debt investments as income. Dividend income, if any, is recognized on an accrual basis on the ex-dividend date to the extent that we expect to collect such amounts.</w:t>
      </w:r>
    </w:p>
    <w:p>
      <w:pPr>
        <w:spacing w:after="0" w:line="108" w:lineRule="exact"/>
        <w:rPr>
          <w:sz w:val="20"/>
          <w:szCs w:val="20"/>
          <w:color w:val="auto"/>
        </w:rPr>
      </w:pPr>
    </w:p>
    <w:p>
      <w:pPr>
        <w:ind w:right="20" w:firstLine="562"/>
        <w:spacing w:after="0" w:line="288" w:lineRule="auto"/>
        <w:rPr>
          <w:sz w:val="20"/>
          <w:szCs w:val="20"/>
          <w:color w:val="auto"/>
        </w:rPr>
      </w:pPr>
      <w:r>
        <w:rPr>
          <w:rFonts w:ascii="Arial" w:cs="Arial" w:eastAsia="Arial" w:hAnsi="Arial"/>
          <w:sz w:val="12"/>
          <w:szCs w:val="12"/>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65</w:t>
      </w:r>
    </w:p>
    <w:p>
      <w:pPr>
        <w:sectPr>
          <w:pgSz w:w="11900" w:h="16838" w:orient="portrait"/>
          <w:cols w:equalWidth="0" w:num="1">
            <w:col w:w="11200"/>
          </w:cols>
          <w:pgMar w:left="320" w:top="459" w:right="3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jc w:val="center"/>
        <w:spacing w:after="0"/>
        <w:rPr>
          <w:sz w:val="20"/>
          <w:szCs w:val="20"/>
          <w:color w:val="auto"/>
        </w:rPr>
      </w:pPr>
      <w:r>
        <w:rPr>
          <w:rFonts w:ascii="Arial" w:cs="Arial" w:eastAsia="Arial" w:hAnsi="Arial"/>
          <w:sz w:val="13"/>
          <w:szCs w:val="13"/>
          <w:b w:val="1"/>
          <w:bCs w:val="1"/>
          <w:color w:val="auto"/>
        </w:rPr>
        <w:t>SEPTEMBER 30, 2012</w:t>
      </w:r>
    </w:p>
    <w:p>
      <w:pPr>
        <w:spacing w:after="0" w:line="136"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(c) Income Taxes</w:t>
      </w:r>
    </w:p>
    <w:p>
      <w:pPr>
        <w:spacing w:after="0" w:line="134" w:lineRule="exact"/>
        <w:rPr>
          <w:sz w:val="20"/>
          <w:szCs w:val="20"/>
          <w:color w:val="auto"/>
        </w:rPr>
      </w:pPr>
    </w:p>
    <w:p>
      <w:pPr>
        <w:ind w:firstLine="562"/>
        <w:spacing w:after="0" w:line="268" w:lineRule="auto"/>
        <w:rPr>
          <w:sz w:val="20"/>
          <w:szCs w:val="20"/>
          <w:color w:val="auto"/>
        </w:rPr>
      </w:pPr>
      <w:r>
        <w:rPr>
          <w:rFonts w:ascii="Arial" w:cs="Arial" w:eastAsia="Arial" w:hAnsi="Arial"/>
          <w:sz w:val="12"/>
          <w:szCs w:val="12"/>
          <w:color w:val="auto"/>
        </w:rPr>
        <w:t>Since March 2011, PennantPark Floating Rate Capital Ltd. has complied with the requirements of Subchapter M of the Internal Revenue Code of 1986, as amended, or the Code, and has elected to be treated as a regulated investment company, or RIC. As a result, PennantPark Floating Rate Capital Ltd. accounts for income taxes using the asset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our election to be subject to tax as a RIC, we do not anticipate paying any material level of federal income taxes in the future. We recognize in our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expect to file federal and state tax returns, our major tax jurisdiction is federal. Our tax return for our federal tax year 2011 remain subject to examination by the Internal Revenue Service.</w:t>
      </w:r>
    </w:p>
    <w:p>
      <w:pPr>
        <w:spacing w:after="0" w:line="96" w:lineRule="exact"/>
        <w:rPr>
          <w:sz w:val="20"/>
          <w:szCs w:val="20"/>
          <w:color w:val="auto"/>
        </w:rPr>
      </w:pPr>
    </w:p>
    <w:p>
      <w:pPr>
        <w:ind w:right="420" w:firstLine="562"/>
        <w:spacing w:after="0" w:line="256" w:lineRule="auto"/>
        <w:rPr>
          <w:sz w:val="20"/>
          <w:szCs w:val="20"/>
          <w:color w:val="auto"/>
        </w:rPr>
      </w:pPr>
      <w:r>
        <w:rPr>
          <w:rFonts w:ascii="Arial" w:cs="Arial" w:eastAsia="Arial" w:hAnsi="Arial"/>
          <w:sz w:val="13"/>
          <w:szCs w:val="13"/>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02"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(d) Dividends, Distributions, and Capital Transactions</w:t>
      </w:r>
    </w:p>
    <w:p>
      <w:pPr>
        <w:spacing w:after="0" w:line="134" w:lineRule="exact"/>
        <w:rPr>
          <w:sz w:val="20"/>
          <w:szCs w:val="20"/>
          <w:color w:val="auto"/>
        </w:rPr>
      </w:pPr>
    </w:p>
    <w:p>
      <w:pPr>
        <w:ind w:right="160" w:firstLine="562"/>
        <w:spacing w:after="0" w:line="274" w:lineRule="auto"/>
        <w:rPr>
          <w:sz w:val="20"/>
          <w:szCs w:val="20"/>
          <w:color w:val="auto"/>
        </w:rPr>
      </w:pPr>
      <w:r>
        <w:rPr>
          <w:rFonts w:ascii="Arial" w:cs="Arial" w:eastAsia="Arial" w:hAnsi="Arial"/>
          <w:sz w:val="13"/>
          <w:szCs w:val="13"/>
          <w:color w:val="auto"/>
        </w:rPr>
        <w:t>Dividends and distributions to common stockholders are recorded on the ex-dividend date. The amount, if any, to be paid as a dividend or distribution is determined by the board of directors each month and is generally based upon the earnings estimated by management. Net realized capital gains, if any, are distributed at least annually.</w:t>
      </w:r>
    </w:p>
    <w:p>
      <w:pPr>
        <w:spacing w:after="0" w:line="91" w:lineRule="exact"/>
        <w:rPr>
          <w:sz w:val="20"/>
          <w:szCs w:val="20"/>
          <w:color w:val="auto"/>
        </w:rPr>
      </w:pPr>
    </w:p>
    <w:p>
      <w:pPr>
        <w:ind w:right="100" w:firstLine="562"/>
        <w:spacing w:after="0" w:line="274" w:lineRule="auto"/>
        <w:rPr>
          <w:sz w:val="20"/>
          <w:szCs w:val="20"/>
          <w:color w:val="auto"/>
        </w:rPr>
      </w:pPr>
      <w:r>
        <w:rPr>
          <w:rFonts w:ascii="Arial" w:cs="Arial" w:eastAsia="Arial" w:hAnsi="Arial"/>
          <w:sz w:val="13"/>
          <w:szCs w:val="13"/>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91"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(e) Consolidation</w:t>
      </w:r>
    </w:p>
    <w:p>
      <w:pPr>
        <w:spacing w:after="0" w:line="134" w:lineRule="exact"/>
        <w:rPr>
          <w:sz w:val="20"/>
          <w:szCs w:val="20"/>
          <w:color w:val="auto"/>
        </w:rPr>
      </w:pPr>
    </w:p>
    <w:p>
      <w:pPr>
        <w:ind w:right="40" w:firstLine="562"/>
        <w:spacing w:after="0" w:line="256" w:lineRule="auto"/>
        <w:rPr>
          <w:sz w:val="20"/>
          <w:szCs w:val="20"/>
          <w:color w:val="auto"/>
        </w:rPr>
      </w:pPr>
      <w:r>
        <w:rPr>
          <w:rFonts w:ascii="Arial" w:cs="Arial" w:eastAsia="Arial" w:hAnsi="Arial"/>
          <w:sz w:val="13"/>
          <w:szCs w:val="13"/>
          <w:color w:val="auto"/>
        </w:rPr>
        <w:t>As permitted under Regulation S-X and the American Institute of Certified Public Accountants Audit and Accounting Guide for Investment Companies, PennantPark Floating Rate Capital Ltd. will generally not consolidate its investment in a company other than an investment company subsidiary or a controlled operating company whose business consists of providing services to us. Accordingly, we have consolidated the results of Funding I in our Consolidated Financial Statements.</w:t>
      </w:r>
    </w:p>
    <w:p>
      <w:pPr>
        <w:spacing w:after="0" w:line="102"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(f) Asset Transfers and Servicing</w:t>
      </w:r>
    </w:p>
    <w:p>
      <w:pPr>
        <w:spacing w:after="0" w:line="134" w:lineRule="exact"/>
        <w:rPr>
          <w:sz w:val="20"/>
          <w:szCs w:val="20"/>
          <w:color w:val="auto"/>
        </w:rPr>
      </w:pPr>
    </w:p>
    <w:p>
      <w:pPr>
        <w:ind w:left="560"/>
        <w:spacing w:after="0"/>
        <w:rPr>
          <w:sz w:val="20"/>
          <w:szCs w:val="20"/>
          <w:color w:val="auto"/>
        </w:rPr>
      </w:pPr>
      <w:r>
        <w:rPr>
          <w:rFonts w:ascii="Arial" w:cs="Arial" w:eastAsia="Arial" w:hAnsi="Arial"/>
          <w:sz w:val="12"/>
          <w:szCs w:val="12"/>
          <w:color w:val="auto"/>
        </w:rPr>
        <w:t>Asset transfers that do not meet ASC 860, Transfers and Servicing, requirements for sale accounting treatment are reflected in the Consolidated Statement of Assets and Liabilities as investments.</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The creditors of Funding I have received a security interest in any its assets and are not intended to be available to the creditors of PennantPark Floating Rate Capital Ltd. (or any affiliate of the Company).</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 AGREEMENTS</w:t>
      </w:r>
    </w:p>
    <w:p>
      <w:pPr>
        <w:spacing w:after="0" w:line="136" w:lineRule="exact"/>
        <w:rPr>
          <w:sz w:val="20"/>
          <w:szCs w:val="20"/>
          <w:color w:val="auto"/>
        </w:rPr>
      </w:pPr>
    </w:p>
    <w:p>
      <w:pPr>
        <w:ind w:right="100" w:firstLine="562"/>
        <w:spacing w:after="0" w:line="247" w:lineRule="auto"/>
        <w:rPr>
          <w:sz w:val="20"/>
          <w:szCs w:val="20"/>
          <w:color w:val="auto"/>
        </w:rPr>
      </w:pPr>
      <w:r>
        <w:rPr>
          <w:rFonts w:ascii="Arial" w:cs="Arial" w:eastAsia="Arial" w:hAnsi="Arial"/>
          <w:sz w:val="13"/>
          <w:szCs w:val="13"/>
          <w:color w:val="auto"/>
        </w:rPr>
        <w:t>The Investment Management Agreement with the Investment Adviser was approved by our board of directors, including a majority of our independent directors, in March 2011. Under this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all management fees owing with respect to such services are to be paid to the Company so long as the Investment Adviser remains the collateral manager. This arrangement does not increase our consolidated management fee. For providing these services, the Investment Adviser receives a fee from us consisting of two components—a base management fee and an incentive fee.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66</w:t>
      </w:r>
    </w:p>
    <w:p>
      <w:pPr>
        <w:sectPr>
          <w:pgSz w:w="11900" w:h="16838" w:orient="portrait"/>
          <w:cols w:equalWidth="0" w:num="1">
            <w:col w:w="11240"/>
          </w:cols>
          <w:pgMar w:left="320" w:top="459" w:right="3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w:t>
      </w:r>
    </w:p>
    <w:p>
      <w:pPr>
        <w:jc w:val="center"/>
        <w:ind w:right="-19"/>
        <w:spacing w:after="0"/>
        <w:rPr>
          <w:sz w:val="20"/>
          <w:szCs w:val="20"/>
          <w:color w:val="auto"/>
        </w:rPr>
      </w:pPr>
      <w:r>
        <w:rPr>
          <w:rFonts w:ascii="Arial" w:cs="Arial" w:eastAsia="Arial" w:hAnsi="Arial"/>
          <w:sz w:val="13"/>
          <w:szCs w:val="13"/>
          <w:b w:val="1"/>
          <w:bCs w:val="1"/>
          <w:color w:val="auto"/>
        </w:rPr>
        <w:t>SEPTEMBER 30, 2012</w:t>
      </w:r>
    </w:p>
    <w:p>
      <w:pPr>
        <w:spacing w:after="0" w:line="136" w:lineRule="exact"/>
        <w:rPr>
          <w:sz w:val="20"/>
          <w:szCs w:val="20"/>
          <w:color w:val="auto"/>
        </w:rPr>
      </w:pPr>
    </w:p>
    <w:p>
      <w:pPr>
        <w:ind w:firstLine="562"/>
        <w:spacing w:after="0" w:line="244" w:lineRule="auto"/>
        <w:rPr>
          <w:sz w:val="20"/>
          <w:szCs w:val="20"/>
          <w:color w:val="auto"/>
        </w:rPr>
      </w:pPr>
      <w:r>
        <w:rPr>
          <w:rFonts w:ascii="Arial" w:cs="Arial" w:eastAsia="Arial" w:hAnsi="Arial"/>
          <w:sz w:val="13"/>
          <w:szCs w:val="13"/>
          <w:color w:val="auto"/>
        </w:rPr>
        <w:t>The base management fee is calculated at an annual rate of 1.00% of our gross assets (net of U.S. Treasury Bills, temporary draws under any Credit Facility, repurchase agreements or other balance sheet transactions undertaken at the end of a fiscal quarter for purposes of preserving investment flexibility for the next quarter, or “average adjusted gross assets,” if any) and is payable quarterly in arrears. The base management fee is calculated based on the average value of our average adjusted gross total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Base management fees for any partial month or quarter are appropriately pro-rated. For the fiscal year ended September 30, 2012, and for the period March 4, 2011 (commencement of operations) to September 30, 2011, the Investment Adviser earned base management fees of $1.5 million and $0.4 million, respectively, from us.</w:t>
      </w:r>
    </w:p>
    <w:p>
      <w:pPr>
        <w:spacing w:after="0" w:line="11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incentive fee has two parts, as follows:</w:t>
      </w:r>
    </w:p>
    <w:p>
      <w:pPr>
        <w:spacing w:after="0" w:line="134" w:lineRule="exact"/>
        <w:rPr>
          <w:sz w:val="20"/>
          <w:szCs w:val="20"/>
          <w:color w:val="auto"/>
        </w:rPr>
      </w:pPr>
    </w:p>
    <w:p>
      <w:pPr>
        <w:ind w:firstLine="562"/>
        <w:spacing w:after="0" w:line="263" w:lineRule="auto"/>
        <w:rPr>
          <w:sz w:val="20"/>
          <w:szCs w:val="20"/>
          <w:color w:val="auto"/>
        </w:rPr>
      </w:pPr>
      <w:r>
        <w:rPr>
          <w:rFonts w:ascii="Arial" w:cs="Arial" w:eastAsia="Arial" w:hAnsi="Arial"/>
          <w:sz w:val="12"/>
          <w:szCs w:val="12"/>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on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and (3) 20% of the amount of our Pre-Incentive Fee Net Investment Income, if any, that exceeds 2.9167% in any calendar quarter. These calculations are pro-rated for any share issuances or repurchases during the relevant quarter. The performance based incentive fee on net investment income due to our Investment Adviser as calculated under the Investment Management Agreement (as described above) for the year ended September 30, 2012 resulted in an accrual of $0.3 million. For the period March 4, 2011 (commencement of operations) to September 30, 2011, the Investment Adviser earned no performance based incentive fee on net investment income from us.</w:t>
      </w:r>
    </w:p>
    <w:p>
      <w:pPr>
        <w:spacing w:after="0" w:line="100" w:lineRule="exact"/>
        <w:rPr>
          <w:sz w:val="20"/>
          <w:szCs w:val="20"/>
          <w:color w:val="auto"/>
        </w:rPr>
      </w:pPr>
    </w:p>
    <w:p>
      <w:pPr>
        <w:ind w:right="100" w:firstLine="562"/>
        <w:spacing w:after="0" w:line="247" w:lineRule="auto"/>
        <w:rPr>
          <w:sz w:val="20"/>
          <w:szCs w:val="20"/>
          <w:color w:val="auto"/>
        </w:rPr>
      </w:pPr>
      <w:r>
        <w:rPr>
          <w:rFonts w:ascii="Arial" w:cs="Arial" w:eastAsia="Arial" w:hAnsi="Arial"/>
          <w:sz w:val="13"/>
          <w:szCs w:val="13"/>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commencement of operations through the end of each calendar year, computed net of all realized capital losses and unrealized capital depreciation on a cumulative basis, less the aggregate amount of any previously paid capital gain incentive fees, from our inception. The performance-based incentive fee on capital gains due to our Investment Adviser as calculated under the Investment Management Agreement (as described above) for the year ended September 30, 2012, and for the period March 4, 2011 (commencement of operations) to September 30, 2011, resulted in no accruals.</w:t>
      </w:r>
    </w:p>
    <w:p>
      <w:pPr>
        <w:spacing w:after="0" w:line="108" w:lineRule="exact"/>
        <w:rPr>
          <w:sz w:val="20"/>
          <w:szCs w:val="20"/>
          <w:color w:val="auto"/>
        </w:rPr>
      </w:pPr>
    </w:p>
    <w:p>
      <w:pPr>
        <w:ind w:right="20" w:firstLine="562"/>
        <w:spacing w:after="0" w:line="266" w:lineRule="auto"/>
        <w:rPr>
          <w:sz w:val="20"/>
          <w:szCs w:val="20"/>
          <w:color w:val="auto"/>
        </w:rPr>
      </w:pPr>
      <w:r>
        <w:rPr>
          <w:rFonts w:ascii="Arial" w:cs="Arial" w:eastAsia="Arial" w:hAnsi="Arial"/>
          <w:sz w:val="12"/>
          <w:szCs w:val="12"/>
          <w:color w:val="auto"/>
        </w:rPr>
        <w:t>Under U.S. generally accepted accounting principles, or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20.0% of such amount, less the aggregate amount of actual capital gains related incentive fees paid in all prior years. If such amount is negative, then there is no accrual for such year. There can be no assurance that such unrealized capital appreciation will be realized in the future. The performance based incentive fee on our unrealized and realized capital gains due to our Investment Adviser for the year ended September 30, 2012 resulted in an accrual of $0.3 million. For the period March 4, 2011 (commencement of operations) to September 30, 2011, our unrealized and realized capital gains did not exceed our cumulative realized and unrealized losses and resulted in no accrual under GAAP.</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67</w:t>
      </w:r>
    </w:p>
    <w:p>
      <w:pPr>
        <w:sectPr>
          <w:pgSz w:w="11900" w:h="16838" w:orient="portrait"/>
          <w:cols w:equalWidth="0" w:num="1">
            <w:col w:w="11220"/>
          </w:cols>
          <w:pgMar w:left="320" w:top="459" w:right="3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NOTES TO CONSOLIDATED FINANCIAL STATEMENTS</w:t>
      </w:r>
    </w:p>
    <w:p>
      <w:pPr>
        <w:jc w:val="center"/>
        <w:ind w:right="-59"/>
        <w:spacing w:after="0"/>
        <w:rPr>
          <w:sz w:val="20"/>
          <w:szCs w:val="20"/>
          <w:color w:val="auto"/>
        </w:rPr>
      </w:pPr>
      <w:r>
        <w:rPr>
          <w:rFonts w:ascii="Arial" w:cs="Arial" w:eastAsia="Arial" w:hAnsi="Arial"/>
          <w:sz w:val="13"/>
          <w:szCs w:val="13"/>
          <w:b w:val="1"/>
          <w:bCs w:val="1"/>
          <w:color w:val="auto"/>
        </w:rPr>
        <w:t>SEPTEMBER 30, 2012</w:t>
      </w:r>
    </w:p>
    <w:p>
      <w:pPr>
        <w:spacing w:after="0" w:line="136" w:lineRule="exact"/>
        <w:rPr>
          <w:sz w:val="20"/>
          <w:szCs w:val="20"/>
          <w:color w:val="auto"/>
        </w:rPr>
      </w:pPr>
    </w:p>
    <w:p>
      <w:pPr>
        <w:ind w:right="20" w:firstLine="562"/>
        <w:spacing w:after="0" w:line="266" w:lineRule="auto"/>
        <w:rPr>
          <w:sz w:val="20"/>
          <w:szCs w:val="20"/>
          <w:color w:val="auto"/>
        </w:rPr>
      </w:pPr>
      <w:r>
        <w:rPr>
          <w:rFonts w:ascii="Arial" w:cs="Arial" w:eastAsia="Arial" w:hAnsi="Arial"/>
          <w:sz w:val="12"/>
          <w:szCs w:val="12"/>
          <w:color w:val="auto"/>
        </w:rPr>
        <w:t>We entered into the Administration Agreement with the Administrator which was approved by our board of directors, including a majority of the independent directors, in March 2011. Under this agreement, the Administrator provides administration services and office facilities to us. For providing these services, facilities and personnel,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The Administrator also offers, on our behalf, managerial assistance to portfolio companies to which we are required to offer such assistance. Reimbursement for certain of these costs is included in administrative services expenses in the Consolidated Statement of Operations. For the year ended September 30, 2012, the Investment Adviser and Administrator, collectively, were reimbursed approximately $0.2 million, from us, including expenses incurred by the Investment Adviser on behalf of the Administrator, for the services described above. For the period March 4, 2011 (commencement of operations) to September 30, 2011, the Investment Adviser and Administrator, collectively, were reimbursed approximately $0.1 million from us, including expenses it incurred on behalf of the Administrator, for services described above.</w:t>
      </w:r>
    </w:p>
    <w:p>
      <w:pPr>
        <w:spacing w:after="0" w:line="99" w:lineRule="exact"/>
        <w:rPr>
          <w:sz w:val="20"/>
          <w:szCs w:val="20"/>
          <w:color w:val="auto"/>
        </w:rPr>
      </w:pPr>
    </w:p>
    <w:p>
      <w:pPr>
        <w:ind w:firstLine="562"/>
        <w:spacing w:after="0" w:line="266" w:lineRule="auto"/>
        <w:rPr>
          <w:sz w:val="20"/>
          <w:szCs w:val="20"/>
          <w:color w:val="auto"/>
        </w:rPr>
      </w:pPr>
      <w:r>
        <w:rPr>
          <w:rFonts w:ascii="Arial" w:cs="Arial" w:eastAsia="Arial" w:hAnsi="Arial"/>
          <w:sz w:val="12"/>
          <w:szCs w:val="12"/>
          <w:color w:val="auto"/>
        </w:rPr>
        <w:t>In connection with our initial public offering, the Investment Adviser paid to the underwriters 2% of the sales load, or $2.1 million in the aggregate, with respect to the offering of shares of our common stock. We (and indirectly our stockholders) will be obligated to repay this amount (a) if during any four consecutive calendar quarter-periods ending on or after April 13, 2012 our Pre-Incentive Fee Net Investment Income equals or exceeds 1.75% (7.0% annualized) of our net assets at the beginning of such period (as adjusted for any issuances or repurchases of shares of our common stock) or (b) upon our liquidation. If one or more of these events does not occur on or before April 7, 2014, we will not be obligated to repay this amount. We will repay such amount to the Investment Adviser in cash, and the Investment Adviser has agreed to use such payment to purchase shares of our common stock in the secondary market. In connection with the sales load paid by the Investment Adviser more fully described above and based on actual returns as of September 30, 2012, as well as the likelihood of future activity that may generate additional returns, management determined that the 7.0% return on Pre-Incentive Fee Net Investment Income for four consecutive calendar quarter periods was probable. Accordingly, we recorded a liability for this $2.1 million of accrued sales load charges. Management continues to assess performance to determine whether the 7.0% return on Pre-Incentive Fee Net Investment Income will continue to be probable.</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4. INVESTMENTS</w:t>
      </w:r>
    </w:p>
    <w:p>
      <w:pPr>
        <w:spacing w:after="0" w:line="136"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Purchases of long-term investments, including PIK, for the year ended September 30, 2012 totaled $128.8 million. Sales and repayments of long-term investments for the year ended</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September 30, 2012 totaled $71.5 million. Purchases of long-term investments, including PIK, for the period March 4, 2011 (commencement of operations) to September 30, 2011, totaled $147.5 million.</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Sales and repayments for the same period totaled $33.2 million.</w:t>
      </w:r>
    </w:p>
    <w:p>
      <w:pPr>
        <w:spacing w:after="0" w:line="122"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060" w:type="dxa"/>
            <w:vAlign w:val="bottom"/>
            <w:gridSpan w:val="2"/>
          </w:tcPr>
          <w:p>
            <w:pPr>
              <w:ind w:left="660"/>
              <w:spacing w:after="0"/>
              <w:rPr>
                <w:sz w:val="20"/>
                <w:szCs w:val="20"/>
                <w:color w:val="auto"/>
              </w:rPr>
            </w:pPr>
            <w:r>
              <w:rPr>
                <w:rFonts w:ascii="Arial" w:cs="Arial" w:eastAsia="Arial" w:hAnsi="Arial"/>
                <w:sz w:val="13"/>
                <w:szCs w:val="13"/>
                <w:color w:val="auto"/>
                <w:w w:val="97"/>
              </w:rPr>
              <w:t>Investments and cash equivalents consisted of the following:</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408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Investment Classification</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gridSpan w:val="4"/>
          </w:tcPr>
          <w:p>
            <w:pPr>
              <w:jc w:val="right"/>
              <w:ind w:right="733"/>
              <w:spacing w:after="0"/>
              <w:rPr>
                <w:sz w:val="20"/>
                <w:szCs w:val="20"/>
                <w:color w:val="auto"/>
              </w:rPr>
            </w:pPr>
            <w:r>
              <w:rPr>
                <w:rFonts w:ascii="Arial" w:cs="Arial" w:eastAsia="Arial" w:hAnsi="Arial"/>
                <w:sz w:val="13"/>
                <w:szCs w:val="13"/>
                <w:b w:val="1"/>
                <w:bCs w:val="1"/>
                <w:color w:val="auto"/>
              </w:rPr>
              <w:t>September 30, 2012</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0" w:type="dxa"/>
            <w:vAlign w:val="bottom"/>
            <w:gridSpan w:val="5"/>
          </w:tcPr>
          <w:p>
            <w:pPr>
              <w:ind w:left="580"/>
              <w:spacing w:after="0"/>
              <w:rPr>
                <w:sz w:val="20"/>
                <w:szCs w:val="20"/>
                <w:color w:val="auto"/>
              </w:rPr>
            </w:pPr>
            <w:r>
              <w:rPr>
                <w:rFonts w:ascii="Arial" w:cs="Arial" w:eastAsia="Arial" w:hAnsi="Arial"/>
                <w:sz w:val="13"/>
                <w:szCs w:val="13"/>
                <w:b w:val="1"/>
                <w:bCs w:val="1"/>
                <w:color w:val="auto"/>
              </w:rPr>
              <w:t>September 30, 2011</w:t>
            </w:r>
          </w:p>
        </w:tc>
        <w:tc>
          <w:tcPr>
            <w:tcW w:w="0" w:type="dxa"/>
            <w:vAlign w:val="bottom"/>
          </w:tcPr>
          <w:p>
            <w:pPr>
              <w:spacing w:after="0"/>
              <w:rPr>
                <w:sz w:val="1"/>
                <w:szCs w:val="1"/>
                <w:color w:val="auto"/>
              </w:rPr>
            </w:pPr>
          </w:p>
        </w:tc>
      </w:tr>
      <w:tr>
        <w:trPr>
          <w:trHeight w:val="142"/>
        </w:trPr>
        <w:tc>
          <w:tcPr>
            <w:tcW w:w="40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333"/>
              <w:spacing w:after="0" w:line="142" w:lineRule="exact"/>
              <w:rPr>
                <w:sz w:val="20"/>
                <w:szCs w:val="20"/>
                <w:color w:val="auto"/>
              </w:rPr>
            </w:pPr>
            <w:r>
              <w:rPr>
                <w:rFonts w:ascii="Arial" w:cs="Arial" w:eastAsia="Arial" w:hAnsi="Arial"/>
                <w:sz w:val="13"/>
                <w:szCs w:val="13"/>
                <w:b w:val="1"/>
                <w:bCs w:val="1"/>
                <w:color w:val="auto"/>
              </w:rPr>
              <w:t>Cost</w:t>
            </w:r>
          </w:p>
        </w:tc>
        <w:tc>
          <w:tcPr>
            <w:tcW w:w="5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3"/>
                <w:szCs w:val="13"/>
                <w:b w:val="1"/>
                <w:bCs w:val="1"/>
                <w:color w:val="auto"/>
              </w:rPr>
              <w:t>Fair Value</w:t>
            </w:r>
          </w:p>
        </w:tc>
        <w:tc>
          <w:tcPr>
            <w:tcW w:w="6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333"/>
              <w:spacing w:after="0" w:line="142" w:lineRule="exact"/>
              <w:rPr>
                <w:sz w:val="20"/>
                <w:szCs w:val="20"/>
                <w:color w:val="auto"/>
              </w:rPr>
            </w:pPr>
            <w:r>
              <w:rPr>
                <w:rFonts w:ascii="Arial" w:cs="Arial" w:eastAsia="Arial" w:hAnsi="Arial"/>
                <w:sz w:val="13"/>
                <w:szCs w:val="13"/>
                <w:b w:val="1"/>
                <w:bCs w:val="1"/>
                <w:color w:val="auto"/>
              </w:rPr>
              <w:t>Cost</w:t>
            </w:r>
          </w:p>
        </w:tc>
        <w:tc>
          <w:tcPr>
            <w:tcW w:w="6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3"/>
                <w:szCs w:val="13"/>
                <w:b w:val="1"/>
                <w:bCs w:val="1"/>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First lien</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150,258,038</w:t>
            </w:r>
          </w:p>
        </w:tc>
        <w:tc>
          <w:tcPr>
            <w:tcW w:w="5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150,209,747</w:t>
            </w:r>
          </w:p>
        </w:tc>
        <w:tc>
          <w:tcPr>
            <w:tcW w:w="6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94,975,314</w:t>
            </w:r>
          </w:p>
        </w:tc>
        <w:tc>
          <w:tcPr>
            <w:tcW w:w="6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91,363,126</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60" w:type="dxa"/>
            <w:vAlign w:val="bottom"/>
            <w:gridSpan w:val="2"/>
          </w:tcPr>
          <w:p>
            <w:pPr>
              <w:spacing w:after="0"/>
              <w:rPr>
                <w:sz w:val="20"/>
                <w:szCs w:val="20"/>
                <w:color w:val="auto"/>
              </w:rPr>
            </w:pPr>
            <w:r>
              <w:rPr>
                <w:rFonts w:ascii="Arial" w:cs="Arial" w:eastAsia="Arial" w:hAnsi="Arial"/>
                <w:sz w:val="13"/>
                <w:szCs w:val="13"/>
                <w:color w:val="auto"/>
              </w:rPr>
              <w:t>Second lien</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11,608,643</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12,025,500</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12,379,445</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12,255,000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Subordinated debt / corporate notes</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9,194,181</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8,296,719</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7,374,862</w:t>
            </w: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7,004,130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060" w:type="dxa"/>
            <w:vAlign w:val="bottom"/>
            <w:gridSpan w:val="2"/>
          </w:tcPr>
          <w:p>
            <w:pPr>
              <w:spacing w:after="0"/>
              <w:rPr>
                <w:sz w:val="20"/>
                <w:szCs w:val="20"/>
                <w:color w:val="auto"/>
              </w:rPr>
            </w:pPr>
            <w:r>
              <w:rPr>
                <w:rFonts w:ascii="Arial" w:cs="Arial" w:eastAsia="Arial" w:hAnsi="Arial"/>
                <w:sz w:val="13"/>
                <w:szCs w:val="13"/>
                <w:color w:val="auto"/>
              </w:rPr>
              <w:t>Preferred and common equity</w:t>
            </w:r>
          </w:p>
        </w:tc>
        <w:tc>
          <w:tcPr>
            <w:tcW w:w="1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517,147</w:t>
            </w:r>
          </w:p>
        </w:tc>
        <w:tc>
          <w:tcPr>
            <w:tcW w:w="5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1,302,434</w:t>
            </w:r>
          </w:p>
        </w:tc>
        <w:tc>
          <w:tcPr>
            <w:tcW w:w="6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100,000</w:t>
            </w:r>
          </w:p>
        </w:tc>
        <w:tc>
          <w:tcPr>
            <w:tcW w:w="6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101,985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investments</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171,578,009</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171,834,400</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114,829,621</w:t>
            </w: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110,724,241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60" w:type="dxa"/>
            <w:vAlign w:val="bottom"/>
            <w:gridSpan w:val="2"/>
          </w:tcPr>
          <w:p>
            <w:pPr>
              <w:spacing w:after="0"/>
              <w:rPr>
                <w:sz w:val="20"/>
                <w:szCs w:val="20"/>
                <w:color w:val="auto"/>
              </w:rPr>
            </w:pPr>
            <w:r>
              <w:rPr>
                <w:rFonts w:ascii="Arial" w:cs="Arial" w:eastAsia="Arial" w:hAnsi="Arial"/>
                <w:sz w:val="13"/>
                <w:szCs w:val="13"/>
                <w:color w:val="auto"/>
              </w:rPr>
              <w:t>Cash equivalents</w:t>
            </w:r>
          </w:p>
        </w:tc>
        <w:tc>
          <w:tcPr>
            <w:tcW w:w="1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3,845,803</w:t>
            </w:r>
          </w:p>
        </w:tc>
        <w:tc>
          <w:tcPr>
            <w:tcW w:w="5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3,845,803</w:t>
            </w:r>
          </w:p>
        </w:tc>
        <w:tc>
          <w:tcPr>
            <w:tcW w:w="6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6,987,450</w:t>
            </w:r>
          </w:p>
        </w:tc>
        <w:tc>
          <w:tcPr>
            <w:tcW w:w="6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6,987,450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investments and cash equivalents</w:t>
            </w:r>
          </w:p>
        </w:tc>
        <w:tc>
          <w:tcPr>
            <w:tcW w:w="360" w:type="dxa"/>
            <w:vAlign w:val="bottom"/>
            <w:gridSpan w:val="2"/>
            <w:shd w:val="clear" w:color="auto" w:fill="CCEEFF"/>
          </w:tcPr>
          <w:p>
            <w:pPr>
              <w:jc w:val="right"/>
              <w:ind w:right="109"/>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175,423,812</w:t>
            </w:r>
          </w:p>
        </w:tc>
        <w:tc>
          <w:tcPr>
            <w:tcW w:w="720" w:type="dxa"/>
            <w:vAlign w:val="bottom"/>
            <w:gridSpan w:val="2"/>
            <w:shd w:val="clear" w:color="auto" w:fill="CCEEFF"/>
          </w:tcPr>
          <w:p>
            <w:pPr>
              <w:jc w:val="right"/>
              <w:ind w:right="29"/>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175,680,203</w:t>
            </w:r>
          </w:p>
        </w:tc>
        <w:tc>
          <w:tcPr>
            <w:tcW w:w="820" w:type="dxa"/>
            <w:vAlign w:val="bottom"/>
            <w:gridSpan w:val="2"/>
            <w:shd w:val="clear" w:color="auto" w:fill="CCEEFF"/>
          </w:tcPr>
          <w:p>
            <w:pPr>
              <w:jc w:val="right"/>
              <w:ind w:right="109"/>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121,817,071</w:t>
            </w:r>
          </w:p>
        </w:tc>
        <w:tc>
          <w:tcPr>
            <w:tcW w:w="740" w:type="dxa"/>
            <w:vAlign w:val="bottom"/>
            <w:gridSpan w:val="2"/>
            <w:shd w:val="clear" w:color="auto" w:fill="CCEEFF"/>
          </w:tcPr>
          <w:p>
            <w:pPr>
              <w:jc w:val="right"/>
              <w:ind w:right="29"/>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117,711,691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68</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459" w:right="3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9"/>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jc w:val="center"/>
        <w:ind w:right="-399"/>
        <w:spacing w:after="0"/>
        <w:rPr>
          <w:sz w:val="20"/>
          <w:szCs w:val="20"/>
          <w:color w:val="auto"/>
        </w:rPr>
      </w:pPr>
      <w:r>
        <w:rPr>
          <w:rFonts w:ascii="Arial" w:cs="Arial" w:eastAsia="Arial" w:hAnsi="Arial"/>
          <w:sz w:val="13"/>
          <w:szCs w:val="13"/>
          <w:b w:val="1"/>
          <w:bCs w:val="1"/>
          <w:color w:val="auto"/>
        </w:rPr>
        <w:t>NOTES TO CONSOLIDATED FINANCIAL STATEMENTS</w:t>
      </w:r>
    </w:p>
    <w:p>
      <w:pPr>
        <w:jc w:val="center"/>
        <w:ind w:right="-399"/>
        <w:spacing w:after="0"/>
        <w:rPr>
          <w:sz w:val="20"/>
          <w:szCs w:val="20"/>
          <w:color w:val="auto"/>
        </w:rPr>
      </w:pPr>
      <w:r>
        <w:rPr>
          <w:rFonts w:ascii="Arial" w:cs="Arial" w:eastAsia="Arial" w:hAnsi="Arial"/>
          <w:sz w:val="13"/>
          <w:szCs w:val="13"/>
          <w:b w:val="1"/>
          <w:bCs w:val="1"/>
          <w:color w:val="auto"/>
        </w:rPr>
        <w:t>SEPTEMBER 30, 2012</w:t>
      </w:r>
    </w:p>
    <w:p>
      <w:pPr>
        <w:spacing w:after="0" w:line="136" w:lineRule="exact"/>
        <w:rPr>
          <w:sz w:val="20"/>
          <w:szCs w:val="20"/>
          <w:color w:val="auto"/>
        </w:rPr>
      </w:pPr>
    </w:p>
    <w:p>
      <w:pPr>
        <w:ind w:left="560"/>
        <w:spacing w:after="0"/>
        <w:rPr>
          <w:sz w:val="20"/>
          <w:szCs w:val="20"/>
          <w:color w:val="auto"/>
        </w:rPr>
      </w:pPr>
      <w:r>
        <w:rPr>
          <w:rFonts w:ascii="Arial" w:cs="Arial" w:eastAsia="Arial" w:hAnsi="Arial"/>
          <w:sz w:val="12"/>
          <w:szCs w:val="12"/>
          <w:color w:val="auto"/>
        </w:rPr>
        <w:t>The table below describes investments by industry classification and enumerates the percentage, by fair value, of the total portfolio assets (excluding cash equivalents) in such industries as of</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September 30:</w:t>
      </w:r>
    </w:p>
    <w:p>
      <w:pPr>
        <w:spacing w:after="0" w:line="134" w:lineRule="exact"/>
        <w:rPr>
          <w:sz w:val="20"/>
          <w:szCs w:val="20"/>
          <w:color w:val="auto"/>
        </w:rPr>
      </w:pPr>
    </w:p>
    <w:tbl>
      <w:tblPr>
        <w:tblLayout w:type="fixed"/>
        <w:tblInd w:w="920" w:type="dxa"/>
        <w:tblCellMar>
          <w:top w:w="0" w:type="dxa"/>
          <w:left w:w="0" w:type="dxa"/>
          <w:bottom w:w="0" w:type="dxa"/>
          <w:right w:w="0" w:type="dxa"/>
        </w:tblCellMar>
      </w:tblPr>
      <w:tr>
        <w:trPr>
          <w:trHeight w:val="175"/>
        </w:trPr>
        <w:tc>
          <w:tcPr>
            <w:tcW w:w="35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Industry Classification</w:t>
            </w:r>
          </w:p>
        </w:tc>
        <w:tc>
          <w:tcPr>
            <w:tcW w:w="2120" w:type="dxa"/>
            <w:vAlign w:val="bottom"/>
            <w:tcBorders>
              <w:bottom w:val="single" w:sz="8" w:color="auto"/>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2012</w:t>
            </w:r>
          </w:p>
        </w:tc>
        <w:tc>
          <w:tcPr>
            <w:tcW w:w="11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2011</w:t>
            </w:r>
          </w:p>
        </w:tc>
        <w:tc>
          <w:tcPr>
            <w:tcW w:w="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2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High Tech Industries</w:t>
            </w:r>
          </w:p>
        </w:tc>
        <w:tc>
          <w:tcPr>
            <w:tcW w:w="2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jc w:val="right"/>
              <w:ind w:right="1020"/>
              <w:spacing w:after="0" w:line="142" w:lineRule="exact"/>
              <w:rPr>
                <w:sz w:val="20"/>
                <w:szCs w:val="20"/>
                <w:color w:val="auto"/>
              </w:rPr>
            </w:pPr>
            <w:r>
              <w:rPr>
                <w:rFonts w:ascii="Arial" w:cs="Arial" w:eastAsia="Arial" w:hAnsi="Arial"/>
                <w:sz w:val="13"/>
                <w:szCs w:val="13"/>
                <w:color w:val="auto"/>
              </w:rPr>
              <w:t>11%</w:t>
            </w:r>
          </w:p>
        </w:tc>
        <w:tc>
          <w:tcPr>
            <w:tcW w:w="96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48"/>
        </w:trPr>
        <w:tc>
          <w:tcPr>
            <w:tcW w:w="3520" w:type="dxa"/>
            <w:vAlign w:val="bottom"/>
          </w:tcPr>
          <w:p>
            <w:pPr>
              <w:spacing w:after="0"/>
              <w:rPr>
                <w:sz w:val="20"/>
                <w:szCs w:val="20"/>
                <w:color w:val="auto"/>
              </w:rPr>
            </w:pPr>
            <w:r>
              <w:rPr>
                <w:rFonts w:ascii="Arial" w:cs="Arial" w:eastAsia="Arial" w:hAnsi="Arial"/>
                <w:sz w:val="13"/>
                <w:szCs w:val="13"/>
                <w:color w:val="auto"/>
              </w:rPr>
              <w:t>Business Services</w:t>
            </w:r>
          </w:p>
        </w:tc>
        <w:tc>
          <w:tcPr>
            <w:tcW w:w="3820" w:type="dxa"/>
            <w:vAlign w:val="bottom"/>
            <w:gridSpan w:val="3"/>
          </w:tcPr>
          <w:p>
            <w:pPr>
              <w:jc w:val="right"/>
              <w:spacing w:after="0"/>
              <w:rPr>
                <w:sz w:val="20"/>
                <w:szCs w:val="20"/>
                <w:color w:val="auto"/>
              </w:rPr>
            </w:pPr>
            <w:r>
              <w:rPr>
                <w:rFonts w:ascii="Arial" w:cs="Arial" w:eastAsia="Arial" w:hAnsi="Arial"/>
                <w:sz w:val="13"/>
                <w:szCs w:val="13"/>
                <w:color w:val="auto"/>
              </w:rPr>
              <w:t>10</w:t>
            </w:r>
          </w:p>
        </w:tc>
        <w:tc>
          <w:tcPr>
            <w:tcW w:w="112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48"/>
        </w:trPr>
        <w:tc>
          <w:tcPr>
            <w:tcW w:w="3520" w:type="dxa"/>
            <w:vAlign w:val="bottom"/>
            <w:shd w:val="clear" w:color="auto" w:fill="CCEEFF"/>
          </w:tcPr>
          <w:p>
            <w:pPr>
              <w:spacing w:after="0"/>
              <w:rPr>
                <w:sz w:val="20"/>
                <w:szCs w:val="20"/>
                <w:color w:val="auto"/>
              </w:rPr>
            </w:pPr>
            <w:r>
              <w:rPr>
                <w:rFonts w:ascii="Arial" w:cs="Arial" w:eastAsia="Arial" w:hAnsi="Arial"/>
                <w:sz w:val="13"/>
                <w:szCs w:val="13"/>
                <w:color w:val="auto"/>
              </w:rPr>
              <w:t>Healthcare and Pharmaceuticals</w:t>
            </w:r>
          </w:p>
        </w:tc>
        <w:tc>
          <w:tcPr>
            <w:tcW w:w="38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48"/>
        </w:trPr>
        <w:tc>
          <w:tcPr>
            <w:tcW w:w="3520" w:type="dxa"/>
            <w:vAlign w:val="bottom"/>
          </w:tcPr>
          <w:p>
            <w:pPr>
              <w:spacing w:after="0"/>
              <w:rPr>
                <w:sz w:val="20"/>
                <w:szCs w:val="20"/>
                <w:color w:val="auto"/>
              </w:rPr>
            </w:pPr>
            <w:r>
              <w:rPr>
                <w:rFonts w:ascii="Arial" w:cs="Arial" w:eastAsia="Arial" w:hAnsi="Arial"/>
                <w:sz w:val="13"/>
                <w:szCs w:val="13"/>
                <w:color w:val="auto"/>
              </w:rPr>
              <w:t>Hotel, Gaming and Leisure</w:t>
            </w:r>
          </w:p>
        </w:tc>
        <w:tc>
          <w:tcPr>
            <w:tcW w:w="3820" w:type="dxa"/>
            <w:vAlign w:val="bottom"/>
            <w:gridSpan w:val="3"/>
          </w:tcPr>
          <w:p>
            <w:pPr>
              <w:jc w:val="right"/>
              <w:spacing w:after="0"/>
              <w:rPr>
                <w:sz w:val="20"/>
                <w:szCs w:val="20"/>
                <w:color w:val="auto"/>
              </w:rPr>
            </w:pPr>
            <w:r>
              <w:rPr>
                <w:rFonts w:ascii="Arial" w:cs="Arial" w:eastAsia="Arial" w:hAnsi="Arial"/>
                <w:sz w:val="13"/>
                <w:szCs w:val="13"/>
                <w:color w:val="auto"/>
              </w:rPr>
              <w:t>8</w:t>
            </w:r>
          </w:p>
        </w:tc>
        <w:tc>
          <w:tcPr>
            <w:tcW w:w="112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49"/>
        </w:trPr>
        <w:tc>
          <w:tcPr>
            <w:tcW w:w="3520" w:type="dxa"/>
            <w:vAlign w:val="bottom"/>
            <w:shd w:val="clear" w:color="auto" w:fill="CCEEFF"/>
          </w:tcPr>
          <w:p>
            <w:pPr>
              <w:spacing w:after="0"/>
              <w:rPr>
                <w:sz w:val="20"/>
                <w:szCs w:val="20"/>
                <w:color w:val="auto"/>
              </w:rPr>
            </w:pPr>
            <w:r>
              <w:rPr>
                <w:rFonts w:ascii="Arial" w:cs="Arial" w:eastAsia="Arial" w:hAnsi="Arial"/>
                <w:sz w:val="13"/>
                <w:szCs w:val="13"/>
                <w:color w:val="auto"/>
              </w:rPr>
              <w:t>Beverage, Food and Tobacco</w:t>
            </w:r>
          </w:p>
        </w:tc>
        <w:tc>
          <w:tcPr>
            <w:tcW w:w="38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48"/>
        </w:trPr>
        <w:tc>
          <w:tcPr>
            <w:tcW w:w="3520" w:type="dxa"/>
            <w:vAlign w:val="bottom"/>
          </w:tcPr>
          <w:p>
            <w:pPr>
              <w:spacing w:after="0"/>
              <w:rPr>
                <w:sz w:val="20"/>
                <w:szCs w:val="20"/>
                <w:color w:val="auto"/>
              </w:rPr>
            </w:pPr>
            <w:r>
              <w:rPr>
                <w:rFonts w:ascii="Arial" w:cs="Arial" w:eastAsia="Arial" w:hAnsi="Arial"/>
                <w:sz w:val="13"/>
                <w:szCs w:val="13"/>
                <w:color w:val="auto"/>
              </w:rPr>
              <w:t>Chemicals, Plastics and Rubber</w:t>
            </w:r>
          </w:p>
        </w:tc>
        <w:tc>
          <w:tcPr>
            <w:tcW w:w="3820" w:type="dxa"/>
            <w:vAlign w:val="bottom"/>
            <w:gridSpan w:val="3"/>
          </w:tcPr>
          <w:p>
            <w:pPr>
              <w:jc w:val="right"/>
              <w:spacing w:after="0"/>
              <w:rPr>
                <w:sz w:val="20"/>
                <w:szCs w:val="20"/>
                <w:color w:val="auto"/>
              </w:rPr>
            </w:pPr>
            <w:r>
              <w:rPr>
                <w:rFonts w:ascii="Arial" w:cs="Arial" w:eastAsia="Arial" w:hAnsi="Arial"/>
                <w:sz w:val="13"/>
                <w:szCs w:val="13"/>
                <w:color w:val="auto"/>
              </w:rPr>
              <w:t>6</w:t>
            </w:r>
          </w:p>
        </w:tc>
        <w:tc>
          <w:tcPr>
            <w:tcW w:w="112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48"/>
        </w:trPr>
        <w:tc>
          <w:tcPr>
            <w:tcW w:w="3520" w:type="dxa"/>
            <w:vAlign w:val="bottom"/>
            <w:shd w:val="clear" w:color="auto" w:fill="CCEEFF"/>
          </w:tcPr>
          <w:p>
            <w:pPr>
              <w:spacing w:after="0"/>
              <w:rPr>
                <w:sz w:val="20"/>
                <w:szCs w:val="20"/>
                <w:color w:val="auto"/>
              </w:rPr>
            </w:pPr>
            <w:r>
              <w:rPr>
                <w:rFonts w:ascii="Arial" w:cs="Arial" w:eastAsia="Arial" w:hAnsi="Arial"/>
                <w:sz w:val="13"/>
                <w:szCs w:val="13"/>
                <w:color w:val="auto"/>
              </w:rPr>
              <w:t>Consumer Goods: Non-Durable</w:t>
            </w:r>
          </w:p>
        </w:tc>
        <w:tc>
          <w:tcPr>
            <w:tcW w:w="38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48"/>
        </w:trPr>
        <w:tc>
          <w:tcPr>
            <w:tcW w:w="3520" w:type="dxa"/>
            <w:vAlign w:val="bottom"/>
          </w:tcPr>
          <w:p>
            <w:pPr>
              <w:spacing w:after="0"/>
              <w:rPr>
                <w:sz w:val="20"/>
                <w:szCs w:val="20"/>
                <w:color w:val="auto"/>
              </w:rPr>
            </w:pPr>
            <w:r>
              <w:rPr>
                <w:rFonts w:ascii="Arial" w:cs="Arial" w:eastAsia="Arial" w:hAnsi="Arial"/>
                <w:sz w:val="13"/>
                <w:szCs w:val="13"/>
                <w:color w:val="auto"/>
              </w:rPr>
              <w:t>Media: Diversified and Production</w:t>
            </w:r>
          </w:p>
        </w:tc>
        <w:tc>
          <w:tcPr>
            <w:tcW w:w="3820" w:type="dxa"/>
            <w:vAlign w:val="bottom"/>
            <w:gridSpan w:val="3"/>
          </w:tcPr>
          <w:p>
            <w:pPr>
              <w:jc w:val="right"/>
              <w:spacing w:after="0"/>
              <w:rPr>
                <w:sz w:val="20"/>
                <w:szCs w:val="20"/>
                <w:color w:val="auto"/>
              </w:rPr>
            </w:pPr>
            <w:r>
              <w:rPr>
                <w:rFonts w:ascii="Arial" w:cs="Arial" w:eastAsia="Arial" w:hAnsi="Arial"/>
                <w:sz w:val="13"/>
                <w:szCs w:val="13"/>
                <w:color w:val="auto"/>
              </w:rPr>
              <w:t>6</w:t>
            </w:r>
          </w:p>
        </w:tc>
        <w:tc>
          <w:tcPr>
            <w:tcW w:w="112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48"/>
        </w:trPr>
        <w:tc>
          <w:tcPr>
            <w:tcW w:w="3520" w:type="dxa"/>
            <w:vAlign w:val="bottom"/>
            <w:shd w:val="clear" w:color="auto" w:fill="CCEEFF"/>
          </w:tcPr>
          <w:p>
            <w:pPr>
              <w:spacing w:after="0"/>
              <w:rPr>
                <w:sz w:val="20"/>
                <w:szCs w:val="20"/>
                <w:color w:val="auto"/>
              </w:rPr>
            </w:pPr>
            <w:r>
              <w:rPr>
                <w:rFonts w:ascii="Arial" w:cs="Arial" w:eastAsia="Arial" w:hAnsi="Arial"/>
                <w:sz w:val="13"/>
                <w:szCs w:val="13"/>
                <w:color w:val="auto"/>
              </w:rPr>
              <w:t>Media: Advertising, Printing and Publishing</w:t>
            </w:r>
          </w:p>
        </w:tc>
        <w:tc>
          <w:tcPr>
            <w:tcW w:w="38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48"/>
        </w:trPr>
        <w:tc>
          <w:tcPr>
            <w:tcW w:w="3520" w:type="dxa"/>
            <w:vAlign w:val="bottom"/>
          </w:tcPr>
          <w:p>
            <w:pPr>
              <w:spacing w:after="0"/>
              <w:rPr>
                <w:sz w:val="20"/>
                <w:szCs w:val="20"/>
                <w:color w:val="auto"/>
              </w:rPr>
            </w:pPr>
            <w:r>
              <w:rPr>
                <w:rFonts w:ascii="Arial" w:cs="Arial" w:eastAsia="Arial" w:hAnsi="Arial"/>
                <w:sz w:val="13"/>
                <w:szCs w:val="13"/>
                <w:color w:val="auto"/>
              </w:rPr>
              <w:t>Telecommunications</w:t>
            </w:r>
          </w:p>
        </w:tc>
        <w:tc>
          <w:tcPr>
            <w:tcW w:w="3820" w:type="dxa"/>
            <w:vAlign w:val="bottom"/>
            <w:gridSpan w:val="3"/>
          </w:tcPr>
          <w:p>
            <w:pPr>
              <w:jc w:val="right"/>
              <w:spacing w:after="0"/>
              <w:rPr>
                <w:sz w:val="20"/>
                <w:szCs w:val="20"/>
                <w:color w:val="auto"/>
              </w:rPr>
            </w:pPr>
            <w:r>
              <w:rPr>
                <w:rFonts w:ascii="Arial" w:cs="Arial" w:eastAsia="Arial" w:hAnsi="Arial"/>
                <w:sz w:val="13"/>
                <w:szCs w:val="13"/>
                <w:color w:val="auto"/>
              </w:rPr>
              <w:t>5</w:t>
            </w:r>
          </w:p>
        </w:tc>
        <w:tc>
          <w:tcPr>
            <w:tcW w:w="112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49"/>
        </w:trPr>
        <w:tc>
          <w:tcPr>
            <w:tcW w:w="3520" w:type="dxa"/>
            <w:vAlign w:val="bottom"/>
            <w:shd w:val="clear" w:color="auto" w:fill="CCEEFF"/>
          </w:tcPr>
          <w:p>
            <w:pPr>
              <w:spacing w:after="0"/>
              <w:rPr>
                <w:sz w:val="20"/>
                <w:szCs w:val="20"/>
                <w:color w:val="auto"/>
              </w:rPr>
            </w:pPr>
            <w:r>
              <w:rPr>
                <w:rFonts w:ascii="Arial" w:cs="Arial" w:eastAsia="Arial" w:hAnsi="Arial"/>
                <w:sz w:val="13"/>
                <w:szCs w:val="13"/>
                <w:color w:val="auto"/>
              </w:rPr>
              <w:t>Consumer Goods: Durable</w:t>
            </w:r>
          </w:p>
        </w:tc>
        <w:tc>
          <w:tcPr>
            <w:tcW w:w="38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48"/>
        </w:trPr>
        <w:tc>
          <w:tcPr>
            <w:tcW w:w="3520" w:type="dxa"/>
            <w:vAlign w:val="bottom"/>
          </w:tcPr>
          <w:p>
            <w:pPr>
              <w:spacing w:after="0"/>
              <w:rPr>
                <w:sz w:val="20"/>
                <w:szCs w:val="20"/>
                <w:color w:val="auto"/>
              </w:rPr>
            </w:pPr>
            <w:r>
              <w:rPr>
                <w:rFonts w:ascii="Arial" w:cs="Arial" w:eastAsia="Arial" w:hAnsi="Arial"/>
                <w:sz w:val="13"/>
                <w:szCs w:val="13"/>
                <w:color w:val="auto"/>
              </w:rPr>
              <w:t>Consumer Services</w:t>
            </w:r>
          </w:p>
        </w:tc>
        <w:tc>
          <w:tcPr>
            <w:tcW w:w="3820" w:type="dxa"/>
            <w:vAlign w:val="bottom"/>
            <w:gridSpan w:val="3"/>
          </w:tcPr>
          <w:p>
            <w:pPr>
              <w:jc w:val="right"/>
              <w:spacing w:after="0"/>
              <w:rPr>
                <w:sz w:val="20"/>
                <w:szCs w:val="20"/>
                <w:color w:val="auto"/>
              </w:rPr>
            </w:pPr>
            <w:r>
              <w:rPr>
                <w:rFonts w:ascii="Arial" w:cs="Arial" w:eastAsia="Arial" w:hAnsi="Arial"/>
                <w:sz w:val="13"/>
                <w:szCs w:val="13"/>
                <w:color w:val="auto"/>
              </w:rPr>
              <w:t>3</w:t>
            </w:r>
          </w:p>
        </w:tc>
        <w:tc>
          <w:tcPr>
            <w:tcW w:w="112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48"/>
        </w:trPr>
        <w:tc>
          <w:tcPr>
            <w:tcW w:w="3520" w:type="dxa"/>
            <w:vAlign w:val="bottom"/>
            <w:shd w:val="clear" w:color="auto" w:fill="CCEEFF"/>
          </w:tcPr>
          <w:p>
            <w:pPr>
              <w:spacing w:after="0"/>
              <w:rPr>
                <w:sz w:val="20"/>
                <w:szCs w:val="20"/>
                <w:color w:val="auto"/>
              </w:rPr>
            </w:pPr>
            <w:r>
              <w:rPr>
                <w:rFonts w:ascii="Arial" w:cs="Arial" w:eastAsia="Arial" w:hAnsi="Arial"/>
                <w:sz w:val="13"/>
                <w:szCs w:val="13"/>
                <w:color w:val="auto"/>
              </w:rPr>
              <w:t>Aerospace and Defense</w:t>
            </w:r>
          </w:p>
        </w:tc>
        <w:tc>
          <w:tcPr>
            <w:tcW w:w="38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48"/>
        </w:trPr>
        <w:tc>
          <w:tcPr>
            <w:tcW w:w="3520" w:type="dxa"/>
            <w:vAlign w:val="bottom"/>
          </w:tcPr>
          <w:p>
            <w:pPr>
              <w:spacing w:after="0"/>
              <w:rPr>
                <w:sz w:val="20"/>
                <w:szCs w:val="20"/>
                <w:color w:val="auto"/>
              </w:rPr>
            </w:pPr>
            <w:r>
              <w:rPr>
                <w:rFonts w:ascii="Arial" w:cs="Arial" w:eastAsia="Arial" w:hAnsi="Arial"/>
                <w:sz w:val="13"/>
                <w:szCs w:val="13"/>
                <w:color w:val="auto"/>
              </w:rPr>
              <w:t>Automotive</w:t>
            </w:r>
          </w:p>
        </w:tc>
        <w:tc>
          <w:tcPr>
            <w:tcW w:w="3820" w:type="dxa"/>
            <w:vAlign w:val="bottom"/>
            <w:gridSpan w:val="3"/>
          </w:tcPr>
          <w:p>
            <w:pPr>
              <w:jc w:val="right"/>
              <w:spacing w:after="0"/>
              <w:rPr>
                <w:sz w:val="20"/>
                <w:szCs w:val="20"/>
                <w:color w:val="auto"/>
              </w:rPr>
            </w:pPr>
            <w:r>
              <w:rPr>
                <w:rFonts w:ascii="Arial" w:cs="Arial" w:eastAsia="Arial" w:hAnsi="Arial"/>
                <w:sz w:val="13"/>
                <w:szCs w:val="13"/>
                <w:color w:val="auto"/>
              </w:rPr>
              <w:t>2</w:t>
            </w:r>
          </w:p>
        </w:tc>
        <w:tc>
          <w:tcPr>
            <w:tcW w:w="112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48"/>
        </w:trPr>
        <w:tc>
          <w:tcPr>
            <w:tcW w:w="3520" w:type="dxa"/>
            <w:vAlign w:val="bottom"/>
            <w:shd w:val="clear" w:color="auto" w:fill="CCEEFF"/>
          </w:tcPr>
          <w:p>
            <w:pPr>
              <w:spacing w:after="0"/>
              <w:rPr>
                <w:sz w:val="20"/>
                <w:szCs w:val="20"/>
                <w:color w:val="auto"/>
              </w:rPr>
            </w:pPr>
            <w:r>
              <w:rPr>
                <w:rFonts w:ascii="Arial" w:cs="Arial" w:eastAsia="Arial" w:hAnsi="Arial"/>
                <w:sz w:val="13"/>
                <w:szCs w:val="13"/>
                <w:color w:val="auto"/>
              </w:rPr>
              <w:t>Construction and Building</w:t>
            </w:r>
          </w:p>
        </w:tc>
        <w:tc>
          <w:tcPr>
            <w:tcW w:w="38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20"/>
                <w:szCs w:val="20"/>
                <w:color w:val="auto"/>
              </w:rPr>
            </w:pPr>
            <w:r>
              <w:rPr>
                <w:rFonts w:ascii="Arial" w:cs="Arial" w:eastAsia="Arial" w:hAnsi="Arial"/>
                <w:sz w:val="13"/>
                <w:szCs w:val="13"/>
                <w:color w:val="auto"/>
              </w:rPr>
              <w:t>Containers, Packaging and Glass</w:t>
            </w:r>
          </w:p>
        </w:tc>
        <w:tc>
          <w:tcPr>
            <w:tcW w:w="3820" w:type="dxa"/>
            <w:vAlign w:val="bottom"/>
            <w:gridSpan w:val="3"/>
          </w:tcPr>
          <w:p>
            <w:pPr>
              <w:jc w:val="right"/>
              <w:spacing w:after="0"/>
              <w:rPr>
                <w:sz w:val="20"/>
                <w:szCs w:val="20"/>
                <w:color w:val="auto"/>
              </w:rPr>
            </w:pPr>
            <w:r>
              <w:rPr>
                <w:rFonts w:ascii="Arial" w:cs="Arial" w:eastAsia="Arial" w:hAnsi="Arial"/>
                <w:sz w:val="13"/>
                <w:szCs w:val="13"/>
                <w:color w:val="auto"/>
              </w:rPr>
              <w:t>2</w:t>
            </w:r>
          </w:p>
        </w:tc>
        <w:tc>
          <w:tcPr>
            <w:tcW w:w="112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48"/>
        </w:trPr>
        <w:tc>
          <w:tcPr>
            <w:tcW w:w="3520" w:type="dxa"/>
            <w:vAlign w:val="bottom"/>
            <w:shd w:val="clear" w:color="auto" w:fill="CCEEFF"/>
          </w:tcPr>
          <w:p>
            <w:pPr>
              <w:spacing w:after="0"/>
              <w:rPr>
                <w:sz w:val="20"/>
                <w:szCs w:val="20"/>
                <w:color w:val="auto"/>
              </w:rPr>
            </w:pPr>
            <w:r>
              <w:rPr>
                <w:rFonts w:ascii="Arial" w:cs="Arial" w:eastAsia="Arial" w:hAnsi="Arial"/>
                <w:sz w:val="13"/>
                <w:szCs w:val="13"/>
                <w:color w:val="auto"/>
              </w:rPr>
              <w:t>Environmental Industries</w:t>
            </w:r>
          </w:p>
        </w:tc>
        <w:tc>
          <w:tcPr>
            <w:tcW w:w="38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48"/>
        </w:trPr>
        <w:tc>
          <w:tcPr>
            <w:tcW w:w="3520" w:type="dxa"/>
            <w:vAlign w:val="bottom"/>
          </w:tcPr>
          <w:p>
            <w:pPr>
              <w:spacing w:after="0"/>
              <w:rPr>
                <w:sz w:val="20"/>
                <w:szCs w:val="20"/>
                <w:color w:val="auto"/>
              </w:rPr>
            </w:pPr>
            <w:r>
              <w:rPr>
                <w:rFonts w:ascii="Arial" w:cs="Arial" w:eastAsia="Arial" w:hAnsi="Arial"/>
                <w:sz w:val="13"/>
                <w:szCs w:val="13"/>
                <w:color w:val="auto"/>
              </w:rPr>
              <w:t>Media: Broadcasting and Subscription</w:t>
            </w:r>
          </w:p>
        </w:tc>
        <w:tc>
          <w:tcPr>
            <w:tcW w:w="3820" w:type="dxa"/>
            <w:vAlign w:val="bottom"/>
            <w:gridSpan w:val="3"/>
          </w:tcPr>
          <w:p>
            <w:pPr>
              <w:jc w:val="right"/>
              <w:spacing w:after="0"/>
              <w:rPr>
                <w:sz w:val="20"/>
                <w:szCs w:val="20"/>
                <w:color w:val="auto"/>
              </w:rPr>
            </w:pPr>
            <w:r>
              <w:rPr>
                <w:rFonts w:ascii="Arial" w:cs="Arial" w:eastAsia="Arial" w:hAnsi="Arial"/>
                <w:sz w:val="13"/>
                <w:szCs w:val="13"/>
                <w:color w:val="auto"/>
              </w:rPr>
              <w:t>2</w:t>
            </w:r>
          </w:p>
        </w:tc>
        <w:tc>
          <w:tcPr>
            <w:tcW w:w="112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3520" w:type="dxa"/>
            <w:vAlign w:val="bottom"/>
            <w:shd w:val="clear" w:color="auto" w:fill="CCEEFF"/>
          </w:tcPr>
          <w:p>
            <w:pPr>
              <w:spacing w:after="0"/>
              <w:rPr>
                <w:sz w:val="20"/>
                <w:szCs w:val="20"/>
                <w:color w:val="auto"/>
              </w:rPr>
            </w:pPr>
            <w:r>
              <w:rPr>
                <w:rFonts w:ascii="Arial" w:cs="Arial" w:eastAsia="Arial" w:hAnsi="Arial"/>
                <w:sz w:val="13"/>
                <w:szCs w:val="13"/>
                <w:color w:val="auto"/>
              </w:rPr>
              <w:t>Metals and Mining</w:t>
            </w:r>
          </w:p>
        </w:tc>
        <w:tc>
          <w:tcPr>
            <w:tcW w:w="38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3520" w:type="dxa"/>
            <w:vAlign w:val="bottom"/>
          </w:tcPr>
          <w:p>
            <w:pPr>
              <w:spacing w:after="0"/>
              <w:rPr>
                <w:sz w:val="20"/>
                <w:szCs w:val="20"/>
                <w:color w:val="auto"/>
              </w:rPr>
            </w:pPr>
            <w:r>
              <w:rPr>
                <w:rFonts w:ascii="Arial" w:cs="Arial" w:eastAsia="Arial" w:hAnsi="Arial"/>
                <w:sz w:val="13"/>
                <w:szCs w:val="13"/>
                <w:color w:val="auto"/>
              </w:rPr>
              <w:t>Retail</w:t>
            </w:r>
          </w:p>
        </w:tc>
        <w:tc>
          <w:tcPr>
            <w:tcW w:w="3820" w:type="dxa"/>
            <w:vAlign w:val="bottom"/>
            <w:gridSpan w:val="3"/>
          </w:tcPr>
          <w:p>
            <w:pPr>
              <w:jc w:val="right"/>
              <w:spacing w:after="0"/>
              <w:rPr>
                <w:sz w:val="20"/>
                <w:szCs w:val="20"/>
                <w:color w:val="auto"/>
              </w:rPr>
            </w:pPr>
            <w:r>
              <w:rPr>
                <w:rFonts w:ascii="Arial" w:cs="Arial" w:eastAsia="Arial" w:hAnsi="Arial"/>
                <w:sz w:val="13"/>
                <w:szCs w:val="13"/>
                <w:color w:val="auto"/>
              </w:rPr>
              <w:t>2</w:t>
            </w:r>
          </w:p>
        </w:tc>
        <w:tc>
          <w:tcPr>
            <w:tcW w:w="112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3520" w:type="dxa"/>
            <w:vAlign w:val="bottom"/>
            <w:shd w:val="clear" w:color="auto" w:fill="CCEEFF"/>
          </w:tcPr>
          <w:p>
            <w:pPr>
              <w:spacing w:after="0"/>
              <w:rPr>
                <w:sz w:val="20"/>
                <w:szCs w:val="20"/>
                <w:color w:val="auto"/>
              </w:rPr>
            </w:pPr>
            <w:r>
              <w:rPr>
                <w:rFonts w:ascii="Arial" w:cs="Arial" w:eastAsia="Arial" w:hAnsi="Arial"/>
                <w:sz w:val="13"/>
                <w:szCs w:val="13"/>
                <w:color w:val="auto"/>
              </w:rPr>
              <w:t>Wholesale</w:t>
            </w:r>
          </w:p>
        </w:tc>
        <w:tc>
          <w:tcPr>
            <w:tcW w:w="38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3520" w:type="dxa"/>
            <w:vAlign w:val="bottom"/>
          </w:tcPr>
          <w:p>
            <w:pPr>
              <w:spacing w:after="0"/>
              <w:rPr>
                <w:sz w:val="20"/>
                <w:szCs w:val="20"/>
                <w:color w:val="auto"/>
              </w:rPr>
            </w:pPr>
            <w:r>
              <w:rPr>
                <w:rFonts w:ascii="Arial" w:cs="Arial" w:eastAsia="Arial" w:hAnsi="Arial"/>
                <w:sz w:val="13"/>
                <w:szCs w:val="13"/>
                <w:color w:val="auto"/>
              </w:rPr>
              <w:t>Energy: Oil and Gas</w:t>
            </w:r>
          </w:p>
        </w:tc>
        <w:tc>
          <w:tcPr>
            <w:tcW w:w="2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940" w:type="dxa"/>
            <w:vAlign w:val="bottom"/>
            <w:gridSpan w:val="2"/>
          </w:tcPr>
          <w:p>
            <w:pPr>
              <w:jc w:val="right"/>
              <w:ind w:right="112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48"/>
        </w:trPr>
        <w:tc>
          <w:tcPr>
            <w:tcW w:w="3520" w:type="dxa"/>
            <w:vAlign w:val="bottom"/>
            <w:shd w:val="clear" w:color="auto" w:fill="CCEEFF"/>
          </w:tcPr>
          <w:p>
            <w:pPr>
              <w:spacing w:after="0"/>
              <w:rPr>
                <w:sz w:val="20"/>
                <w:szCs w:val="20"/>
                <w:color w:val="auto"/>
              </w:rPr>
            </w:pPr>
            <w:r>
              <w:rPr>
                <w:rFonts w:ascii="Arial" w:cs="Arial" w:eastAsia="Arial" w:hAnsi="Arial"/>
                <w:sz w:val="13"/>
                <w:szCs w:val="13"/>
                <w:color w:val="auto"/>
              </w:rPr>
              <w:t>All Other</w:t>
            </w:r>
          </w:p>
        </w:tc>
        <w:tc>
          <w:tcPr>
            <w:tcW w:w="3000" w:type="dxa"/>
            <w:vAlign w:val="bottom"/>
            <w:gridSpan w:val="2"/>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20"/>
        </w:trPr>
        <w:tc>
          <w:tcPr>
            <w:tcW w:w="3520" w:type="dxa"/>
            <w:vAlign w:val="bottom"/>
            <w:vMerge w:val="restart"/>
          </w:tcPr>
          <w:p>
            <w:pPr>
              <w:spacing w:after="0"/>
              <w:rPr>
                <w:sz w:val="20"/>
                <w:szCs w:val="20"/>
                <w:color w:val="auto"/>
              </w:rPr>
            </w:pPr>
            <w:r>
              <w:rPr>
                <w:rFonts w:ascii="Arial" w:cs="Arial" w:eastAsia="Arial" w:hAnsi="Arial"/>
                <w:sz w:val="13"/>
                <w:szCs w:val="13"/>
                <w:color w:val="auto"/>
              </w:rPr>
              <w:t>Total</w:t>
            </w:r>
          </w:p>
        </w:tc>
        <w:tc>
          <w:tcPr>
            <w:tcW w:w="2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520" w:type="dxa"/>
            <w:vAlign w:val="bottom"/>
            <w:vMerge w:val="continue"/>
          </w:tcPr>
          <w:p>
            <w:pPr>
              <w:spacing w:after="0"/>
              <w:rPr>
                <w:sz w:val="13"/>
                <w:szCs w:val="13"/>
                <w:color w:val="auto"/>
              </w:rPr>
            </w:pPr>
          </w:p>
        </w:tc>
        <w:tc>
          <w:tcPr>
            <w:tcW w:w="3000" w:type="dxa"/>
            <w:vAlign w:val="bottom"/>
            <w:gridSpan w:val="2"/>
          </w:tcPr>
          <w:p>
            <w:pPr>
              <w:spacing w:after="0"/>
              <w:rPr>
                <w:sz w:val="13"/>
                <w:szCs w:val="13"/>
                <w:color w:val="auto"/>
              </w:rPr>
            </w:pPr>
          </w:p>
        </w:tc>
        <w:tc>
          <w:tcPr>
            <w:tcW w:w="1940" w:type="dxa"/>
            <w:vAlign w:val="bottom"/>
            <w:gridSpan w:val="2"/>
          </w:tcPr>
          <w:p>
            <w:pPr>
              <w:jc w:val="right"/>
              <w:ind w:right="1020"/>
              <w:spacing w:after="0"/>
              <w:rPr>
                <w:sz w:val="20"/>
                <w:szCs w:val="20"/>
                <w:color w:val="auto"/>
              </w:rPr>
            </w:pPr>
            <w:r>
              <w:rPr>
                <w:rFonts w:ascii="Arial" w:cs="Arial" w:eastAsia="Arial" w:hAnsi="Arial"/>
                <w:sz w:val="13"/>
                <w:szCs w:val="13"/>
                <w:color w:val="auto"/>
              </w:rPr>
              <w:t>100%</w:t>
            </w:r>
          </w:p>
        </w:tc>
        <w:tc>
          <w:tcPr>
            <w:tcW w:w="960" w:type="dxa"/>
            <w:vAlign w:val="bottom"/>
            <w:gridSpan w:val="2"/>
          </w:tcPr>
          <w:p>
            <w:pPr>
              <w:jc w:val="right"/>
              <w:ind w:right="40"/>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120" w:type="dxa"/>
            <w:vAlign w:val="bottom"/>
            <w:vMerge w:val="restart"/>
          </w:tcPr>
          <w:p>
            <w:pPr>
              <w:jc w:val="right"/>
              <w:ind w:right="793"/>
              <w:spacing w:after="0"/>
              <w:rPr>
                <w:sz w:val="20"/>
                <w:szCs w:val="20"/>
                <w:color w:val="auto"/>
              </w:rPr>
            </w:pPr>
            <w:r>
              <w:rPr>
                <w:rFonts w:ascii="Arial" w:cs="Arial" w:eastAsia="Arial" w:hAnsi="Arial"/>
                <w:sz w:val="13"/>
                <w:szCs w:val="13"/>
                <w:color w:val="auto"/>
              </w:rPr>
              <w:t>69</w:t>
            </w:r>
          </w:p>
        </w:tc>
        <w:tc>
          <w:tcPr>
            <w:tcW w:w="8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52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40"/>
          </w:cols>
          <w:pgMar w:left="320" w:top="459" w:right="7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w:t>
      </w:r>
    </w:p>
    <w:p>
      <w:pPr>
        <w:jc w:val="center"/>
        <w:ind w:right="-19"/>
        <w:spacing w:after="0"/>
        <w:rPr>
          <w:sz w:val="20"/>
          <w:szCs w:val="20"/>
          <w:color w:val="auto"/>
        </w:rPr>
      </w:pPr>
      <w:r>
        <w:rPr>
          <w:rFonts w:ascii="Arial" w:cs="Arial" w:eastAsia="Arial" w:hAnsi="Arial"/>
          <w:sz w:val="13"/>
          <w:szCs w:val="13"/>
          <w:b w:val="1"/>
          <w:bCs w:val="1"/>
          <w:color w:val="auto"/>
        </w:rPr>
        <w:t>SEPTEMBER 30, 2012</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5. FAIR VALUE OF FINANCIAL INSTRUMENTS</w:t>
      </w:r>
    </w:p>
    <w:p>
      <w:pPr>
        <w:spacing w:after="0" w:line="136" w:lineRule="exact"/>
        <w:rPr>
          <w:sz w:val="20"/>
          <w:szCs w:val="20"/>
          <w:color w:val="auto"/>
        </w:rPr>
      </w:pPr>
    </w:p>
    <w:p>
      <w:pPr>
        <w:ind w:right="140" w:firstLine="562"/>
        <w:spacing w:after="0" w:line="247"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color w:val="auto"/>
        </w:rPr>
        <w:t>ASC 820 classifies the inputs used to measure these fair values into the following hierarchies:</w:t>
      </w:r>
    </w:p>
    <w:p>
      <w:pPr>
        <w:spacing w:after="0" w:line="148" w:lineRule="exact"/>
        <w:rPr>
          <w:sz w:val="20"/>
          <w:szCs w:val="20"/>
          <w:color w:val="auto"/>
        </w:rPr>
      </w:pPr>
    </w:p>
    <w:p>
      <w:pPr>
        <w:ind w:left="460"/>
        <w:spacing w:after="0"/>
        <w:tabs>
          <w:tab w:leader="none" w:pos="1380" w:val="left"/>
        </w:tabs>
        <w:rPr>
          <w:sz w:val="20"/>
          <w:szCs w:val="20"/>
          <w:color w:val="auto"/>
        </w:rPr>
      </w:pPr>
      <w:r>
        <w:rPr>
          <w:rFonts w:ascii="Arial" w:cs="Arial" w:eastAsia="Arial" w:hAnsi="Arial"/>
          <w:sz w:val="13"/>
          <w:szCs w:val="13"/>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75" w:lineRule="exact"/>
        <w:rPr>
          <w:sz w:val="20"/>
          <w:szCs w:val="20"/>
          <w:color w:val="auto"/>
        </w:rPr>
      </w:pPr>
    </w:p>
    <w:p>
      <w:pPr>
        <w:ind w:left="1400" w:right="460" w:hanging="931"/>
        <w:spacing w:after="0" w:line="274" w:lineRule="auto"/>
        <w:tabs>
          <w:tab w:leader="none" w:pos="1380" w:val="left"/>
        </w:tabs>
        <w:rPr>
          <w:sz w:val="20"/>
          <w:szCs w:val="20"/>
          <w:color w:val="auto"/>
        </w:rPr>
      </w:pPr>
      <w:r>
        <w:rPr>
          <w:rFonts w:ascii="Arial" w:cs="Arial" w:eastAsia="Arial" w:hAnsi="Arial"/>
          <w:sz w:val="13"/>
          <w:szCs w:val="13"/>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31" w:lineRule="exact"/>
        <w:rPr>
          <w:sz w:val="20"/>
          <w:szCs w:val="20"/>
          <w:color w:val="auto"/>
        </w:rPr>
      </w:pPr>
    </w:p>
    <w:p>
      <w:pPr>
        <w:ind w:left="460"/>
        <w:spacing w:after="0"/>
        <w:tabs>
          <w:tab w:leader="none" w:pos="1380" w:val="left"/>
        </w:tabs>
        <w:rPr>
          <w:sz w:val="20"/>
          <w:szCs w:val="20"/>
          <w:color w:val="auto"/>
        </w:rPr>
      </w:pPr>
      <w:r>
        <w:rPr>
          <w:rFonts w:ascii="Arial" w:cs="Arial" w:eastAsia="Arial" w:hAnsi="Arial"/>
          <w:sz w:val="13"/>
          <w:szCs w:val="13"/>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34" w:lineRule="exact"/>
        <w:rPr>
          <w:sz w:val="20"/>
          <w:szCs w:val="20"/>
          <w:color w:val="auto"/>
        </w:rPr>
      </w:pPr>
    </w:p>
    <w:p>
      <w:pPr>
        <w:ind w:firstLine="562"/>
        <w:spacing w:after="0" w:line="256" w:lineRule="auto"/>
        <w:rPr>
          <w:sz w:val="20"/>
          <w:szCs w:val="20"/>
          <w:color w:val="auto"/>
        </w:rPr>
      </w:pPr>
      <w:r>
        <w:rPr>
          <w:rFonts w:ascii="Arial" w:cs="Arial" w:eastAsia="Arial" w:hAnsi="Arial"/>
          <w:sz w:val="13"/>
          <w:szCs w:val="13"/>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02"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 based inputs that may be used in pricing an asset.</w:t>
      </w:r>
    </w:p>
    <w:p>
      <w:pPr>
        <w:spacing w:after="0" w:line="108" w:lineRule="exact"/>
        <w:rPr>
          <w:sz w:val="20"/>
          <w:szCs w:val="20"/>
          <w:color w:val="auto"/>
        </w:rPr>
      </w:pPr>
    </w:p>
    <w:p>
      <w:pPr>
        <w:ind w:right="180" w:firstLine="562"/>
        <w:spacing w:after="0" w:line="273" w:lineRule="auto"/>
        <w:rPr>
          <w:sz w:val="20"/>
          <w:szCs w:val="20"/>
          <w:color w:val="auto"/>
        </w:rPr>
      </w:pPr>
      <w:r>
        <w:rPr>
          <w:rFonts w:ascii="Arial" w:cs="Arial" w:eastAsia="Arial" w:hAnsi="Arial"/>
          <w:sz w:val="12"/>
          <w:szCs w:val="12"/>
          <w:color w:val="auto"/>
        </w:rPr>
        <w:t>Our investments are generally structured as Floating Rate Loans, mainly senior secured loans, but also may include second lien, high yield, mezzanine and distressed debt securities and equity 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93" w:lineRule="exact"/>
        <w:rPr>
          <w:sz w:val="20"/>
          <w:szCs w:val="20"/>
          <w:color w:val="auto"/>
        </w:rPr>
      </w:pPr>
    </w:p>
    <w:p>
      <w:pPr>
        <w:ind w:right="120" w:firstLine="562"/>
        <w:spacing w:after="0" w:line="250" w:lineRule="auto"/>
        <w:rPr>
          <w:sz w:val="20"/>
          <w:szCs w:val="20"/>
          <w:color w:val="auto"/>
        </w:rPr>
      </w:pPr>
      <w:r>
        <w:rPr>
          <w:rFonts w:ascii="Arial" w:cs="Arial" w:eastAsia="Arial" w:hAnsi="Arial"/>
          <w:sz w:val="13"/>
          <w:szCs w:val="13"/>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fiscal year ended September 30, 2012 and the period March 4, 2011 (commencement of operations) to September 30, 2011, our ability to observe valuation inputs has resulted in no reclassification of assets amongst Levels 1, 2 and 3.</w:t>
      </w:r>
    </w:p>
    <w:p>
      <w:pPr>
        <w:spacing w:after="0" w:line="106" w:lineRule="exact"/>
        <w:rPr>
          <w:sz w:val="20"/>
          <w:szCs w:val="20"/>
          <w:color w:val="auto"/>
        </w:rPr>
      </w:pPr>
    </w:p>
    <w:p>
      <w:pPr>
        <w:ind w:right="160" w:firstLine="562"/>
        <w:spacing w:after="0" w:line="317" w:lineRule="auto"/>
        <w:rPr>
          <w:sz w:val="20"/>
          <w:szCs w:val="20"/>
          <w:color w:val="auto"/>
        </w:rPr>
      </w:pPr>
      <w:r>
        <w:rPr>
          <w:rFonts w:ascii="Arial" w:cs="Arial" w:eastAsia="Arial" w:hAnsi="Arial"/>
          <w:sz w:val="12"/>
          <w:szCs w:val="12"/>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67" w:lineRule="exact"/>
        <w:rPr>
          <w:sz w:val="20"/>
          <w:szCs w:val="20"/>
          <w:color w:val="auto"/>
        </w:rPr>
      </w:pPr>
    </w:p>
    <w:p>
      <w:pPr>
        <w:jc w:val="both"/>
        <w:ind w:right="100" w:firstLine="562"/>
        <w:spacing w:after="0" w:line="250" w:lineRule="auto"/>
        <w:rPr>
          <w:sz w:val="20"/>
          <w:szCs w:val="20"/>
          <w:color w:val="auto"/>
        </w:rPr>
      </w:pPr>
      <w:r>
        <w:rPr>
          <w:rFonts w:ascii="Arial" w:cs="Arial" w:eastAsia="Arial" w:hAnsi="Arial"/>
          <w:sz w:val="13"/>
          <w:szCs w:val="13"/>
          <w:color w:val="auto"/>
        </w:rPr>
        <w:t>In May 2011, the FASB issued Accounting Standards Update No. 2011-04, “Fair Value Measurement: Amendments to Achieve Common Fair Value Measurement and Disclosure Requirements in U.S. GAAP and IFRS”. ASU 2011-04 was effective for interim and annual periods after December 15, 2011. The Company adopted ASU 2011-04 on December 31, 2011. In accordance with ASU 2011-04 and as outlined in the table below, our Level 3 investments using a market approach valuation technique are valued using the average of the bids from brokers or dealers. The bids include a disclaimer, have no corroborating evidence and may be the result of consensus pricing. We do not adjust the bids.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70</w:t>
      </w:r>
    </w:p>
    <w:p>
      <w:pPr>
        <w:sectPr>
          <w:pgSz w:w="11900" w:h="16838" w:orient="portrait"/>
          <w:cols w:equalWidth="0" w:num="1">
            <w:col w:w="11220"/>
          </w:cols>
          <w:pgMar w:left="320" w:top="459" w:right="3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jc w:val="center"/>
        <w:spacing w:after="0"/>
        <w:rPr>
          <w:sz w:val="20"/>
          <w:szCs w:val="20"/>
          <w:color w:val="auto"/>
        </w:rPr>
      </w:pPr>
      <w:r>
        <w:rPr>
          <w:rFonts w:ascii="Arial" w:cs="Arial" w:eastAsia="Arial" w:hAnsi="Arial"/>
          <w:sz w:val="13"/>
          <w:szCs w:val="13"/>
          <w:b w:val="1"/>
          <w:bCs w:val="1"/>
          <w:color w:val="auto"/>
        </w:rPr>
        <w:t>SEPTEMBER 30, 2012</w:t>
      </w:r>
    </w:p>
    <w:p>
      <w:pPr>
        <w:spacing w:after="0" w:line="136" w:lineRule="exact"/>
        <w:rPr>
          <w:sz w:val="20"/>
          <w:szCs w:val="20"/>
          <w:color w:val="auto"/>
        </w:rPr>
      </w:pPr>
    </w:p>
    <w:p>
      <w:pPr>
        <w:ind w:right="20" w:firstLine="562"/>
        <w:spacing w:after="0" w:line="268" w:lineRule="auto"/>
        <w:rPr>
          <w:sz w:val="20"/>
          <w:szCs w:val="20"/>
          <w:color w:val="auto"/>
        </w:rPr>
      </w:pPr>
      <w:r>
        <w:rPr>
          <w:rFonts w:ascii="Arial" w:cs="Arial" w:eastAsia="Arial" w:hAnsi="Arial"/>
          <w:sz w:val="12"/>
          <w:szCs w:val="12"/>
          <w:color w:val="auto"/>
        </w:rPr>
        <w:t>The remainder of our portfolio, including our long-term Credit Facility, is classified and was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is used to corroborate the valuation. When using earnings multiples to value a portfolio company, the multiple used requires the use of judgment and estimates in determining how a market participant would price such an asset.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40" w:type="dxa"/>
            <w:vAlign w:val="bottom"/>
            <w:vMerge w:val="restart"/>
          </w:tcPr>
          <w:p>
            <w:pPr>
              <w:spacing w:after="0"/>
              <w:rPr>
                <w:sz w:val="20"/>
                <w:szCs w:val="20"/>
                <w:color w:val="auto"/>
              </w:rPr>
            </w:pPr>
            <w:r>
              <w:rPr>
                <w:rFonts w:ascii="Arial" w:cs="Arial" w:eastAsia="Arial" w:hAnsi="Arial"/>
                <w:sz w:val="13"/>
                <w:szCs w:val="13"/>
                <w:b w:val="1"/>
                <w:bCs w:val="1"/>
                <w:color w:val="auto"/>
              </w:rPr>
              <w:t>Asset Category</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5"/>
              </w:rPr>
              <w:t>Fair Value as of</w:t>
            </w: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Range of Input</w:t>
            </w:r>
          </w:p>
        </w:tc>
        <w:tc>
          <w:tcPr>
            <w:tcW w:w="0" w:type="dxa"/>
            <w:vAlign w:val="bottom"/>
          </w:tcPr>
          <w:p>
            <w:pPr>
              <w:spacing w:after="0"/>
              <w:rPr>
                <w:sz w:val="1"/>
                <w:szCs w:val="1"/>
                <w:color w:val="auto"/>
              </w:rPr>
            </w:pPr>
          </w:p>
        </w:tc>
      </w:tr>
      <w:tr>
        <w:trPr>
          <w:trHeight w:val="161"/>
        </w:trPr>
        <w:tc>
          <w:tcPr>
            <w:tcW w:w="3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2"/>
              </w:rPr>
              <w:t>September 30, 2012</w:t>
            </w:r>
          </w:p>
        </w:tc>
        <w:tc>
          <w:tcPr>
            <w:tcW w:w="19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Valuation Technique</w:t>
            </w:r>
          </w:p>
        </w:tc>
        <w:tc>
          <w:tcPr>
            <w:tcW w:w="19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Unobservable Input</w:t>
            </w:r>
          </w:p>
        </w:tc>
        <w:tc>
          <w:tcPr>
            <w:tcW w:w="16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(Weighted Average)</w:t>
            </w:r>
          </w:p>
        </w:tc>
        <w:tc>
          <w:tcPr>
            <w:tcW w:w="0" w:type="dxa"/>
            <w:vAlign w:val="bottom"/>
          </w:tcPr>
          <w:p>
            <w:pPr>
              <w:spacing w:after="0"/>
              <w:rPr>
                <w:sz w:val="1"/>
                <w:szCs w:val="1"/>
                <w:color w:val="auto"/>
              </w:rPr>
            </w:pPr>
          </w:p>
        </w:tc>
      </w:tr>
      <w:tr>
        <w:trPr>
          <w:trHeight w:val="142"/>
        </w:trPr>
        <w:tc>
          <w:tcPr>
            <w:tcW w:w="39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First lien, second lien, subordinated debt/corporate notes</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1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155,983,312</w:t>
            </w:r>
          </w:p>
        </w:tc>
        <w:tc>
          <w:tcPr>
            <w:tcW w:w="180" w:type="dxa"/>
            <w:vAlign w:val="bottom"/>
            <w:tcBorders>
              <w:top w:val="single" w:sz="8" w:color="CCEEFF"/>
            </w:tcBorders>
            <w:shd w:val="clear" w:color="auto" w:fill="CCEEFF"/>
          </w:tcPr>
          <w:p>
            <w:pPr>
              <w:spacing w:after="0"/>
              <w:rPr>
                <w:sz w:val="12"/>
                <w:szCs w:val="12"/>
                <w:color w:val="auto"/>
              </w:rPr>
            </w:pPr>
          </w:p>
        </w:tc>
        <w:tc>
          <w:tcPr>
            <w:tcW w:w="18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3"/>
                <w:szCs w:val="13"/>
                <w:color w:val="auto"/>
                <w:w w:val="94"/>
              </w:rPr>
              <w:t>Market Comparable</w:t>
            </w:r>
          </w:p>
        </w:tc>
        <w:tc>
          <w:tcPr>
            <w:tcW w:w="100" w:type="dxa"/>
            <w:vAlign w:val="bottom"/>
            <w:tcBorders>
              <w:top w:val="single" w:sz="8" w:color="CCEEFF"/>
            </w:tcBorders>
            <w:shd w:val="clear" w:color="auto" w:fill="CCEEFF"/>
          </w:tcPr>
          <w:p>
            <w:pPr>
              <w:spacing w:after="0"/>
              <w:rPr>
                <w:sz w:val="12"/>
                <w:szCs w:val="12"/>
                <w:color w:val="auto"/>
              </w:rPr>
            </w:pPr>
          </w:p>
        </w:tc>
        <w:tc>
          <w:tcPr>
            <w:tcW w:w="18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3"/>
                <w:szCs w:val="13"/>
                <w:color w:val="auto"/>
                <w:w w:val="94"/>
              </w:rPr>
              <w:t>Broker/Dealer bid quotes</w:t>
            </w:r>
          </w:p>
        </w:tc>
        <w:tc>
          <w:tcPr>
            <w:tcW w:w="10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1 - 6</w:t>
            </w:r>
          </w:p>
        </w:tc>
        <w:tc>
          <w:tcPr>
            <w:tcW w:w="6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78"/>
        </w:trPr>
        <w:tc>
          <w:tcPr>
            <w:tcW w:w="3940" w:type="dxa"/>
            <w:vAlign w:val="bottom"/>
          </w:tcPr>
          <w:p>
            <w:pPr>
              <w:spacing w:after="0"/>
              <w:rPr>
                <w:sz w:val="20"/>
                <w:szCs w:val="20"/>
                <w:color w:val="auto"/>
              </w:rPr>
            </w:pPr>
            <w:r>
              <w:rPr>
                <w:rFonts w:ascii="Arial" w:cs="Arial" w:eastAsia="Arial" w:hAnsi="Arial"/>
                <w:sz w:val="13"/>
                <w:szCs w:val="13"/>
                <w:color w:val="auto"/>
              </w:rPr>
              <w:t>First lien, second lien, subordinated debt/corporate notes</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560" w:type="dxa"/>
            <w:vAlign w:val="bottom"/>
            <w:gridSpan w:val="2"/>
          </w:tcPr>
          <w:p>
            <w:pPr>
              <w:jc w:val="right"/>
              <w:ind w:right="180"/>
              <w:spacing w:after="0"/>
              <w:rPr>
                <w:sz w:val="20"/>
                <w:szCs w:val="20"/>
                <w:color w:val="auto"/>
              </w:rPr>
            </w:pPr>
            <w:r>
              <w:rPr>
                <w:rFonts w:ascii="Arial" w:cs="Arial" w:eastAsia="Arial" w:hAnsi="Arial"/>
                <w:sz w:val="13"/>
                <w:szCs w:val="13"/>
                <w:color w:val="auto"/>
              </w:rPr>
              <w:t>11,760,650</w:t>
            </w:r>
          </w:p>
        </w:tc>
        <w:tc>
          <w:tcPr>
            <w:tcW w:w="1900" w:type="dxa"/>
            <w:vAlign w:val="bottom"/>
            <w:gridSpan w:val="2"/>
          </w:tcPr>
          <w:p>
            <w:pPr>
              <w:jc w:val="center"/>
              <w:ind w:right="100"/>
              <w:spacing w:after="0"/>
              <w:rPr>
                <w:sz w:val="20"/>
                <w:szCs w:val="20"/>
                <w:color w:val="auto"/>
              </w:rPr>
            </w:pPr>
            <w:r>
              <w:rPr>
                <w:rFonts w:ascii="Arial" w:cs="Arial" w:eastAsia="Arial" w:hAnsi="Arial"/>
                <w:sz w:val="13"/>
                <w:szCs w:val="13"/>
                <w:color w:val="auto"/>
                <w:w w:val="94"/>
              </w:rPr>
              <w:t>Market Comparable</w:t>
            </w:r>
          </w:p>
        </w:tc>
        <w:tc>
          <w:tcPr>
            <w:tcW w:w="1980" w:type="dxa"/>
            <w:vAlign w:val="bottom"/>
            <w:gridSpan w:val="2"/>
          </w:tcPr>
          <w:p>
            <w:pPr>
              <w:jc w:val="center"/>
              <w:ind w:right="100"/>
              <w:spacing w:after="0"/>
              <w:rPr>
                <w:sz w:val="20"/>
                <w:szCs w:val="20"/>
                <w:color w:val="auto"/>
              </w:rPr>
            </w:pPr>
            <w:r>
              <w:rPr>
                <w:rFonts w:ascii="Arial" w:cs="Arial" w:eastAsia="Arial" w:hAnsi="Arial"/>
                <w:sz w:val="13"/>
                <w:szCs w:val="13"/>
                <w:color w:val="auto"/>
                <w:w w:val="99"/>
              </w:rPr>
              <w:t>Market Yield</w:t>
            </w:r>
          </w:p>
        </w:tc>
        <w:tc>
          <w:tcPr>
            <w:tcW w:w="960" w:type="dxa"/>
            <w:vAlign w:val="bottom"/>
          </w:tcPr>
          <w:p>
            <w:pPr>
              <w:jc w:val="right"/>
              <w:spacing w:after="0"/>
              <w:rPr>
                <w:sz w:val="20"/>
                <w:szCs w:val="20"/>
                <w:color w:val="auto"/>
              </w:rPr>
            </w:pPr>
            <w:r>
              <w:rPr>
                <w:rFonts w:ascii="Arial" w:cs="Arial" w:eastAsia="Arial" w:hAnsi="Arial"/>
                <w:sz w:val="13"/>
                <w:szCs w:val="13"/>
                <w:color w:val="auto"/>
              </w:rPr>
              <w:t>7.3% -15.3%</w:t>
            </w:r>
          </w:p>
        </w:tc>
        <w:tc>
          <w:tcPr>
            <w:tcW w:w="660" w:type="dxa"/>
            <w:vAlign w:val="bottom"/>
          </w:tcPr>
          <w:p>
            <w:pPr>
              <w:spacing w:after="0"/>
              <w:rPr>
                <w:sz w:val="20"/>
                <w:szCs w:val="20"/>
                <w:color w:val="auto"/>
              </w:rPr>
            </w:pPr>
            <w:r>
              <w:rPr>
                <w:rFonts w:ascii="Arial" w:cs="Arial" w:eastAsia="Arial" w:hAnsi="Arial"/>
                <w:sz w:val="13"/>
                <w:szCs w:val="13"/>
                <w:color w:val="auto"/>
              </w:rPr>
              <w:t>(11.9%)</w:t>
            </w:r>
          </w:p>
        </w:tc>
        <w:tc>
          <w:tcPr>
            <w:tcW w:w="0" w:type="dxa"/>
            <w:vAlign w:val="bottom"/>
          </w:tcPr>
          <w:p>
            <w:pPr>
              <w:spacing w:after="0"/>
              <w:rPr>
                <w:sz w:val="1"/>
                <w:szCs w:val="1"/>
                <w:color w:val="auto"/>
              </w:rPr>
            </w:pPr>
          </w:p>
        </w:tc>
      </w:tr>
      <w:tr>
        <w:trPr>
          <w:trHeight w:val="203"/>
        </w:trPr>
        <w:tc>
          <w:tcPr>
            <w:tcW w:w="3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940" w:type="dxa"/>
            <w:vAlign w:val="bottom"/>
            <w:shd w:val="clear" w:color="auto" w:fill="CCEEFF"/>
          </w:tcPr>
          <w:p>
            <w:pPr>
              <w:spacing w:after="0"/>
              <w:rPr>
                <w:sz w:val="20"/>
                <w:szCs w:val="20"/>
                <w:color w:val="auto"/>
              </w:rPr>
            </w:pPr>
            <w:r>
              <w:rPr>
                <w:rFonts w:ascii="Arial" w:cs="Arial" w:eastAsia="Arial" w:hAnsi="Arial"/>
                <w:sz w:val="13"/>
                <w:szCs w:val="13"/>
                <w:color w:val="auto"/>
              </w:rPr>
              <w:t>Preferred and common equity</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1,302,438</w:t>
            </w:r>
          </w:p>
        </w:tc>
        <w:tc>
          <w:tcPr>
            <w:tcW w:w="18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4"/>
              </w:rPr>
              <w:t>Enterprise Market Value</w:t>
            </w:r>
          </w:p>
        </w:tc>
        <w:tc>
          <w:tcPr>
            <w:tcW w:w="19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EBITDA multiple</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6.5x – 8.5x</w:t>
            </w:r>
          </w:p>
        </w:tc>
        <w:tc>
          <w:tcPr>
            <w:tcW w:w="660" w:type="dxa"/>
            <w:vAlign w:val="bottom"/>
            <w:shd w:val="clear" w:color="auto" w:fill="CCEEFF"/>
          </w:tcPr>
          <w:p>
            <w:pPr>
              <w:spacing w:after="0"/>
              <w:rPr>
                <w:sz w:val="20"/>
                <w:szCs w:val="20"/>
                <w:color w:val="auto"/>
              </w:rPr>
            </w:pPr>
            <w:r>
              <w:rPr>
                <w:rFonts w:ascii="Arial" w:cs="Arial" w:eastAsia="Arial" w:hAnsi="Arial"/>
                <w:sz w:val="13"/>
                <w:szCs w:val="13"/>
                <w:color w:val="auto"/>
              </w:rPr>
              <w:t>(6.8x)</w:t>
            </w:r>
          </w:p>
        </w:tc>
        <w:tc>
          <w:tcPr>
            <w:tcW w:w="0" w:type="dxa"/>
            <w:vAlign w:val="bottom"/>
          </w:tcPr>
          <w:p>
            <w:pPr>
              <w:spacing w:after="0"/>
              <w:rPr>
                <w:sz w:val="1"/>
                <w:szCs w:val="1"/>
                <w:color w:val="auto"/>
              </w:rPr>
            </w:pPr>
          </w:p>
        </w:tc>
      </w:tr>
      <w:tr>
        <w:trPr>
          <w:trHeight w:val="155"/>
        </w:trPr>
        <w:tc>
          <w:tcPr>
            <w:tcW w:w="3940" w:type="dxa"/>
            <w:vAlign w:val="bottom"/>
          </w:tcPr>
          <w:p>
            <w:pPr>
              <w:ind w:left="220"/>
              <w:spacing w:after="0"/>
              <w:rPr>
                <w:sz w:val="20"/>
                <w:szCs w:val="20"/>
                <w:color w:val="auto"/>
              </w:rPr>
            </w:pPr>
            <w:r>
              <w:rPr>
                <w:rFonts w:ascii="Arial" w:cs="Arial" w:eastAsia="Arial" w:hAnsi="Arial"/>
                <w:sz w:val="13"/>
                <w:szCs w:val="13"/>
                <w:color w:val="auto"/>
              </w:rPr>
              <w:t>Total Level 3 investments</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169,046,400</w:t>
            </w:r>
          </w:p>
        </w:tc>
        <w:tc>
          <w:tcPr>
            <w:tcW w:w="1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94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Long-Term Credit Facility</w:t>
            </w:r>
          </w:p>
        </w:tc>
        <w:tc>
          <w:tcPr>
            <w:tcW w:w="2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13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75,122,500</w:t>
            </w:r>
          </w:p>
        </w:tc>
        <w:tc>
          <w:tcPr>
            <w:tcW w:w="18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center"/>
              <w:ind w:right="100"/>
              <w:spacing w:after="0" w:line="143" w:lineRule="exact"/>
              <w:rPr>
                <w:sz w:val="20"/>
                <w:szCs w:val="20"/>
                <w:color w:val="auto"/>
              </w:rPr>
            </w:pPr>
            <w:r>
              <w:rPr>
                <w:rFonts w:ascii="Arial" w:cs="Arial" w:eastAsia="Arial" w:hAnsi="Arial"/>
                <w:sz w:val="13"/>
                <w:szCs w:val="13"/>
                <w:color w:val="auto"/>
                <w:w w:val="94"/>
              </w:rPr>
              <w:t>Market Comparable</w:t>
            </w:r>
          </w:p>
        </w:tc>
        <w:tc>
          <w:tcPr>
            <w:tcW w:w="1980" w:type="dxa"/>
            <w:vAlign w:val="bottom"/>
            <w:gridSpan w:val="2"/>
            <w:shd w:val="clear" w:color="auto" w:fill="CCEEFF"/>
          </w:tcPr>
          <w:p>
            <w:pPr>
              <w:jc w:val="center"/>
              <w:ind w:right="100"/>
              <w:spacing w:after="0" w:line="143" w:lineRule="exact"/>
              <w:rPr>
                <w:sz w:val="20"/>
                <w:szCs w:val="20"/>
                <w:color w:val="auto"/>
              </w:rPr>
            </w:pPr>
            <w:r>
              <w:rPr>
                <w:rFonts w:ascii="Arial" w:cs="Arial" w:eastAsia="Arial" w:hAnsi="Arial"/>
                <w:sz w:val="13"/>
                <w:szCs w:val="13"/>
                <w:color w:val="auto"/>
                <w:w w:val="93"/>
              </w:rPr>
              <w:t>Discount rate</w:t>
            </w:r>
          </w:p>
        </w:tc>
        <w:tc>
          <w:tcPr>
            <w:tcW w:w="960" w:type="dxa"/>
            <w:vAlign w:val="bottom"/>
            <w:shd w:val="clear" w:color="auto" w:fill="CCEEFF"/>
          </w:tcPr>
          <w:p>
            <w:pPr>
              <w:jc w:val="center"/>
              <w:ind w:left="593"/>
              <w:spacing w:after="0" w:line="143" w:lineRule="exact"/>
              <w:rPr>
                <w:sz w:val="20"/>
                <w:szCs w:val="20"/>
                <w:color w:val="auto"/>
              </w:rPr>
            </w:pPr>
            <w:r>
              <w:rPr>
                <w:rFonts w:ascii="Arial" w:cs="Arial" w:eastAsia="Arial" w:hAnsi="Arial"/>
                <w:sz w:val="13"/>
                <w:szCs w:val="13"/>
                <w:color w:val="auto"/>
              </w:rPr>
              <w:t>3.1%</w:t>
            </w: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Our cash equivalents, investments and our long-term Credit Facility were categorized as follows in the fair value hierarchy for ASC 820 purposes.</w:t>
      </w:r>
    </w:p>
    <w:p>
      <w:pPr>
        <w:spacing w:after="0" w:line="14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7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Description</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780" w:type="dxa"/>
            <w:vAlign w:val="bottom"/>
            <w:tcBorders>
              <w:bottom w:val="single" w:sz="8" w:color="auto"/>
            </w:tcBorders>
            <w:gridSpan w:val="9"/>
          </w:tcPr>
          <w:p>
            <w:pPr>
              <w:jc w:val="right"/>
              <w:ind w:right="73"/>
              <w:spacing w:after="0"/>
              <w:rPr>
                <w:sz w:val="20"/>
                <w:szCs w:val="20"/>
                <w:color w:val="auto"/>
              </w:rPr>
            </w:pPr>
            <w:r>
              <w:rPr>
                <w:rFonts w:ascii="Arial" w:cs="Arial" w:eastAsia="Arial" w:hAnsi="Arial"/>
                <w:sz w:val="13"/>
                <w:szCs w:val="13"/>
                <w:b w:val="1"/>
                <w:bCs w:val="1"/>
                <w:color w:val="auto"/>
              </w:rPr>
              <w:t>Fair Value Measurements at September 30, 2012</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133"/>
              <w:spacing w:after="0" w:line="142" w:lineRule="exact"/>
              <w:rPr>
                <w:sz w:val="20"/>
                <w:szCs w:val="20"/>
                <w:color w:val="auto"/>
              </w:rPr>
            </w:pPr>
            <w:r>
              <w:rPr>
                <w:rFonts w:ascii="Arial" w:cs="Arial" w:eastAsia="Arial" w:hAnsi="Arial"/>
                <w:sz w:val="13"/>
                <w:szCs w:val="13"/>
                <w:b w:val="1"/>
                <w:bCs w:val="1"/>
                <w:color w:val="auto"/>
              </w:rPr>
              <w:t>Fair Value</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ind w:right="33"/>
              <w:spacing w:after="0" w:line="142" w:lineRule="exact"/>
              <w:rPr>
                <w:sz w:val="20"/>
                <w:szCs w:val="20"/>
                <w:color w:val="auto"/>
              </w:rPr>
            </w:pPr>
            <w:r>
              <w:rPr>
                <w:rFonts w:ascii="Arial" w:cs="Arial" w:eastAsia="Arial" w:hAnsi="Arial"/>
                <w:sz w:val="13"/>
                <w:szCs w:val="13"/>
                <w:b w:val="1"/>
                <w:bCs w:val="1"/>
                <w:color w:val="auto"/>
                <w:w w:val="99"/>
              </w:rPr>
              <w:t>Level 1</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33"/>
              <w:spacing w:after="0" w:line="142" w:lineRule="exact"/>
              <w:rPr>
                <w:sz w:val="20"/>
                <w:szCs w:val="20"/>
                <w:color w:val="auto"/>
              </w:rPr>
            </w:pPr>
            <w:r>
              <w:rPr>
                <w:rFonts w:ascii="Arial" w:cs="Arial" w:eastAsia="Arial" w:hAnsi="Arial"/>
                <w:sz w:val="13"/>
                <w:szCs w:val="13"/>
                <w:b w:val="1"/>
                <w:bCs w:val="1"/>
                <w:color w:val="auto"/>
                <w:w w:val="95"/>
              </w:rPr>
              <w:t>Level 2</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ind w:right="253"/>
              <w:spacing w:after="0" w:line="142" w:lineRule="exact"/>
              <w:rPr>
                <w:sz w:val="20"/>
                <w:szCs w:val="20"/>
                <w:color w:val="auto"/>
              </w:rPr>
            </w:pPr>
            <w:r>
              <w:rPr>
                <w:rFonts w:ascii="Arial" w:cs="Arial" w:eastAsia="Arial" w:hAnsi="Arial"/>
                <w:sz w:val="13"/>
                <w:szCs w:val="13"/>
                <w:b w:val="1"/>
                <w:bCs w:val="1"/>
                <w:color w:val="auto"/>
              </w:rPr>
              <w:t>Level 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First lien</w:t>
            </w:r>
          </w:p>
        </w:tc>
        <w:tc>
          <w:tcPr>
            <w:tcW w:w="4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150,209,747</w:t>
            </w:r>
          </w:p>
        </w:tc>
        <w:tc>
          <w:tcPr>
            <w:tcW w:w="5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4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4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53"/>
              <w:spacing w:after="0" w:line="142" w:lineRule="exact"/>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150,209,747</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00" w:type="dxa"/>
            <w:vAlign w:val="bottom"/>
            <w:gridSpan w:val="2"/>
          </w:tcPr>
          <w:p>
            <w:pPr>
              <w:spacing w:after="0"/>
              <w:rPr>
                <w:sz w:val="20"/>
                <w:szCs w:val="20"/>
                <w:color w:val="auto"/>
              </w:rPr>
            </w:pPr>
            <w:r>
              <w:rPr>
                <w:rFonts w:ascii="Arial" w:cs="Arial" w:eastAsia="Arial" w:hAnsi="Arial"/>
                <w:sz w:val="13"/>
                <w:szCs w:val="13"/>
                <w:color w:val="auto"/>
              </w:rPr>
              <w:t>Second lien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12,025,500</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12,025,500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Subordinated debt/corporate notes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8,296,719</w:t>
            </w: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2,788,000</w:t>
            </w: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5,508,719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700" w:type="dxa"/>
            <w:vAlign w:val="bottom"/>
            <w:gridSpan w:val="2"/>
          </w:tcPr>
          <w:p>
            <w:pPr>
              <w:spacing w:after="0"/>
              <w:rPr>
                <w:sz w:val="20"/>
                <w:szCs w:val="20"/>
                <w:color w:val="auto"/>
              </w:rPr>
            </w:pPr>
            <w:r>
              <w:rPr>
                <w:rFonts w:ascii="Arial" w:cs="Arial" w:eastAsia="Arial" w:hAnsi="Arial"/>
                <w:sz w:val="13"/>
                <w:szCs w:val="13"/>
                <w:color w:val="auto"/>
              </w:rPr>
              <w:t>Preferred and common equity</w:t>
            </w: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1,302,434</w:t>
            </w:r>
          </w:p>
        </w:tc>
        <w:tc>
          <w:tcPr>
            <w:tcW w:w="5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1,302,434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7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Total investments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171,834,400</w:t>
            </w: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2,788,000</w:t>
            </w: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169,046,400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700" w:type="dxa"/>
            <w:vAlign w:val="bottom"/>
            <w:gridSpan w:val="2"/>
          </w:tcPr>
          <w:p>
            <w:pPr>
              <w:spacing w:after="0"/>
              <w:rPr>
                <w:sz w:val="20"/>
                <w:szCs w:val="20"/>
                <w:color w:val="auto"/>
              </w:rPr>
            </w:pPr>
            <w:r>
              <w:rPr>
                <w:rFonts w:ascii="Arial" w:cs="Arial" w:eastAsia="Arial" w:hAnsi="Arial"/>
                <w:sz w:val="13"/>
                <w:szCs w:val="13"/>
                <w:color w:val="auto"/>
              </w:rPr>
              <w:t>Cash equivalents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3,845,803</w:t>
            </w: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93"/>
              </w:rPr>
              <w:t>3,845,803</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57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Total investments and cash equivalents</w:t>
            </w:r>
          </w:p>
        </w:tc>
        <w:tc>
          <w:tcPr>
            <w:tcW w:w="20" w:type="dxa"/>
            <w:vAlign w:val="bottom"/>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175,680,203</w:t>
            </w:r>
          </w:p>
        </w:tc>
        <w:tc>
          <w:tcPr>
            <w:tcW w:w="50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3"/>
              </w:rPr>
              <w:t>3,845,803</w:t>
            </w:r>
          </w:p>
        </w:tc>
        <w:tc>
          <w:tcPr>
            <w:tcW w:w="48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9"/>
              </w:rPr>
              <w:t>2,788,000</w:t>
            </w:r>
          </w:p>
        </w:tc>
        <w:tc>
          <w:tcPr>
            <w:tcW w:w="480" w:type="dxa"/>
            <w:vAlign w:val="bottom"/>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169,046,400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3"/>
                <w:szCs w:val="13"/>
                <w:color w:val="auto"/>
              </w:rPr>
              <w:t>Long-Term Credit Facility</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700" w:type="dxa"/>
            <w:vAlign w:val="bottom"/>
            <w:gridSpan w:val="2"/>
            <w:vMerge w:val="continue"/>
          </w:tcPr>
          <w:p>
            <w:pPr>
              <w:spacing w:after="0"/>
              <w:rPr>
                <w:sz w:val="12"/>
                <w:szCs w:val="12"/>
                <w:color w:val="auto"/>
              </w:rPr>
            </w:pPr>
          </w:p>
        </w:tc>
        <w:tc>
          <w:tcPr>
            <w:tcW w:w="140" w:type="dxa"/>
            <w:vAlign w:val="bottom"/>
            <w:gridSpan w:val="2"/>
          </w:tcPr>
          <w:p>
            <w:pPr>
              <w:jc w:val="right"/>
              <w:ind w:right="9"/>
              <w:spacing w:after="0" w:line="143" w:lineRule="exact"/>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line="143" w:lineRule="exact"/>
              <w:rPr>
                <w:sz w:val="20"/>
                <w:szCs w:val="20"/>
                <w:color w:val="auto"/>
              </w:rPr>
            </w:pPr>
            <w:r>
              <w:rPr>
                <w:rFonts w:ascii="Arial" w:cs="Arial" w:eastAsia="Arial" w:hAnsi="Arial"/>
                <w:sz w:val="13"/>
                <w:szCs w:val="13"/>
                <w:color w:val="auto"/>
              </w:rPr>
              <w:t>75,122,500</w:t>
            </w:r>
          </w:p>
        </w:tc>
        <w:tc>
          <w:tcPr>
            <w:tcW w:w="56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w:t>
            </w:r>
          </w:p>
        </w:tc>
        <w:tc>
          <w:tcPr>
            <w:tcW w:w="54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53"/>
              <w:spacing w:after="0" w:line="143" w:lineRule="exact"/>
              <w:rPr>
                <w:sz w:val="20"/>
                <w:szCs w:val="20"/>
                <w:color w:val="auto"/>
              </w:rPr>
            </w:pPr>
            <w:r>
              <w:rPr>
                <w:rFonts w:ascii="Arial" w:cs="Arial" w:eastAsia="Arial" w:hAnsi="Arial"/>
                <w:sz w:val="13"/>
                <w:szCs w:val="13"/>
                <w:color w:val="auto"/>
              </w:rPr>
              <w:t>$</w:t>
            </w:r>
          </w:p>
        </w:tc>
        <w:tc>
          <w:tcPr>
            <w:tcW w:w="860" w:type="dxa"/>
            <w:vAlign w:val="bottom"/>
          </w:tcPr>
          <w:p>
            <w:pPr>
              <w:jc w:val="right"/>
              <w:spacing w:after="0" w:line="143" w:lineRule="exact"/>
              <w:rPr>
                <w:sz w:val="20"/>
                <w:szCs w:val="20"/>
                <w:color w:val="auto"/>
              </w:rPr>
            </w:pPr>
            <w:r>
              <w:rPr>
                <w:rFonts w:ascii="Arial" w:cs="Arial" w:eastAsia="Arial" w:hAnsi="Arial"/>
                <w:sz w:val="13"/>
                <w:szCs w:val="13"/>
                <w:color w:val="auto"/>
              </w:rPr>
              <w:t>75,122,500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880" w:type="dxa"/>
            <w:vAlign w:val="bottom"/>
            <w:vMerge w:val="restart"/>
          </w:tcPr>
          <w:p>
            <w:pPr>
              <w:spacing w:after="0"/>
              <w:rPr>
                <w:sz w:val="20"/>
                <w:szCs w:val="20"/>
                <w:color w:val="auto"/>
              </w:rPr>
            </w:pPr>
            <w:r>
              <w:rPr>
                <w:rFonts w:ascii="Arial" w:cs="Arial" w:eastAsia="Arial" w:hAnsi="Arial"/>
                <w:sz w:val="13"/>
                <w:szCs w:val="13"/>
                <w:b w:val="1"/>
                <w:bCs w:val="1"/>
                <w:color w:val="auto"/>
              </w:rPr>
              <w:t>Description</w:t>
            </w: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20" w:type="dxa"/>
            <w:vAlign w:val="bottom"/>
            <w:tcBorders>
              <w:bottom w:val="single" w:sz="8" w:color="auto"/>
            </w:tcBorders>
            <w:gridSpan w:val="10"/>
          </w:tcPr>
          <w:p>
            <w:pPr>
              <w:jc w:val="right"/>
              <w:ind w:right="109"/>
              <w:spacing w:after="0"/>
              <w:rPr>
                <w:sz w:val="20"/>
                <w:szCs w:val="20"/>
                <w:color w:val="auto"/>
              </w:rPr>
            </w:pPr>
            <w:r>
              <w:rPr>
                <w:rFonts w:ascii="Arial" w:cs="Arial" w:eastAsia="Arial" w:hAnsi="Arial"/>
                <w:sz w:val="13"/>
                <w:szCs w:val="13"/>
                <w:b w:val="1"/>
                <w:bCs w:val="1"/>
                <w:color w:val="auto"/>
              </w:rPr>
              <w:t>Fair Value Measurements at September 30, 2011</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80" w:type="dxa"/>
            <w:vAlign w:val="bottom"/>
            <w:vMerge w:val="continue"/>
          </w:tcPr>
          <w:p>
            <w:pPr>
              <w:spacing w:after="0"/>
              <w:rPr>
                <w:sz w:val="12"/>
                <w:szCs w:val="12"/>
                <w:color w:val="auto"/>
              </w:rPr>
            </w:pPr>
          </w:p>
        </w:tc>
        <w:tc>
          <w:tcPr>
            <w:tcW w:w="1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400"/>
              <w:spacing w:after="0" w:line="142" w:lineRule="exact"/>
              <w:rPr>
                <w:sz w:val="20"/>
                <w:szCs w:val="20"/>
                <w:color w:val="auto"/>
              </w:rPr>
            </w:pPr>
            <w:r>
              <w:rPr>
                <w:rFonts w:ascii="Arial" w:cs="Arial" w:eastAsia="Arial" w:hAnsi="Arial"/>
                <w:sz w:val="13"/>
                <w:szCs w:val="13"/>
                <w:b w:val="1"/>
                <w:bCs w:val="1"/>
                <w:color w:val="auto"/>
              </w:rPr>
              <w:t>Fair Value</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33"/>
              <w:spacing w:after="0" w:line="142" w:lineRule="exact"/>
              <w:rPr>
                <w:sz w:val="20"/>
                <w:szCs w:val="20"/>
                <w:color w:val="auto"/>
              </w:rPr>
            </w:pPr>
            <w:r>
              <w:rPr>
                <w:rFonts w:ascii="Arial" w:cs="Arial" w:eastAsia="Arial" w:hAnsi="Arial"/>
                <w:sz w:val="13"/>
                <w:szCs w:val="13"/>
                <w:b w:val="1"/>
                <w:bCs w:val="1"/>
                <w:color w:val="auto"/>
                <w:w w:val="99"/>
              </w:rPr>
              <w:t>Level 1</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640"/>
              <w:spacing w:after="0" w:line="142" w:lineRule="exact"/>
              <w:rPr>
                <w:sz w:val="20"/>
                <w:szCs w:val="20"/>
                <w:color w:val="auto"/>
              </w:rPr>
            </w:pPr>
            <w:r>
              <w:rPr>
                <w:rFonts w:ascii="Arial" w:cs="Arial" w:eastAsia="Arial" w:hAnsi="Arial"/>
                <w:sz w:val="13"/>
                <w:szCs w:val="13"/>
                <w:b w:val="1"/>
                <w:bCs w:val="1"/>
                <w:color w:val="auto"/>
              </w:rPr>
              <w:t>Level 2</w:t>
            </w:r>
          </w:p>
        </w:tc>
        <w:tc>
          <w:tcPr>
            <w:tcW w:w="200" w:type="dxa"/>
            <w:vAlign w:val="bottom"/>
          </w:tcPr>
          <w:p>
            <w:pPr>
              <w:spacing w:after="0"/>
              <w:rPr>
                <w:sz w:val="12"/>
                <w:szCs w:val="12"/>
                <w:color w:val="auto"/>
              </w:rPr>
            </w:pPr>
          </w:p>
        </w:tc>
        <w:tc>
          <w:tcPr>
            <w:tcW w:w="840" w:type="dxa"/>
            <w:vAlign w:val="bottom"/>
          </w:tcPr>
          <w:p>
            <w:pPr>
              <w:jc w:val="right"/>
              <w:ind w:right="233"/>
              <w:spacing w:after="0" w:line="142" w:lineRule="exact"/>
              <w:rPr>
                <w:sz w:val="20"/>
                <w:szCs w:val="20"/>
                <w:color w:val="auto"/>
              </w:rPr>
            </w:pPr>
            <w:r>
              <w:rPr>
                <w:rFonts w:ascii="Arial" w:cs="Arial" w:eastAsia="Arial" w:hAnsi="Arial"/>
                <w:sz w:val="13"/>
                <w:szCs w:val="13"/>
                <w:b w:val="1"/>
                <w:bCs w:val="1"/>
                <w:color w:val="auto"/>
              </w:rPr>
              <w:t>Level 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First lien</w:t>
            </w:r>
          </w:p>
        </w:tc>
        <w:tc>
          <w:tcPr>
            <w:tcW w:w="15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91,363,126</w:t>
            </w: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3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33"/>
              <w:spacing w:after="0" w:line="142" w:lineRule="exact"/>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2,033,747</w:t>
            </w:r>
          </w:p>
        </w:tc>
        <w:tc>
          <w:tcPr>
            <w:tcW w:w="3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89,329,379</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20"/>
                <w:szCs w:val="20"/>
                <w:color w:val="auto"/>
              </w:rPr>
            </w:pPr>
            <w:r>
              <w:rPr>
                <w:rFonts w:ascii="Arial" w:cs="Arial" w:eastAsia="Arial" w:hAnsi="Arial"/>
                <w:sz w:val="13"/>
                <w:szCs w:val="13"/>
                <w:color w:val="auto"/>
              </w:rPr>
              <w:t>Second lien</w:t>
            </w:r>
          </w:p>
        </w:tc>
        <w:tc>
          <w:tcPr>
            <w:tcW w:w="1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12,255,000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12,255,000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shd w:val="clear" w:color="auto" w:fill="CCEEFF"/>
          </w:tcPr>
          <w:p>
            <w:pPr>
              <w:spacing w:after="0"/>
              <w:rPr>
                <w:sz w:val="20"/>
                <w:szCs w:val="20"/>
                <w:color w:val="auto"/>
              </w:rPr>
            </w:pPr>
            <w:r>
              <w:rPr>
                <w:rFonts w:ascii="Arial" w:cs="Arial" w:eastAsia="Arial" w:hAnsi="Arial"/>
                <w:sz w:val="13"/>
                <w:szCs w:val="13"/>
                <w:color w:val="auto"/>
              </w:rPr>
              <w:t>Subordinated debt/corporate notes</w:t>
            </w:r>
          </w:p>
        </w:tc>
        <w:tc>
          <w:tcPr>
            <w:tcW w:w="1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7,004,130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1,155,000</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5,849,130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20"/>
                <w:szCs w:val="20"/>
                <w:color w:val="auto"/>
              </w:rPr>
            </w:pPr>
            <w:r>
              <w:rPr>
                <w:rFonts w:ascii="Arial" w:cs="Arial" w:eastAsia="Arial" w:hAnsi="Arial"/>
                <w:sz w:val="13"/>
                <w:szCs w:val="13"/>
                <w:color w:val="auto"/>
              </w:rPr>
              <w:t>Preferred and common equity</w:t>
            </w:r>
          </w:p>
        </w:tc>
        <w:tc>
          <w:tcPr>
            <w:tcW w:w="1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101,985</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101,985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880" w:type="dxa"/>
            <w:vAlign w:val="bottom"/>
            <w:shd w:val="clear" w:color="auto" w:fill="CCEEFF"/>
          </w:tcPr>
          <w:p>
            <w:pPr>
              <w:ind w:left="440"/>
              <w:spacing w:after="0"/>
              <w:rPr>
                <w:sz w:val="20"/>
                <w:szCs w:val="20"/>
                <w:color w:val="auto"/>
              </w:rPr>
            </w:pPr>
            <w:r>
              <w:rPr>
                <w:rFonts w:ascii="Arial" w:cs="Arial" w:eastAsia="Arial" w:hAnsi="Arial"/>
                <w:sz w:val="13"/>
                <w:szCs w:val="13"/>
                <w:color w:val="auto"/>
              </w:rPr>
              <w:t>Total investments</w:t>
            </w:r>
          </w:p>
        </w:tc>
        <w:tc>
          <w:tcPr>
            <w:tcW w:w="1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110,724,241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3,188,747</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107,535,494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tcPr>
          <w:p>
            <w:pPr>
              <w:spacing w:after="0"/>
              <w:rPr>
                <w:sz w:val="20"/>
                <w:szCs w:val="20"/>
                <w:color w:val="auto"/>
              </w:rPr>
            </w:pPr>
            <w:r>
              <w:rPr>
                <w:rFonts w:ascii="Arial" w:cs="Arial" w:eastAsia="Arial" w:hAnsi="Arial"/>
                <w:sz w:val="13"/>
                <w:szCs w:val="13"/>
                <w:color w:val="auto"/>
              </w:rPr>
              <w:t>Cash equivalents</w:t>
            </w:r>
          </w:p>
        </w:tc>
        <w:tc>
          <w:tcPr>
            <w:tcW w:w="1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6,987,450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93"/>
              </w:rPr>
              <w:t>6,987,450</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880" w:type="dxa"/>
            <w:vAlign w:val="bottom"/>
            <w:shd w:val="clear" w:color="auto" w:fill="CCEEFF"/>
          </w:tcPr>
          <w:p>
            <w:pPr>
              <w:ind w:left="440"/>
              <w:spacing w:after="0"/>
              <w:rPr>
                <w:sz w:val="20"/>
                <w:szCs w:val="20"/>
                <w:color w:val="auto"/>
              </w:rPr>
            </w:pPr>
            <w:r>
              <w:rPr>
                <w:rFonts w:ascii="Arial" w:cs="Arial" w:eastAsia="Arial" w:hAnsi="Arial"/>
                <w:sz w:val="13"/>
                <w:szCs w:val="13"/>
                <w:color w:val="auto"/>
              </w:rPr>
              <w:t>Total investments and cash equivalents</w:t>
            </w:r>
          </w:p>
        </w:tc>
        <w:tc>
          <w:tcPr>
            <w:tcW w:w="1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117,711,691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6,987,450</w:t>
            </w: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3,188,747</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107,535,494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3"/>
                <w:szCs w:val="13"/>
                <w:color w:val="auto"/>
              </w:rPr>
              <w:t>Long-Term Credit Facility</w:t>
            </w: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880" w:type="dxa"/>
            <w:vAlign w:val="bottom"/>
            <w:vMerge w:val="continue"/>
          </w:tcPr>
          <w:p>
            <w:pPr>
              <w:spacing w:after="0"/>
              <w:rPr>
                <w:sz w:val="12"/>
                <w:szCs w:val="12"/>
                <w:color w:val="auto"/>
              </w:rPr>
            </w:pPr>
          </w:p>
        </w:tc>
        <w:tc>
          <w:tcPr>
            <w:tcW w:w="1940" w:type="dxa"/>
            <w:vAlign w:val="bottom"/>
            <w:gridSpan w:val="3"/>
          </w:tcPr>
          <w:p>
            <w:pPr>
              <w:jc w:val="right"/>
              <w:spacing w:after="0" w:line="143" w:lineRule="exact"/>
              <w:rPr>
                <w:sz w:val="20"/>
                <w:szCs w:val="20"/>
                <w:color w:val="auto"/>
              </w:rPr>
            </w:pPr>
            <w:r>
              <w:rPr>
                <w:rFonts w:ascii="Arial" w:cs="Arial" w:eastAsia="Arial" w:hAnsi="Arial"/>
                <w:sz w:val="13"/>
                <w:szCs w:val="13"/>
                <w:color w:val="auto"/>
              </w:rPr>
              <w:t>$</w:t>
            </w:r>
          </w:p>
        </w:tc>
        <w:tc>
          <w:tcPr>
            <w:tcW w:w="880" w:type="dxa"/>
            <w:vAlign w:val="bottom"/>
          </w:tcPr>
          <w:p>
            <w:pPr>
              <w:jc w:val="right"/>
              <w:spacing w:after="0" w:line="143" w:lineRule="exact"/>
              <w:rPr>
                <w:sz w:val="20"/>
                <w:szCs w:val="20"/>
                <w:color w:val="auto"/>
              </w:rPr>
            </w:pPr>
            <w:r>
              <w:rPr>
                <w:rFonts w:ascii="Arial" w:cs="Arial" w:eastAsia="Arial" w:hAnsi="Arial"/>
                <w:sz w:val="13"/>
                <w:szCs w:val="13"/>
                <w:color w:val="auto"/>
              </w:rPr>
              <w:t>24,650,000</w:t>
            </w:r>
          </w:p>
        </w:tc>
        <w:tc>
          <w:tcPr>
            <w:tcW w:w="200" w:type="dxa"/>
            <w:vAlign w:val="bottom"/>
          </w:tcPr>
          <w:p>
            <w:pPr>
              <w:spacing w:after="0"/>
              <w:rPr>
                <w:sz w:val="12"/>
                <w:szCs w:val="12"/>
                <w:color w:val="auto"/>
              </w:rPr>
            </w:pPr>
          </w:p>
        </w:tc>
        <w:tc>
          <w:tcPr>
            <w:tcW w:w="26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33"/>
              <w:spacing w:after="0" w:line="143" w:lineRule="exact"/>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380"/>
              <w:spacing w:after="0" w:line="143" w:lineRule="exact"/>
              <w:rPr>
                <w:sz w:val="20"/>
                <w:szCs w:val="20"/>
                <w:color w:val="auto"/>
              </w:rPr>
            </w:pPr>
            <w:r>
              <w:rPr>
                <w:rFonts w:ascii="Arial" w:cs="Arial" w:eastAsia="Arial" w:hAnsi="Arial"/>
                <w:sz w:val="13"/>
                <w:szCs w:val="13"/>
                <w:color w:val="auto"/>
              </w:rPr>
              <w:t>—</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line="143" w:lineRule="exact"/>
              <w:rPr>
                <w:sz w:val="20"/>
                <w:szCs w:val="20"/>
                <w:color w:val="auto"/>
              </w:rPr>
            </w:pPr>
            <w:r>
              <w:rPr>
                <w:rFonts w:ascii="Arial" w:cs="Arial" w:eastAsia="Arial" w:hAnsi="Arial"/>
                <w:sz w:val="13"/>
                <w:szCs w:val="13"/>
                <w:color w:val="auto"/>
              </w:rPr>
              <w:t>24,650,000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500" w:type="dxa"/>
            <w:vAlign w:val="bottom"/>
            <w:vMerge w:val="restart"/>
          </w:tcPr>
          <w:p>
            <w:pPr>
              <w:jc w:val="right"/>
              <w:spacing w:after="0"/>
              <w:rPr>
                <w:sz w:val="20"/>
                <w:szCs w:val="20"/>
                <w:color w:val="auto"/>
              </w:rPr>
            </w:pPr>
            <w:r>
              <w:rPr>
                <w:rFonts w:ascii="Arial" w:cs="Arial" w:eastAsia="Arial" w:hAnsi="Arial"/>
                <w:sz w:val="13"/>
                <w:szCs w:val="13"/>
                <w:color w:val="auto"/>
              </w:rPr>
              <w:t>71</w:t>
            </w: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88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jc w:val="center"/>
        <w:spacing w:after="0"/>
        <w:rPr>
          <w:sz w:val="20"/>
          <w:szCs w:val="20"/>
          <w:color w:val="auto"/>
        </w:rPr>
      </w:pPr>
      <w:r>
        <w:rPr>
          <w:rFonts w:ascii="Arial" w:cs="Arial" w:eastAsia="Arial" w:hAnsi="Arial"/>
          <w:sz w:val="13"/>
          <w:szCs w:val="13"/>
          <w:b w:val="1"/>
          <w:bCs w:val="1"/>
          <w:color w:val="auto"/>
        </w:rPr>
        <w:t>SEPTEMBER 30, 2012</w:t>
      </w:r>
    </w:p>
    <w:p>
      <w:pPr>
        <w:spacing w:after="0" w:line="136"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following tables show a reconciliation of the beginning and ending balances for fair valued investments measured using significant unobservable inputs (Level 3):</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3"/>
                <w:szCs w:val="13"/>
                <w:b w:val="1"/>
                <w:bCs w:val="1"/>
                <w:color w:val="auto"/>
                <w:w w:val="97"/>
              </w:rPr>
              <w:t>Year Ended September 30, 2012</w:t>
            </w: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gridSpan w:val="2"/>
          </w:tcPr>
          <w:p>
            <w:pPr>
              <w:jc w:val="center"/>
              <w:ind w:right="600"/>
              <w:spacing w:after="0" w:line="129" w:lineRule="exact"/>
              <w:rPr>
                <w:sz w:val="20"/>
                <w:szCs w:val="20"/>
                <w:color w:val="auto"/>
              </w:rPr>
            </w:pPr>
            <w:r>
              <w:rPr>
                <w:rFonts w:ascii="Arial" w:cs="Arial" w:eastAsia="Arial" w:hAnsi="Arial"/>
                <w:sz w:val="13"/>
                <w:szCs w:val="13"/>
                <w:b w:val="1"/>
                <w:bCs w:val="1"/>
                <w:color w:val="auto"/>
                <w:w w:val="91"/>
              </w:rPr>
              <w:t>Second lien,</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gridSpan w:val="2"/>
          </w:tcPr>
          <w:p>
            <w:pPr>
              <w:jc w:val="center"/>
              <w:ind w:right="600"/>
              <w:spacing w:after="0" w:line="134" w:lineRule="exact"/>
              <w:rPr>
                <w:sz w:val="20"/>
                <w:szCs w:val="20"/>
                <w:color w:val="auto"/>
              </w:rPr>
            </w:pPr>
            <w:r>
              <w:rPr>
                <w:rFonts w:ascii="Arial" w:cs="Arial" w:eastAsia="Arial" w:hAnsi="Arial"/>
                <w:sz w:val="13"/>
                <w:szCs w:val="13"/>
                <w:b w:val="1"/>
                <w:bCs w:val="1"/>
                <w:color w:val="auto"/>
                <w:w w:val="93"/>
              </w:rPr>
              <w:t>subordinated debt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6620" w:type="dxa"/>
            <w:vAlign w:val="bottom"/>
            <w:gridSpan w:val="2"/>
          </w:tcPr>
          <w:p>
            <w:pPr>
              <w:spacing w:after="0"/>
              <w:rPr>
                <w:sz w:val="20"/>
                <w:szCs w:val="20"/>
                <w:color w:val="auto"/>
              </w:rPr>
            </w:pPr>
            <w:r>
              <w:rPr>
                <w:rFonts w:ascii="Arial" w:cs="Arial" w:eastAsia="Arial" w:hAnsi="Arial"/>
                <w:sz w:val="13"/>
                <w:szCs w:val="13"/>
                <w:b w:val="1"/>
                <w:bCs w:val="1"/>
                <w:color w:val="auto"/>
              </w:rPr>
              <w:t>Description</w:t>
            </w:r>
          </w:p>
        </w:tc>
        <w:tc>
          <w:tcPr>
            <w:tcW w:w="120" w:type="dxa"/>
            <w:vAlign w:val="bottom"/>
          </w:tcPr>
          <w:p>
            <w:pPr>
              <w:spacing w:after="0"/>
              <w:rPr>
                <w:sz w:val="15"/>
                <w:szCs w:val="15"/>
                <w:color w:val="auto"/>
              </w:rPr>
            </w:pPr>
          </w:p>
        </w:tc>
        <w:tc>
          <w:tcPr>
            <w:tcW w:w="1060" w:type="dxa"/>
            <w:vAlign w:val="bottom"/>
            <w:gridSpan w:val="6"/>
          </w:tcPr>
          <w:p>
            <w:pPr>
              <w:jc w:val="right"/>
              <w:ind w:right="400"/>
              <w:spacing w:after="0"/>
              <w:rPr>
                <w:sz w:val="20"/>
                <w:szCs w:val="20"/>
                <w:color w:val="auto"/>
              </w:rPr>
            </w:pPr>
            <w:r>
              <w:rPr>
                <w:rFonts w:ascii="Arial" w:cs="Arial" w:eastAsia="Arial" w:hAnsi="Arial"/>
                <w:sz w:val="13"/>
                <w:szCs w:val="13"/>
                <w:b w:val="1"/>
                <w:bCs w:val="1"/>
                <w:color w:val="auto"/>
              </w:rPr>
              <w:t>First Lien</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4"/>
          </w:tcPr>
          <w:p>
            <w:pPr>
              <w:jc w:val="center"/>
              <w:ind w:right="340"/>
              <w:spacing w:after="0" w:line="176" w:lineRule="exact"/>
              <w:rPr>
                <w:sz w:val="20"/>
                <w:szCs w:val="20"/>
                <w:color w:val="auto"/>
              </w:rPr>
            </w:pPr>
            <w:r>
              <w:rPr>
                <w:rFonts w:ascii="Arial" w:cs="Arial" w:eastAsia="Arial" w:hAnsi="Arial"/>
                <w:sz w:val="12"/>
                <w:szCs w:val="12"/>
                <w:b w:val="1"/>
                <w:bCs w:val="1"/>
                <w:color w:val="auto"/>
                <w:w w:val="98"/>
              </w:rPr>
              <w:t xml:space="preserve">and equity investments </w:t>
            </w:r>
            <w:r>
              <w:rPr>
                <w:rFonts w:ascii="Arial" w:cs="Arial" w:eastAsia="Arial" w:hAnsi="Arial"/>
                <w:sz w:val="20"/>
                <w:szCs w:val="20"/>
                <w:b w:val="1"/>
                <w:bCs w:val="1"/>
                <w:color w:val="auto"/>
                <w:w w:val="98"/>
                <w:vertAlign w:val="superscript"/>
              </w:rPr>
              <w:t>(1)</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Totals</w:t>
            </w:r>
          </w:p>
        </w:tc>
        <w:tc>
          <w:tcPr>
            <w:tcW w:w="0" w:type="dxa"/>
            <w:vAlign w:val="bottom"/>
          </w:tcPr>
          <w:p>
            <w:pPr>
              <w:spacing w:after="0"/>
              <w:rPr>
                <w:sz w:val="1"/>
                <w:szCs w:val="1"/>
                <w:color w:val="auto"/>
              </w:rPr>
            </w:pPr>
          </w:p>
        </w:tc>
      </w:tr>
      <w:tr>
        <w:trPr>
          <w:trHeight w:val="142"/>
        </w:trPr>
        <w:tc>
          <w:tcPr>
            <w:tcW w:w="64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Beginning Balance, September 30, 2011</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gridSpan w:val="4"/>
            <w:shd w:val="clear" w:color="auto" w:fill="CCEEFF"/>
          </w:tcPr>
          <w:p>
            <w:pPr>
              <w:jc w:val="right"/>
              <w:spacing w:after="0" w:line="142" w:lineRule="exact"/>
              <w:rPr>
                <w:sz w:val="20"/>
                <w:szCs w:val="20"/>
                <w:color w:val="auto"/>
              </w:rPr>
            </w:pPr>
            <w:r>
              <w:rPr>
                <w:rFonts w:ascii="Arial" w:cs="Arial" w:eastAsia="Arial" w:hAnsi="Arial"/>
                <w:sz w:val="13"/>
                <w:szCs w:val="13"/>
                <w:color w:val="auto"/>
              </w:rPr>
              <w:t>89,329,379</w:t>
            </w: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18,206,115</w:t>
            </w:r>
          </w:p>
        </w:tc>
        <w:tc>
          <w:tcPr>
            <w:tcW w:w="200" w:type="dxa"/>
            <w:vAlign w:val="bottom"/>
            <w:tcBorders>
              <w:top w:val="single" w:sz="8" w:color="CCEEFF"/>
              <w:left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107,535,494</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gridSpan w:val="2"/>
          </w:tcPr>
          <w:p>
            <w:pPr>
              <w:ind w:left="440"/>
              <w:spacing w:after="0"/>
              <w:rPr>
                <w:sz w:val="20"/>
                <w:szCs w:val="20"/>
                <w:color w:val="auto"/>
              </w:rPr>
            </w:pPr>
            <w:r>
              <w:rPr>
                <w:rFonts w:ascii="Arial" w:cs="Arial" w:eastAsia="Arial" w:hAnsi="Arial"/>
                <w:sz w:val="13"/>
                <w:szCs w:val="13"/>
                <w:color w:val="auto"/>
              </w:rPr>
              <w:t>Realized gains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3"/>
                <w:szCs w:val="13"/>
                <w:color w:val="auto"/>
              </w:rPr>
              <w:t>630,647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3"/>
                <w:szCs w:val="13"/>
                <w:color w:val="auto"/>
              </w:rPr>
              <w:t>278,832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909,479</w:t>
            </w:r>
          </w:p>
        </w:tc>
        <w:tc>
          <w:tcPr>
            <w:tcW w:w="0" w:type="dxa"/>
            <w:vAlign w:val="bottom"/>
          </w:tcPr>
          <w:p>
            <w:pPr>
              <w:spacing w:after="0"/>
              <w:rPr>
                <w:sz w:val="1"/>
                <w:szCs w:val="1"/>
                <w:color w:val="auto"/>
              </w:rPr>
            </w:pPr>
          </w:p>
        </w:tc>
      </w:tr>
      <w:tr>
        <w:trPr>
          <w:trHeight w:val="149"/>
        </w:trPr>
        <w:tc>
          <w:tcPr>
            <w:tcW w:w="66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Unrealized appreciation</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3"/>
              </w:rPr>
              <w:t>3,543,311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1,422,002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4,965,313</w:t>
            </w:r>
          </w:p>
        </w:tc>
        <w:tc>
          <w:tcPr>
            <w:tcW w:w="0" w:type="dxa"/>
            <w:vAlign w:val="bottom"/>
          </w:tcPr>
          <w:p>
            <w:pPr>
              <w:spacing w:after="0"/>
              <w:rPr>
                <w:sz w:val="1"/>
                <w:szCs w:val="1"/>
                <w:color w:val="auto"/>
              </w:rPr>
            </w:pPr>
          </w:p>
        </w:tc>
      </w:tr>
      <w:tr>
        <w:trPr>
          <w:trHeight w:val="148"/>
        </w:trPr>
        <w:tc>
          <w:tcPr>
            <w:tcW w:w="6620" w:type="dxa"/>
            <w:vAlign w:val="bottom"/>
            <w:gridSpan w:val="2"/>
          </w:tcPr>
          <w:p>
            <w:pPr>
              <w:ind w:left="440"/>
              <w:spacing w:after="0"/>
              <w:rPr>
                <w:sz w:val="20"/>
                <w:szCs w:val="20"/>
                <w:color w:val="auto"/>
              </w:rPr>
            </w:pPr>
            <w:r>
              <w:rPr>
                <w:rFonts w:ascii="Arial" w:cs="Arial" w:eastAsia="Arial" w:hAnsi="Arial"/>
                <w:sz w:val="13"/>
                <w:szCs w:val="13"/>
                <w:color w:val="auto"/>
              </w:rPr>
              <w:t>Purchases, PIK and net discount accretion</w:t>
            </w:r>
          </w:p>
        </w:tc>
        <w:tc>
          <w:tcPr>
            <w:tcW w:w="120" w:type="dxa"/>
            <w:vAlign w:val="bottom"/>
          </w:tcPr>
          <w:p>
            <w:pPr>
              <w:spacing w:after="0"/>
              <w:rPr>
                <w:sz w:val="12"/>
                <w:szCs w:val="12"/>
                <w:color w:val="auto"/>
              </w:rPr>
            </w:pPr>
          </w:p>
        </w:tc>
        <w:tc>
          <w:tcPr>
            <w:tcW w:w="880" w:type="dxa"/>
            <w:vAlign w:val="bottom"/>
            <w:gridSpan w:val="5"/>
          </w:tcPr>
          <w:p>
            <w:pPr>
              <w:jc w:val="right"/>
              <w:ind w:right="20"/>
              <w:spacing w:after="0"/>
              <w:rPr>
                <w:sz w:val="20"/>
                <w:szCs w:val="20"/>
                <w:color w:val="auto"/>
              </w:rPr>
            </w:pPr>
            <w:r>
              <w:rPr>
                <w:rFonts w:ascii="Arial" w:cs="Arial" w:eastAsia="Arial" w:hAnsi="Arial"/>
                <w:sz w:val="13"/>
                <w:szCs w:val="13"/>
                <w:color w:val="auto"/>
              </w:rPr>
              <w:t>114,967,516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3"/>
                <w:szCs w:val="13"/>
                <w:color w:val="auto"/>
              </w:rPr>
              <w:t>7,945,929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122,913,445</w:t>
            </w:r>
          </w:p>
        </w:tc>
        <w:tc>
          <w:tcPr>
            <w:tcW w:w="0" w:type="dxa"/>
            <w:vAlign w:val="bottom"/>
          </w:tcPr>
          <w:p>
            <w:pPr>
              <w:spacing w:after="0"/>
              <w:rPr>
                <w:sz w:val="1"/>
                <w:szCs w:val="1"/>
                <w:color w:val="auto"/>
              </w:rPr>
            </w:pPr>
          </w:p>
        </w:tc>
      </w:tr>
      <w:tr>
        <w:trPr>
          <w:trHeight w:val="148"/>
        </w:trPr>
        <w:tc>
          <w:tcPr>
            <w:tcW w:w="66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Sales / repayments / exchanges</w:t>
            </w:r>
          </w:p>
        </w:tc>
        <w:tc>
          <w:tcPr>
            <w:tcW w:w="120" w:type="dxa"/>
            <w:vAlign w:val="bottom"/>
            <w:shd w:val="clear" w:color="auto" w:fill="CCEEFF"/>
          </w:tcPr>
          <w:p>
            <w:pPr>
              <w:spacing w:after="0"/>
              <w:rPr>
                <w:sz w:val="12"/>
                <w:szCs w:val="12"/>
                <w:color w:val="auto"/>
              </w:rPr>
            </w:pPr>
          </w:p>
        </w:tc>
        <w:tc>
          <w:tcPr>
            <w:tcW w:w="1060" w:type="dxa"/>
            <w:vAlign w:val="bottom"/>
            <w:gridSpan w:val="6"/>
            <w:shd w:val="clear" w:color="auto" w:fill="CCEEFF"/>
          </w:tcPr>
          <w:p>
            <w:pPr>
              <w:jc w:val="right"/>
              <w:ind w:right="160"/>
              <w:spacing w:after="0"/>
              <w:rPr>
                <w:sz w:val="20"/>
                <w:szCs w:val="20"/>
                <w:color w:val="auto"/>
              </w:rPr>
            </w:pPr>
            <w:r>
              <w:rPr>
                <w:rFonts w:ascii="Arial" w:cs="Arial" w:eastAsia="Arial" w:hAnsi="Arial"/>
                <w:sz w:val="13"/>
                <w:szCs w:val="13"/>
                <w:color w:val="auto"/>
              </w:rPr>
              <w:t>(58,261,106)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(9,016,225)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(67,277,331)</w:t>
            </w:r>
          </w:p>
        </w:tc>
        <w:tc>
          <w:tcPr>
            <w:tcW w:w="0" w:type="dxa"/>
            <w:vAlign w:val="bottom"/>
          </w:tcPr>
          <w:p>
            <w:pPr>
              <w:spacing w:after="0"/>
              <w:rPr>
                <w:sz w:val="1"/>
                <w:szCs w:val="1"/>
                <w:color w:val="auto"/>
              </w:rPr>
            </w:pPr>
          </w:p>
        </w:tc>
      </w:tr>
      <w:tr>
        <w:trPr>
          <w:trHeight w:val="148"/>
        </w:trPr>
        <w:tc>
          <w:tcPr>
            <w:tcW w:w="6620" w:type="dxa"/>
            <w:vAlign w:val="bottom"/>
            <w:gridSpan w:val="2"/>
          </w:tcPr>
          <w:p>
            <w:pPr>
              <w:ind w:left="440"/>
              <w:spacing w:after="0"/>
              <w:rPr>
                <w:sz w:val="20"/>
                <w:szCs w:val="20"/>
                <w:color w:val="auto"/>
              </w:rPr>
            </w:pPr>
            <w:r>
              <w:rPr>
                <w:rFonts w:ascii="Arial" w:cs="Arial" w:eastAsia="Arial" w:hAnsi="Arial"/>
                <w:sz w:val="13"/>
                <w:szCs w:val="13"/>
                <w:color w:val="auto"/>
              </w:rPr>
              <w:t>Transfers in and/or out of Level 3</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6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Ending Balance, September 30, 2012</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150,209,747</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18,836,653</w:t>
            </w:r>
          </w:p>
        </w:tc>
        <w:tc>
          <w:tcPr>
            <w:tcW w:w="340" w:type="dxa"/>
            <w:vAlign w:val="bottom"/>
            <w:gridSpan w:val="3"/>
            <w:shd w:val="clear" w:color="auto" w:fill="CCEEFF"/>
          </w:tcPr>
          <w:p>
            <w:pPr>
              <w:jc w:val="right"/>
              <w:ind w:right="69"/>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169,046,400</w:t>
            </w: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Arial" w:cs="Arial" w:eastAsia="Arial" w:hAnsi="Arial"/>
                <w:sz w:val="13"/>
                <w:szCs w:val="13"/>
                <w:color w:val="auto"/>
              </w:rPr>
              <w:t>Net change in unrealized appreciation for the year ended September 30, 2012 reported within the net change in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6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620" w:type="dxa"/>
            <w:vAlign w:val="bottom"/>
            <w:gridSpan w:val="2"/>
          </w:tcPr>
          <w:p>
            <w:pPr>
              <w:ind w:left="220"/>
              <w:spacing w:after="0"/>
              <w:rPr>
                <w:sz w:val="20"/>
                <w:szCs w:val="20"/>
                <w:color w:val="auto"/>
              </w:rPr>
            </w:pPr>
            <w:r>
              <w:rPr>
                <w:rFonts w:ascii="Arial" w:cs="Arial" w:eastAsia="Arial" w:hAnsi="Arial"/>
                <w:sz w:val="13"/>
                <w:szCs w:val="13"/>
                <w:color w:val="auto"/>
              </w:rPr>
              <w:t>unrealized appreciation on investments in our Consolidated Statement of Operations attributable to our Level 3</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6620" w:type="dxa"/>
            <w:vAlign w:val="bottom"/>
            <w:gridSpan w:val="2"/>
          </w:tcPr>
          <w:p>
            <w:pPr>
              <w:ind w:left="220"/>
              <w:spacing w:after="0"/>
              <w:rPr>
                <w:sz w:val="20"/>
                <w:szCs w:val="20"/>
                <w:color w:val="auto"/>
              </w:rPr>
            </w:pPr>
            <w:r>
              <w:rPr>
                <w:rFonts w:ascii="Arial" w:cs="Arial" w:eastAsia="Arial" w:hAnsi="Arial"/>
                <w:sz w:val="13"/>
                <w:szCs w:val="13"/>
                <w:color w:val="auto"/>
              </w:rPr>
              <w:t>assets still held at the reporting date.</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3"/>
                <w:szCs w:val="13"/>
                <w:color w:val="auto"/>
                <w:w w:val="93"/>
              </w:rPr>
              <w:t>4,140,166</w:t>
            </w:r>
          </w:p>
        </w:tc>
        <w:tc>
          <w:tcPr>
            <w:tcW w:w="180" w:type="dxa"/>
            <w:vAlign w:val="bottom"/>
          </w:tcPr>
          <w:p>
            <w:pPr>
              <w:spacing w:after="0"/>
              <w:rPr>
                <w:sz w:val="13"/>
                <w:szCs w:val="13"/>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3"/>
                <w:szCs w:val="13"/>
                <w:color w:val="auto"/>
              </w:rPr>
              <w:t>1,424,404</w:t>
            </w:r>
          </w:p>
        </w:tc>
        <w:tc>
          <w:tcPr>
            <w:tcW w:w="340" w:type="dxa"/>
            <w:vAlign w:val="bottom"/>
            <w:gridSpan w:val="3"/>
          </w:tcPr>
          <w:p>
            <w:pPr>
              <w:jc w:val="right"/>
              <w:ind w:right="69"/>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5,564,570</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154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0" w:type="dxa"/>
            <w:vAlign w:val="bottom"/>
            <w:gridSpan w:val="15"/>
          </w:tcPr>
          <w:p>
            <w:pPr>
              <w:jc w:val="right"/>
              <w:ind w:right="360"/>
              <w:spacing w:after="0"/>
              <w:rPr>
                <w:sz w:val="20"/>
                <w:szCs w:val="20"/>
                <w:color w:val="auto"/>
              </w:rPr>
            </w:pPr>
            <w:r>
              <w:rPr>
                <w:rFonts w:ascii="Arial" w:cs="Arial" w:eastAsia="Arial" w:hAnsi="Arial"/>
                <w:sz w:val="13"/>
                <w:szCs w:val="13"/>
                <w:b w:val="1"/>
                <w:bCs w:val="1"/>
                <w:color w:val="auto"/>
                <w:w w:val="98"/>
              </w:rPr>
              <w:t>For the period March 4, 2011 (commencement of operations) to</w:t>
            </w:r>
          </w:p>
        </w:tc>
        <w:tc>
          <w:tcPr>
            <w:tcW w:w="0" w:type="dxa"/>
            <w:vAlign w:val="bottom"/>
          </w:tcPr>
          <w:p>
            <w:pPr>
              <w:spacing w:after="0"/>
              <w:rPr>
                <w:sz w:val="1"/>
                <w:szCs w:val="1"/>
                <w:color w:val="auto"/>
              </w:rPr>
            </w:pPr>
          </w:p>
        </w:tc>
      </w:tr>
      <w:tr>
        <w:trPr>
          <w:trHeight w:val="161"/>
        </w:trPr>
        <w:tc>
          <w:tcPr>
            <w:tcW w:w="6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3"/>
                <w:szCs w:val="13"/>
                <w:b w:val="1"/>
                <w:bCs w:val="1"/>
                <w:color w:val="auto"/>
              </w:rPr>
              <w:t>September 30, 2011</w:t>
            </w: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gridSpan w:val="2"/>
          </w:tcPr>
          <w:p>
            <w:pPr>
              <w:jc w:val="center"/>
              <w:ind w:right="280"/>
              <w:spacing w:after="0" w:line="129" w:lineRule="exact"/>
              <w:rPr>
                <w:sz w:val="20"/>
                <w:szCs w:val="20"/>
                <w:color w:val="auto"/>
              </w:rPr>
            </w:pPr>
            <w:r>
              <w:rPr>
                <w:rFonts w:ascii="Arial" w:cs="Arial" w:eastAsia="Arial" w:hAnsi="Arial"/>
                <w:sz w:val="13"/>
                <w:szCs w:val="13"/>
                <w:b w:val="1"/>
                <w:bCs w:val="1"/>
                <w:color w:val="auto"/>
                <w:w w:val="91"/>
              </w:rPr>
              <w:t>Second lien,</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6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Description</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3"/>
              </w:rPr>
              <w:t>subordinated debt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6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rPr>
              <w:t>First Lien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and equity investments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Totals</w:t>
            </w:r>
          </w:p>
        </w:tc>
        <w:tc>
          <w:tcPr>
            <w:tcW w:w="0" w:type="dxa"/>
            <w:vAlign w:val="bottom"/>
          </w:tcPr>
          <w:p>
            <w:pPr>
              <w:spacing w:after="0"/>
              <w:rPr>
                <w:sz w:val="1"/>
                <w:szCs w:val="1"/>
                <w:color w:val="auto"/>
              </w:rPr>
            </w:pPr>
          </w:p>
        </w:tc>
      </w:tr>
      <w:tr>
        <w:trPr>
          <w:trHeight w:val="142"/>
        </w:trPr>
        <w:tc>
          <w:tcPr>
            <w:tcW w:w="662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3"/>
                <w:szCs w:val="13"/>
                <w:color w:val="auto"/>
              </w:rPr>
              <w:t>Beginning Balance, March 4, 2011</w:t>
            </w:r>
          </w:p>
        </w:tc>
        <w:tc>
          <w:tcPr>
            <w:tcW w:w="1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gridSpan w:val="2"/>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4"/>
                <w:szCs w:val="4"/>
                <w:color w:val="auto"/>
                <w:w w:val="87"/>
              </w:rPr>
              <w:t>$</w:t>
            </w:r>
          </w:p>
        </w:tc>
        <w:tc>
          <w:tcPr>
            <w:tcW w:w="5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CEEFF"/>
              <w:left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gridSpan w:val="2"/>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gridSpan w:val="2"/>
          </w:tcPr>
          <w:p>
            <w:pPr>
              <w:ind w:left="440"/>
              <w:spacing w:after="0"/>
              <w:rPr>
                <w:sz w:val="20"/>
                <w:szCs w:val="20"/>
                <w:color w:val="auto"/>
              </w:rPr>
            </w:pPr>
            <w:r>
              <w:rPr>
                <w:rFonts w:ascii="Arial" w:cs="Arial" w:eastAsia="Arial" w:hAnsi="Arial"/>
                <w:sz w:val="13"/>
                <w:szCs w:val="13"/>
                <w:color w:val="auto"/>
              </w:rPr>
              <w:t>Realized gains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6"/>
          </w:tcPr>
          <w:p>
            <w:pPr>
              <w:jc w:val="right"/>
              <w:ind w:right="100"/>
              <w:spacing w:after="0"/>
              <w:rPr>
                <w:sz w:val="20"/>
                <w:szCs w:val="20"/>
                <w:color w:val="auto"/>
              </w:rPr>
            </w:pPr>
            <w:r>
              <w:rPr>
                <w:rFonts w:ascii="Arial" w:cs="Arial" w:eastAsia="Arial" w:hAnsi="Arial"/>
                <w:sz w:val="13"/>
                <w:szCs w:val="13"/>
                <w:color w:val="auto"/>
              </w:rPr>
              <w:t>218,684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93,319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312,003</w:t>
            </w:r>
          </w:p>
        </w:tc>
        <w:tc>
          <w:tcPr>
            <w:tcW w:w="0" w:type="dxa"/>
            <w:vAlign w:val="bottom"/>
          </w:tcPr>
          <w:p>
            <w:pPr>
              <w:spacing w:after="0"/>
              <w:rPr>
                <w:sz w:val="1"/>
                <w:szCs w:val="1"/>
                <w:color w:val="auto"/>
              </w:rPr>
            </w:pPr>
          </w:p>
        </w:tc>
      </w:tr>
      <w:tr>
        <w:trPr>
          <w:trHeight w:val="148"/>
        </w:trPr>
        <w:tc>
          <w:tcPr>
            <w:tcW w:w="66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Unrealized appreciation</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6"/>
            <w:shd w:val="clear" w:color="auto" w:fill="CCEEFF"/>
          </w:tcPr>
          <w:p>
            <w:pPr>
              <w:jc w:val="right"/>
              <w:ind w:right="60"/>
              <w:spacing w:after="0"/>
              <w:rPr>
                <w:sz w:val="20"/>
                <w:szCs w:val="20"/>
                <w:color w:val="auto"/>
              </w:rPr>
            </w:pPr>
            <w:r>
              <w:rPr>
                <w:rFonts w:ascii="Arial" w:cs="Arial" w:eastAsia="Arial" w:hAnsi="Arial"/>
                <w:sz w:val="13"/>
                <w:szCs w:val="13"/>
                <w:color w:val="auto"/>
              </w:rPr>
              <w:t>(3,591,606)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(123,301)</w:t>
            </w:r>
          </w:p>
        </w:tc>
        <w:tc>
          <w:tcPr>
            <w:tcW w:w="2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(3,714,907)</w:t>
            </w:r>
          </w:p>
        </w:tc>
        <w:tc>
          <w:tcPr>
            <w:tcW w:w="0" w:type="dxa"/>
            <w:vAlign w:val="bottom"/>
          </w:tcPr>
          <w:p>
            <w:pPr>
              <w:spacing w:after="0"/>
              <w:rPr>
                <w:sz w:val="1"/>
                <w:szCs w:val="1"/>
                <w:color w:val="auto"/>
              </w:rPr>
            </w:pPr>
          </w:p>
        </w:tc>
      </w:tr>
      <w:tr>
        <w:trPr>
          <w:trHeight w:val="148"/>
        </w:trPr>
        <w:tc>
          <w:tcPr>
            <w:tcW w:w="6620" w:type="dxa"/>
            <w:vAlign w:val="bottom"/>
            <w:gridSpan w:val="2"/>
          </w:tcPr>
          <w:p>
            <w:pPr>
              <w:ind w:left="440"/>
              <w:spacing w:after="0"/>
              <w:rPr>
                <w:sz w:val="20"/>
                <w:szCs w:val="20"/>
                <w:color w:val="auto"/>
              </w:rPr>
            </w:pPr>
            <w:r>
              <w:rPr>
                <w:rFonts w:ascii="Arial" w:cs="Arial" w:eastAsia="Arial" w:hAnsi="Arial"/>
                <w:sz w:val="13"/>
                <w:szCs w:val="13"/>
                <w:color w:val="auto"/>
              </w:rPr>
              <w:t>Purchases, PIK and net discount accretion</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6"/>
          </w:tcPr>
          <w:p>
            <w:pPr>
              <w:jc w:val="right"/>
              <w:ind w:right="100"/>
              <w:spacing w:after="0"/>
              <w:rPr>
                <w:sz w:val="20"/>
                <w:szCs w:val="20"/>
                <w:color w:val="auto"/>
              </w:rPr>
            </w:pPr>
            <w:r>
              <w:rPr>
                <w:rFonts w:ascii="Arial" w:cs="Arial" w:eastAsia="Arial" w:hAnsi="Arial"/>
                <w:sz w:val="13"/>
                <w:szCs w:val="13"/>
                <w:color w:val="auto"/>
              </w:rPr>
              <w:t>121,246,206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22,766,732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144,012,938</w:t>
            </w:r>
          </w:p>
        </w:tc>
        <w:tc>
          <w:tcPr>
            <w:tcW w:w="0" w:type="dxa"/>
            <w:vAlign w:val="bottom"/>
          </w:tcPr>
          <w:p>
            <w:pPr>
              <w:spacing w:after="0"/>
              <w:rPr>
                <w:sz w:val="1"/>
                <w:szCs w:val="1"/>
                <w:color w:val="auto"/>
              </w:rPr>
            </w:pPr>
          </w:p>
        </w:tc>
      </w:tr>
      <w:tr>
        <w:trPr>
          <w:trHeight w:val="148"/>
        </w:trPr>
        <w:tc>
          <w:tcPr>
            <w:tcW w:w="66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Sales / repayments</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6"/>
            <w:shd w:val="clear" w:color="auto" w:fill="CCEEFF"/>
          </w:tcPr>
          <w:p>
            <w:pPr>
              <w:jc w:val="right"/>
              <w:ind w:right="60"/>
              <w:spacing w:after="0"/>
              <w:rPr>
                <w:sz w:val="20"/>
                <w:szCs w:val="20"/>
                <w:color w:val="auto"/>
              </w:rPr>
            </w:pPr>
            <w:r>
              <w:rPr>
                <w:rFonts w:ascii="Arial" w:cs="Arial" w:eastAsia="Arial" w:hAnsi="Arial"/>
                <w:sz w:val="13"/>
                <w:szCs w:val="13"/>
                <w:color w:val="auto"/>
              </w:rPr>
              <w:t>(28,543,905)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(4,530,635)</w:t>
            </w:r>
          </w:p>
        </w:tc>
        <w:tc>
          <w:tcPr>
            <w:tcW w:w="2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(33,074,540)</w:t>
            </w:r>
          </w:p>
        </w:tc>
        <w:tc>
          <w:tcPr>
            <w:tcW w:w="0" w:type="dxa"/>
            <w:vAlign w:val="bottom"/>
          </w:tcPr>
          <w:p>
            <w:pPr>
              <w:spacing w:after="0"/>
              <w:rPr>
                <w:sz w:val="1"/>
                <w:szCs w:val="1"/>
                <w:color w:val="auto"/>
              </w:rPr>
            </w:pPr>
          </w:p>
        </w:tc>
      </w:tr>
      <w:tr>
        <w:trPr>
          <w:trHeight w:val="149"/>
        </w:trPr>
        <w:tc>
          <w:tcPr>
            <w:tcW w:w="6620" w:type="dxa"/>
            <w:vAlign w:val="bottom"/>
            <w:gridSpan w:val="2"/>
          </w:tcPr>
          <w:p>
            <w:pPr>
              <w:ind w:left="440"/>
              <w:spacing w:after="0"/>
              <w:rPr>
                <w:sz w:val="20"/>
                <w:szCs w:val="20"/>
                <w:color w:val="auto"/>
              </w:rPr>
            </w:pPr>
            <w:r>
              <w:rPr>
                <w:rFonts w:ascii="Arial" w:cs="Arial" w:eastAsia="Arial" w:hAnsi="Arial"/>
                <w:sz w:val="13"/>
                <w:szCs w:val="13"/>
                <w:color w:val="auto"/>
              </w:rPr>
              <w:t>Transfers in and/or out of Level 3</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6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Ending Balance, September 30, 2011</w:t>
            </w:r>
          </w:p>
        </w:tc>
        <w:tc>
          <w:tcPr>
            <w:tcW w:w="120" w:type="dxa"/>
            <w:vAlign w:val="bottom"/>
            <w:shd w:val="clear" w:color="auto" w:fill="CCEEFF"/>
          </w:tcPr>
          <w:p>
            <w:pPr>
              <w:spacing w:after="0"/>
              <w:rPr>
                <w:sz w:val="12"/>
                <w:szCs w:val="12"/>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6"/>
            <w:shd w:val="clear" w:color="auto" w:fill="CCEEFF"/>
          </w:tcPr>
          <w:p>
            <w:pPr>
              <w:jc w:val="right"/>
              <w:ind w:right="100"/>
              <w:spacing w:after="0"/>
              <w:rPr>
                <w:sz w:val="20"/>
                <w:szCs w:val="20"/>
                <w:color w:val="auto"/>
              </w:rPr>
            </w:pPr>
            <w:r>
              <w:rPr>
                <w:rFonts w:ascii="Arial" w:cs="Arial" w:eastAsia="Arial" w:hAnsi="Arial"/>
                <w:sz w:val="13"/>
                <w:szCs w:val="13"/>
                <w:color w:val="auto"/>
              </w:rPr>
              <w:t>89,329,379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18,206,115</w:t>
            </w:r>
          </w:p>
        </w:tc>
        <w:tc>
          <w:tcPr>
            <w:tcW w:w="200" w:type="dxa"/>
            <w:vAlign w:val="bottom"/>
            <w:tcBorders>
              <w:left w:val="single" w:sz="8" w:color="CCEEFF"/>
            </w:tcBorders>
            <w:shd w:val="clear" w:color="auto" w:fill="CCEEFF"/>
          </w:tcPr>
          <w:p>
            <w:pPr>
              <w:spacing w:after="0"/>
              <w:rPr>
                <w:sz w:val="12"/>
                <w:szCs w:val="12"/>
                <w:color w:val="auto"/>
              </w:rPr>
            </w:pPr>
          </w:p>
        </w:tc>
        <w:tc>
          <w:tcPr>
            <w:tcW w:w="340" w:type="dxa"/>
            <w:vAlign w:val="bottom"/>
            <w:gridSpan w:val="3"/>
            <w:shd w:val="clear" w:color="auto" w:fill="CCEEFF"/>
          </w:tcPr>
          <w:p>
            <w:pPr>
              <w:jc w:val="right"/>
              <w:ind w:right="129"/>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107,535,494</w:t>
            </w:r>
          </w:p>
        </w:tc>
        <w:tc>
          <w:tcPr>
            <w:tcW w:w="0" w:type="dxa"/>
            <w:vAlign w:val="bottom"/>
          </w:tcPr>
          <w:p>
            <w:pPr>
              <w:spacing w:after="0"/>
              <w:rPr>
                <w:sz w:val="1"/>
                <w:szCs w:val="1"/>
                <w:color w:val="auto"/>
              </w:rPr>
            </w:pPr>
          </w:p>
        </w:tc>
      </w:tr>
      <w:tr>
        <w:trPr>
          <w:trHeight w:val="20"/>
        </w:trPr>
        <w:tc>
          <w:tcPr>
            <w:tcW w:w="6740" w:type="dxa"/>
            <w:vAlign w:val="bottom"/>
            <w:gridSpan w:val="3"/>
            <w:vMerge w:val="restart"/>
          </w:tcPr>
          <w:p>
            <w:pPr>
              <w:spacing w:after="0"/>
              <w:rPr>
                <w:sz w:val="20"/>
                <w:szCs w:val="20"/>
                <w:color w:val="auto"/>
              </w:rPr>
            </w:pPr>
            <w:r>
              <w:rPr>
                <w:rFonts w:ascii="Arial" w:cs="Arial" w:eastAsia="Arial" w:hAnsi="Arial"/>
                <w:sz w:val="13"/>
                <w:szCs w:val="13"/>
                <w:color w:val="auto"/>
                <w:w w:val="94"/>
              </w:rPr>
              <w:t>Net change in unrealized appreciation (depreciation) for the period reported within the net change in unrealized depreciation</w:t>
            </w: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74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740" w:type="dxa"/>
            <w:vAlign w:val="bottom"/>
            <w:gridSpan w:val="3"/>
          </w:tcPr>
          <w:p>
            <w:pPr>
              <w:ind w:left="220"/>
              <w:spacing w:after="0"/>
              <w:rPr>
                <w:sz w:val="20"/>
                <w:szCs w:val="20"/>
                <w:color w:val="auto"/>
              </w:rPr>
            </w:pPr>
            <w:r>
              <w:rPr>
                <w:rFonts w:ascii="Arial" w:cs="Arial" w:eastAsia="Arial" w:hAnsi="Arial"/>
                <w:sz w:val="13"/>
                <w:szCs w:val="13"/>
                <w:color w:val="auto"/>
                <w:w w:val="95"/>
              </w:rPr>
              <w:t>on investments in our Consolidated Statement of Operations attributable to our Level 3 assets still held at the reporting</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6620" w:type="dxa"/>
            <w:vAlign w:val="bottom"/>
            <w:gridSpan w:val="2"/>
          </w:tcPr>
          <w:p>
            <w:pPr>
              <w:ind w:left="220"/>
              <w:spacing w:after="0"/>
              <w:rPr>
                <w:sz w:val="20"/>
                <w:szCs w:val="20"/>
                <w:color w:val="auto"/>
              </w:rPr>
            </w:pPr>
            <w:r>
              <w:rPr>
                <w:rFonts w:ascii="Arial" w:cs="Arial" w:eastAsia="Arial" w:hAnsi="Arial"/>
                <w:sz w:val="13"/>
                <w:szCs w:val="13"/>
                <w:color w:val="auto"/>
              </w:rPr>
              <w:t>date.</w:t>
            </w:r>
          </w:p>
        </w:tc>
        <w:tc>
          <w:tcPr>
            <w:tcW w:w="120" w:type="dxa"/>
            <w:vAlign w:val="bottom"/>
          </w:tcPr>
          <w:p>
            <w:pPr>
              <w:spacing w:after="0"/>
              <w:rPr>
                <w:sz w:val="13"/>
                <w:szCs w:val="13"/>
                <w:color w:val="auto"/>
              </w:rPr>
            </w:pPr>
          </w:p>
        </w:tc>
        <w:tc>
          <w:tcPr>
            <w:tcW w:w="3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6"/>
          </w:tcPr>
          <w:p>
            <w:pPr>
              <w:jc w:val="right"/>
              <w:ind w:right="60"/>
              <w:spacing w:after="0"/>
              <w:rPr>
                <w:sz w:val="20"/>
                <w:szCs w:val="20"/>
                <w:color w:val="auto"/>
              </w:rPr>
            </w:pPr>
            <w:r>
              <w:rPr>
                <w:rFonts w:ascii="Arial" w:cs="Arial" w:eastAsia="Arial" w:hAnsi="Arial"/>
                <w:sz w:val="13"/>
                <w:szCs w:val="13"/>
                <w:color w:val="auto"/>
              </w:rPr>
              <w:t>(3,591,606)</w:t>
            </w: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460" w:type="dxa"/>
            <w:vAlign w:val="bottom"/>
          </w:tcPr>
          <w:p>
            <w:pPr>
              <w:jc w:val="right"/>
              <w:spacing w:after="0"/>
              <w:rPr>
                <w:sz w:val="20"/>
                <w:szCs w:val="20"/>
                <w:color w:val="auto"/>
              </w:rPr>
            </w:pPr>
            <w:r>
              <w:rPr>
                <w:rFonts w:ascii="Arial" w:cs="Arial" w:eastAsia="Arial" w:hAnsi="Arial"/>
                <w:sz w:val="13"/>
                <w:szCs w:val="13"/>
                <w:color w:val="auto"/>
              </w:rPr>
              <w:t>(123,301)</w:t>
            </w:r>
          </w:p>
        </w:tc>
        <w:tc>
          <w:tcPr>
            <w:tcW w:w="200" w:type="dxa"/>
            <w:vAlign w:val="bottom"/>
          </w:tcPr>
          <w:p>
            <w:pPr>
              <w:spacing w:after="0"/>
              <w:rPr>
                <w:sz w:val="13"/>
                <w:szCs w:val="13"/>
                <w:color w:val="auto"/>
              </w:rPr>
            </w:pPr>
          </w:p>
        </w:tc>
        <w:tc>
          <w:tcPr>
            <w:tcW w:w="340" w:type="dxa"/>
            <w:vAlign w:val="bottom"/>
            <w:gridSpan w:val="3"/>
          </w:tcPr>
          <w:p>
            <w:pPr>
              <w:jc w:val="right"/>
              <w:ind w:right="129"/>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(3,714,907)</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following table shows a reconciliation of the beginning and ending balances for fair valued liabilities measured using significant unobservable inputs (Level 3):</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760" w:type="dxa"/>
            <w:vAlign w:val="bottom"/>
            <w:gridSpan w:val="4"/>
          </w:tcPr>
          <w:p>
            <w:pPr>
              <w:jc w:val="right"/>
              <w:ind w:right="1520"/>
              <w:spacing w:after="0"/>
              <w:rPr>
                <w:sz w:val="20"/>
                <w:szCs w:val="20"/>
                <w:color w:val="auto"/>
              </w:rPr>
            </w:pPr>
            <w:r>
              <w:rPr>
                <w:rFonts w:ascii="Arial" w:cs="Arial" w:eastAsia="Arial" w:hAnsi="Arial"/>
                <w:sz w:val="13"/>
                <w:szCs w:val="13"/>
                <w:b w:val="1"/>
                <w:bCs w:val="1"/>
                <w:color w:val="auto"/>
                <w:w w:val="96"/>
              </w:rPr>
              <w:t>Carrying / Fair Value</w:t>
            </w:r>
          </w:p>
        </w:tc>
      </w:tr>
      <w:tr>
        <w:trPr>
          <w:trHeight w:val="129"/>
        </w:trPr>
        <w:tc>
          <w:tcPr>
            <w:tcW w:w="11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100" w:type="dxa"/>
            <w:vAlign w:val="bottom"/>
            <w:tcBorders>
              <w:top w:val="single" w:sz="8" w:color="auto"/>
            </w:tcBorders>
          </w:tcPr>
          <w:p>
            <w:pPr>
              <w:jc w:val="center"/>
              <w:ind w:right="93"/>
              <w:spacing w:after="0" w:line="129" w:lineRule="exact"/>
              <w:rPr>
                <w:sz w:val="20"/>
                <w:szCs w:val="20"/>
                <w:color w:val="auto"/>
              </w:rPr>
            </w:pPr>
            <w:r>
              <w:rPr>
                <w:rFonts w:ascii="Arial" w:cs="Arial" w:eastAsia="Arial" w:hAnsi="Arial"/>
                <w:sz w:val="13"/>
                <w:szCs w:val="13"/>
                <w:b w:val="1"/>
                <w:bCs w:val="1"/>
                <w:color w:val="auto"/>
                <w:w w:val="96"/>
              </w:rPr>
              <w:t>For the period March 4, 2011</w:t>
            </w:r>
          </w:p>
        </w:tc>
        <w:tc>
          <w:tcPr>
            <w:tcW w:w="100" w:type="dxa"/>
            <w:vAlign w:val="bottom"/>
          </w:tcPr>
          <w:p>
            <w:pPr>
              <w:spacing w:after="0"/>
              <w:rPr>
                <w:sz w:val="11"/>
                <w:szCs w:val="11"/>
                <w:color w:val="auto"/>
              </w:rPr>
            </w:pPr>
          </w:p>
        </w:tc>
      </w:tr>
      <w:tr>
        <w:trPr>
          <w:trHeight w:val="148"/>
        </w:trPr>
        <w:tc>
          <w:tcPr>
            <w:tcW w:w="11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tcPr>
          <w:p>
            <w:pPr>
              <w:jc w:val="right"/>
              <w:ind w:right="713"/>
              <w:spacing w:after="0"/>
              <w:rPr>
                <w:sz w:val="20"/>
                <w:szCs w:val="20"/>
                <w:color w:val="auto"/>
              </w:rPr>
            </w:pPr>
            <w:r>
              <w:rPr>
                <w:rFonts w:ascii="Arial" w:cs="Arial" w:eastAsia="Arial" w:hAnsi="Arial"/>
                <w:sz w:val="13"/>
                <w:szCs w:val="13"/>
                <w:b w:val="1"/>
                <w:bCs w:val="1"/>
                <w:color w:val="auto"/>
              </w:rPr>
              <w:t>Year Ended</w:t>
            </w:r>
          </w:p>
        </w:tc>
        <w:tc>
          <w:tcPr>
            <w:tcW w:w="140" w:type="dxa"/>
            <w:vAlign w:val="bottom"/>
          </w:tcPr>
          <w:p>
            <w:pPr>
              <w:spacing w:after="0"/>
              <w:rPr>
                <w:sz w:val="12"/>
                <w:szCs w:val="12"/>
                <w:color w:val="auto"/>
              </w:rPr>
            </w:pPr>
          </w:p>
        </w:tc>
        <w:tc>
          <w:tcPr>
            <w:tcW w:w="2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1"/>
              </w:rPr>
              <w:t>(commencement of operations)</w:t>
            </w:r>
          </w:p>
        </w:tc>
      </w:tr>
      <w:tr>
        <w:trPr>
          <w:trHeight w:val="161"/>
        </w:trPr>
        <w:tc>
          <w:tcPr>
            <w:tcW w:w="11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2"/>
          </w:tcPr>
          <w:p>
            <w:pPr>
              <w:jc w:val="right"/>
              <w:ind w:right="493"/>
              <w:spacing w:after="0"/>
              <w:rPr>
                <w:sz w:val="20"/>
                <w:szCs w:val="20"/>
                <w:color w:val="auto"/>
              </w:rPr>
            </w:pPr>
            <w:r>
              <w:rPr>
                <w:rFonts w:ascii="Arial" w:cs="Arial" w:eastAsia="Arial" w:hAnsi="Arial"/>
                <w:sz w:val="13"/>
                <w:szCs w:val="13"/>
                <w:b w:val="1"/>
                <w:bCs w:val="1"/>
                <w:color w:val="auto"/>
                <w:w w:val="93"/>
              </w:rPr>
              <w:t>September 30, 2012</w:t>
            </w:r>
          </w:p>
        </w:tc>
        <w:tc>
          <w:tcPr>
            <w:tcW w:w="140" w:type="dxa"/>
            <w:vAlign w:val="bottom"/>
          </w:tcPr>
          <w:p>
            <w:pPr>
              <w:spacing w:after="0"/>
              <w:rPr>
                <w:sz w:val="14"/>
                <w:szCs w:val="14"/>
                <w:color w:val="auto"/>
              </w:rPr>
            </w:pPr>
          </w:p>
        </w:tc>
        <w:tc>
          <w:tcPr>
            <w:tcW w:w="2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1"/>
              </w:rPr>
              <w:t>to September 30, 2011</w:t>
            </w:r>
          </w:p>
        </w:tc>
      </w:tr>
      <w:tr>
        <w:trPr>
          <w:trHeight w:val="129"/>
        </w:trPr>
        <w:tc>
          <w:tcPr>
            <w:tcW w:w="5940" w:type="dxa"/>
            <w:vAlign w:val="bottom"/>
            <w:tcBorders>
              <w:top w:val="single" w:sz="8" w:color="CCEEFF"/>
            </w:tcBorders>
            <w:gridSpan w:val="2"/>
            <w:shd w:val="clear" w:color="auto" w:fill="CCEEFF"/>
          </w:tcPr>
          <w:p>
            <w:pPr>
              <w:spacing w:after="0" w:line="129" w:lineRule="exact"/>
              <w:rPr>
                <w:sz w:val="20"/>
                <w:szCs w:val="20"/>
                <w:color w:val="auto"/>
              </w:rPr>
            </w:pPr>
            <w:r>
              <w:rPr>
                <w:rFonts w:ascii="Arial" w:cs="Arial" w:eastAsia="Arial" w:hAnsi="Arial"/>
                <w:sz w:val="13"/>
                <w:szCs w:val="13"/>
                <w:color w:val="auto"/>
              </w:rPr>
              <w:t>Long-Term Credit Facility</w:t>
            </w:r>
          </w:p>
        </w:tc>
        <w:tc>
          <w:tcPr>
            <w:tcW w:w="1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21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48"/>
        </w:trPr>
        <w:tc>
          <w:tcPr>
            <w:tcW w:w="5940" w:type="dxa"/>
            <w:vAlign w:val="bottom"/>
            <w:gridSpan w:val="2"/>
          </w:tcPr>
          <w:p>
            <w:pPr>
              <w:spacing w:after="0"/>
              <w:rPr>
                <w:sz w:val="20"/>
                <w:szCs w:val="20"/>
                <w:color w:val="auto"/>
              </w:rPr>
            </w:pPr>
            <w:r>
              <w:rPr>
                <w:rFonts w:ascii="Arial" w:cs="Arial" w:eastAsia="Arial" w:hAnsi="Arial"/>
                <w:sz w:val="13"/>
                <w:szCs w:val="13"/>
                <w:color w:val="auto"/>
              </w:rPr>
              <w:t>Beginning Balance, September 30, 2011 (cost – $24,650,000)</w:t>
            </w:r>
          </w:p>
        </w:tc>
        <w:tc>
          <w:tcPr>
            <w:tcW w:w="1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24,650,000</w:t>
            </w:r>
          </w:p>
        </w:tc>
        <w:tc>
          <w:tcPr>
            <w:tcW w:w="42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22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48"/>
        </w:trPr>
        <w:tc>
          <w:tcPr>
            <w:tcW w:w="594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Total unrealized depreciation included in earnings</w:t>
            </w: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313"/>
              <w:spacing w:after="0"/>
              <w:rPr>
                <w:sz w:val="20"/>
                <w:szCs w:val="20"/>
                <w:color w:val="auto"/>
              </w:rPr>
            </w:pPr>
            <w:r>
              <w:rPr>
                <w:rFonts w:ascii="Arial" w:cs="Arial" w:eastAsia="Arial" w:hAnsi="Arial"/>
                <w:sz w:val="13"/>
                <w:szCs w:val="13"/>
                <w:color w:val="auto"/>
              </w:rPr>
              <w:t>(377,500)</w:t>
            </w:r>
          </w:p>
        </w:tc>
        <w:tc>
          <w:tcPr>
            <w:tcW w:w="140" w:type="dxa"/>
            <w:vAlign w:val="bottom"/>
            <w:shd w:val="clear" w:color="auto" w:fill="CCEEFF"/>
          </w:tcPr>
          <w:p>
            <w:pPr>
              <w:spacing w:after="0"/>
              <w:rPr>
                <w:sz w:val="12"/>
                <w:szCs w:val="12"/>
                <w:color w:val="auto"/>
              </w:rPr>
            </w:pPr>
          </w:p>
        </w:tc>
        <w:tc>
          <w:tcPr>
            <w:tcW w:w="22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49"/>
        </w:trPr>
        <w:tc>
          <w:tcPr>
            <w:tcW w:w="5940" w:type="dxa"/>
            <w:vAlign w:val="bottom"/>
            <w:gridSpan w:val="2"/>
          </w:tcPr>
          <w:p>
            <w:pPr>
              <w:ind w:left="440"/>
              <w:spacing w:after="0"/>
              <w:rPr>
                <w:sz w:val="20"/>
                <w:szCs w:val="20"/>
                <w:color w:val="auto"/>
              </w:rPr>
            </w:pPr>
            <w:r>
              <w:rPr>
                <w:rFonts w:ascii="Arial" w:cs="Arial" w:eastAsia="Arial" w:hAnsi="Arial"/>
                <w:sz w:val="13"/>
                <w:szCs w:val="13"/>
                <w:color w:val="auto"/>
              </w:rPr>
              <w:t>Borrowings</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97,650,000</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gridSpan w:val="2"/>
          </w:tcPr>
          <w:p>
            <w:pPr>
              <w:jc w:val="right"/>
              <w:ind w:right="100"/>
              <w:spacing w:after="0"/>
              <w:rPr>
                <w:sz w:val="20"/>
                <w:szCs w:val="20"/>
                <w:color w:val="auto"/>
              </w:rPr>
            </w:pPr>
            <w:r>
              <w:rPr>
                <w:rFonts w:ascii="Arial" w:cs="Arial" w:eastAsia="Arial" w:hAnsi="Arial"/>
                <w:sz w:val="13"/>
                <w:szCs w:val="13"/>
                <w:color w:val="auto"/>
              </w:rPr>
              <w:t>29,000,000</w:t>
            </w:r>
          </w:p>
        </w:tc>
      </w:tr>
      <w:tr>
        <w:trPr>
          <w:trHeight w:val="148"/>
        </w:trPr>
        <w:tc>
          <w:tcPr>
            <w:tcW w:w="594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Repayments</w:t>
            </w: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313"/>
              <w:spacing w:after="0"/>
              <w:rPr>
                <w:sz w:val="20"/>
                <w:szCs w:val="20"/>
                <w:color w:val="auto"/>
              </w:rPr>
            </w:pPr>
            <w:r>
              <w:rPr>
                <w:rFonts w:ascii="Arial" w:cs="Arial" w:eastAsia="Arial" w:hAnsi="Arial"/>
                <w:sz w:val="13"/>
                <w:szCs w:val="13"/>
                <w:color w:val="auto"/>
              </w:rPr>
              <w:t>(46,800,000)</w:t>
            </w:r>
          </w:p>
        </w:tc>
        <w:tc>
          <w:tcPr>
            <w:tcW w:w="140" w:type="dxa"/>
            <w:vAlign w:val="bottom"/>
            <w:shd w:val="clear" w:color="auto" w:fill="CCEEFF"/>
          </w:tcPr>
          <w:p>
            <w:pPr>
              <w:spacing w:after="0"/>
              <w:rPr>
                <w:sz w:val="12"/>
                <w:szCs w:val="12"/>
                <w:color w:val="auto"/>
              </w:rPr>
            </w:pPr>
          </w:p>
        </w:tc>
        <w:tc>
          <w:tcPr>
            <w:tcW w:w="22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(4,350,000)</w:t>
            </w:r>
          </w:p>
        </w:tc>
      </w:tr>
      <w:tr>
        <w:trPr>
          <w:trHeight w:val="148"/>
        </w:trPr>
        <w:tc>
          <w:tcPr>
            <w:tcW w:w="5940" w:type="dxa"/>
            <w:vAlign w:val="bottom"/>
            <w:gridSpan w:val="2"/>
          </w:tcPr>
          <w:p>
            <w:pPr>
              <w:ind w:left="440"/>
              <w:spacing w:after="0"/>
              <w:rPr>
                <w:sz w:val="20"/>
                <w:szCs w:val="20"/>
                <w:color w:val="auto"/>
              </w:rPr>
            </w:pPr>
            <w:r>
              <w:rPr>
                <w:rFonts w:ascii="Arial" w:cs="Arial" w:eastAsia="Arial" w:hAnsi="Arial"/>
                <w:sz w:val="13"/>
                <w:szCs w:val="13"/>
                <w:color w:val="auto"/>
              </w:rPr>
              <w:t>Transfers in and/or out of Level 3</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tcPr>
          <w:p>
            <w:pPr>
              <w:jc w:val="right"/>
              <w:ind w:right="35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22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42"/>
        </w:trPr>
        <w:tc>
          <w:tcPr>
            <w:tcW w:w="11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9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Ending Balance, September 30, 2012 (cost – $75,500,000 and $24,650,000, respectively)</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75,122,500</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22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24,650,000</w:t>
            </w:r>
          </w:p>
        </w:tc>
      </w:tr>
      <w:tr>
        <w:trPr>
          <w:trHeight w:val="20"/>
        </w:trPr>
        <w:tc>
          <w:tcPr>
            <w:tcW w:w="11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20" w:type="dxa"/>
            <w:vAlign w:val="bottom"/>
            <w:tcBorders>
              <w:bottom w:val="single" w:sz="8" w:color="auto"/>
            </w:tcBorders>
          </w:tcPr>
          <w:p>
            <w:pPr>
              <w:spacing w:after="0"/>
              <w:rPr>
                <w:sz w:val="8"/>
                <w:szCs w:val="8"/>
                <w:color w:val="auto"/>
              </w:rPr>
            </w:pPr>
          </w:p>
        </w:tc>
        <w:tc>
          <w:tcPr>
            <w:tcW w:w="48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24" w:lineRule="exact"/>
        <w:rPr>
          <w:sz w:val="20"/>
          <w:szCs w:val="20"/>
          <w:color w:val="auto"/>
        </w:rPr>
      </w:pPr>
    </w:p>
    <w:p>
      <w:pPr>
        <w:ind w:right="20" w:firstLine="562"/>
        <w:spacing w:after="0" w:line="256" w:lineRule="auto"/>
        <w:rPr>
          <w:sz w:val="20"/>
          <w:szCs w:val="20"/>
          <w:color w:val="auto"/>
        </w:rPr>
      </w:pPr>
      <w:r>
        <w:rPr>
          <w:rFonts w:ascii="Arial" w:cs="Arial" w:eastAsia="Arial" w:hAnsi="Arial"/>
          <w:sz w:val="13"/>
          <w:szCs w:val="13"/>
          <w:color w:val="auto"/>
        </w:rPr>
        <w:t>We adopted ASC 825-10, which provides companies with an option to report selected financial assets and liabilities at fair value, and made an irrevocable election to apply ASC 825-10 to our long-term Credit Facility. We elected to use the fair value option for our Credit Facility to align the measurement attributes of both our assets and liabilities while mitigating volatility in earnings from using different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72</w:t>
      </w:r>
    </w:p>
    <w:p>
      <w:pPr>
        <w:sectPr>
          <w:pgSz w:w="11900" w:h="16838" w:orient="portrait"/>
          <w:cols w:equalWidth="0" w:num="1">
            <w:col w:w="11240"/>
          </w:cols>
          <w:pgMar w:left="320" w:top="459" w:right="3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jc w:val="center"/>
        <w:spacing w:after="0"/>
        <w:rPr>
          <w:sz w:val="20"/>
          <w:szCs w:val="20"/>
          <w:color w:val="auto"/>
        </w:rPr>
      </w:pPr>
      <w:r>
        <w:rPr>
          <w:rFonts w:ascii="Arial" w:cs="Arial" w:eastAsia="Arial" w:hAnsi="Arial"/>
          <w:sz w:val="13"/>
          <w:szCs w:val="13"/>
          <w:b w:val="1"/>
          <w:bCs w:val="1"/>
          <w:color w:val="auto"/>
        </w:rPr>
        <w:t>SEPTEMBER 30, 2012</w:t>
      </w:r>
    </w:p>
    <w:p>
      <w:pPr>
        <w:spacing w:after="0" w:line="136"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measurement attributes. Due to that election and in accordance with GAAP, we incurred and expensed $0.3 million relating to amendment fees on the Credit Facility.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are reported in our Consolidated Statement of Operations. For the year ended September 30, 2012 and for the period March 4, 2011 (commencement of operations to September 30, 2011), the Credit Facility had a net change in unrealized appreciation of approximately $0.4 million and zero, respectively. As of September 30, 2012 and 2011, the Credit Facility had unrealized appreciation of $0.4 million and zero, respectively. We use a nationally recognized independent valuation service to measure the fair value of the Credit Facility in a manner consistent with the valuation process that the board of directors uses to value investments.</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6. CHANGE IN NET ASSETS FROM OPERATIONS PER COMMON SHARE</w:t>
      </w:r>
    </w:p>
    <w:p>
      <w:pPr>
        <w:spacing w:after="0" w:line="8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following information sets forth the computation of basic and diluted per share net increase (decrease) in net assets resulting from operations.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5"/>
              </w:rPr>
              <w:t>For the period March 4, 2011</w:t>
            </w:r>
          </w:p>
        </w:tc>
        <w:tc>
          <w:tcPr>
            <w:tcW w:w="0" w:type="dxa"/>
            <w:vAlign w:val="bottom"/>
          </w:tcPr>
          <w:p>
            <w:pPr>
              <w:spacing w:after="0"/>
              <w:rPr>
                <w:sz w:val="1"/>
                <w:szCs w:val="1"/>
                <w:color w:val="auto"/>
              </w:rPr>
            </w:pPr>
          </w:p>
        </w:tc>
      </w:tr>
      <w:tr>
        <w:trPr>
          <w:trHeight w:val="148"/>
        </w:trPr>
        <w:tc>
          <w:tcPr>
            <w:tcW w:w="61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Class and Year</w:t>
            </w:r>
          </w:p>
        </w:tc>
        <w:tc>
          <w:tcPr>
            <w:tcW w:w="220" w:type="dxa"/>
            <w:vAlign w:val="bottom"/>
          </w:tcPr>
          <w:p>
            <w:pPr>
              <w:spacing w:after="0"/>
              <w:rPr>
                <w:sz w:val="12"/>
                <w:szCs w:val="12"/>
                <w:color w:val="auto"/>
              </w:rPr>
            </w:pPr>
          </w:p>
        </w:tc>
        <w:tc>
          <w:tcPr>
            <w:tcW w:w="186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5"/>
              </w:rPr>
              <w:t>Year Ended</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1"/>
              </w:rPr>
              <w:t>(commencement of operations) to</w:t>
            </w:r>
          </w:p>
        </w:tc>
        <w:tc>
          <w:tcPr>
            <w:tcW w:w="0" w:type="dxa"/>
            <w:vAlign w:val="bottom"/>
          </w:tcPr>
          <w:p>
            <w:pPr>
              <w:spacing w:after="0"/>
              <w:rPr>
                <w:sz w:val="1"/>
                <w:szCs w:val="1"/>
                <w:color w:val="auto"/>
              </w:rPr>
            </w:pPr>
          </w:p>
        </w:tc>
      </w:tr>
      <w:tr>
        <w:trPr>
          <w:trHeight w:val="161"/>
        </w:trPr>
        <w:tc>
          <w:tcPr>
            <w:tcW w:w="61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2"/>
              </w:rPr>
              <w:t>September 30, 2012</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3"/>
              </w:rPr>
              <w:t>September 30, 2011 *</w:t>
            </w:r>
          </w:p>
        </w:tc>
        <w:tc>
          <w:tcPr>
            <w:tcW w:w="0" w:type="dxa"/>
            <w:vAlign w:val="bottom"/>
          </w:tcPr>
          <w:p>
            <w:pPr>
              <w:spacing w:after="0"/>
              <w:rPr>
                <w:sz w:val="1"/>
                <w:szCs w:val="1"/>
                <w:color w:val="auto"/>
              </w:rPr>
            </w:pPr>
          </w:p>
        </w:tc>
      </w:tr>
      <w:tr>
        <w:trPr>
          <w:trHeight w:val="142"/>
        </w:trPr>
        <w:tc>
          <w:tcPr>
            <w:tcW w:w="58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Numerator for net increase (decrease) in net assets resulting from operations</w:t>
            </w:r>
          </w:p>
        </w:tc>
        <w:tc>
          <w:tcPr>
            <w:tcW w:w="3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73"/>
              <w:spacing w:after="0" w:line="142" w:lineRule="exact"/>
              <w:rPr>
                <w:sz w:val="20"/>
                <w:szCs w:val="20"/>
                <w:color w:val="auto"/>
              </w:rPr>
            </w:pPr>
            <w:r>
              <w:rPr>
                <w:rFonts w:ascii="Arial" w:cs="Arial" w:eastAsia="Arial" w:hAnsi="Arial"/>
                <w:sz w:val="13"/>
                <w:szCs w:val="13"/>
                <w:color w:val="auto"/>
                <w:w w:val="82"/>
              </w:rPr>
              <w:t>$</w:t>
            </w:r>
          </w:p>
        </w:tc>
        <w:tc>
          <w:tcPr>
            <w:tcW w:w="1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11,960,878</w:t>
            </w: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93"/>
              <w:spacing w:after="0" w:line="142" w:lineRule="exact"/>
              <w:rPr>
                <w:sz w:val="20"/>
                <w:szCs w:val="20"/>
                <w:color w:val="auto"/>
              </w:rPr>
            </w:pPr>
            <w:r>
              <w:rPr>
                <w:rFonts w:ascii="Arial" w:cs="Arial" w:eastAsia="Arial" w:hAnsi="Arial"/>
                <w:sz w:val="13"/>
                <w:szCs w:val="13"/>
                <w:color w:val="auto"/>
                <w:w w:val="82"/>
              </w:rPr>
              <w:t>$</w:t>
            </w:r>
          </w:p>
        </w:tc>
        <w:tc>
          <w:tcPr>
            <w:tcW w:w="2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(3,473,253)</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60" w:type="dxa"/>
            <w:vAlign w:val="bottom"/>
            <w:gridSpan w:val="2"/>
          </w:tcPr>
          <w:p>
            <w:pPr>
              <w:spacing w:after="0"/>
              <w:rPr>
                <w:sz w:val="20"/>
                <w:szCs w:val="20"/>
                <w:color w:val="auto"/>
              </w:rPr>
            </w:pPr>
            <w:r>
              <w:rPr>
                <w:rFonts w:ascii="Arial" w:cs="Arial" w:eastAsia="Arial" w:hAnsi="Arial"/>
                <w:sz w:val="13"/>
                <w:szCs w:val="13"/>
                <w:color w:val="auto"/>
              </w:rPr>
              <w:t>Denominator for basic and diluted weighted average shares</w:t>
            </w:r>
          </w:p>
        </w:tc>
        <w:tc>
          <w:tcPr>
            <w:tcW w:w="220" w:type="dxa"/>
            <w:vAlign w:val="bottom"/>
          </w:tcPr>
          <w:p>
            <w:pPr>
              <w:spacing w:after="0"/>
              <w:rPr>
                <w:sz w:val="12"/>
                <w:szCs w:val="12"/>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6,850,667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60" w:type="dxa"/>
            <w:vAlign w:val="bottom"/>
          </w:tcPr>
          <w:p>
            <w:pPr>
              <w:jc w:val="right"/>
              <w:spacing w:after="0"/>
              <w:rPr>
                <w:sz w:val="20"/>
                <w:szCs w:val="20"/>
                <w:color w:val="auto"/>
              </w:rPr>
            </w:pPr>
            <w:r>
              <w:rPr>
                <w:rFonts w:ascii="Arial" w:cs="Arial" w:eastAsia="Arial" w:hAnsi="Arial"/>
                <w:sz w:val="13"/>
                <w:szCs w:val="13"/>
                <w:color w:val="auto"/>
              </w:rPr>
              <w:t>6,826,105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Basic and diluted net increase (decrease) in net assets per share resulting from operations</w:t>
            </w: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w:t>
            </w:r>
          </w:p>
        </w:tc>
        <w:tc>
          <w:tcPr>
            <w:tcW w:w="2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2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(0.51)</w:t>
            </w: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220" w:hanging="212"/>
        <w:spacing w:after="0"/>
        <w:tabs>
          <w:tab w:leader="none" w:pos="220" w:val="left"/>
        </w:tabs>
        <w:numPr>
          <w:ilvl w:val="0"/>
          <w:numId w:val="42"/>
        </w:numPr>
        <w:rPr>
          <w:rFonts w:ascii="Arial" w:cs="Arial" w:eastAsia="Arial" w:hAnsi="Arial"/>
          <w:sz w:val="13"/>
          <w:szCs w:val="13"/>
          <w:color w:val="auto"/>
        </w:rPr>
      </w:pPr>
      <w:r>
        <w:rPr>
          <w:rFonts w:ascii="Arial" w:cs="Arial" w:eastAsia="Arial" w:hAnsi="Arial"/>
          <w:sz w:val="13"/>
          <w:szCs w:val="13"/>
          <w:color w:val="auto"/>
        </w:rPr>
        <w:t>Weighted average shares is based on the initial public offering issuance date of April 13, 2011.</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7. CASH EQUIVALENTS</w:t>
      </w:r>
    </w:p>
    <w:p>
      <w:pPr>
        <w:spacing w:after="0" w:line="82" w:lineRule="exact"/>
        <w:rPr>
          <w:sz w:val="20"/>
          <w:szCs w:val="20"/>
          <w:color w:val="auto"/>
        </w:rPr>
      </w:pPr>
    </w:p>
    <w:p>
      <w:pPr>
        <w:ind w:right="20" w:firstLine="562"/>
        <w:spacing w:after="0" w:line="268" w:lineRule="auto"/>
        <w:rPr>
          <w:sz w:val="20"/>
          <w:szCs w:val="20"/>
          <w:color w:val="auto"/>
        </w:rPr>
      </w:pPr>
      <w:r>
        <w:rPr>
          <w:rFonts w:ascii="Arial" w:cs="Arial" w:eastAsia="Arial" w:hAnsi="Arial"/>
          <w:sz w:val="12"/>
          <w:szCs w:val="12"/>
          <w:color w:val="auto"/>
        </w:rPr>
        <w:t>Cash equivalents represent cash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 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adjusted gross assets for purposes of computing the Investment Adviser’s management fee. U.S. Treasury Bills with maturities greater than 60 days from the time of purchase are valued consistent with our valuation policy. As of September 30, 2012 and 2011, cash equivalents consisted of $3.8 million and $7.0 million, respectively, including amounts in money market funds.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73</w:t>
      </w:r>
    </w:p>
    <w:p>
      <w:pPr>
        <w:sectPr>
          <w:pgSz w:w="11900" w:h="16838" w:orient="portrait"/>
          <w:cols w:equalWidth="0" w:num="1">
            <w:col w:w="11240"/>
          </w:cols>
          <w:pgMar w:left="320" w:top="459" w:right="3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jc w:val="center"/>
        <w:spacing w:after="0"/>
        <w:rPr>
          <w:sz w:val="20"/>
          <w:szCs w:val="20"/>
          <w:color w:val="auto"/>
        </w:rPr>
      </w:pPr>
      <w:r>
        <w:rPr>
          <w:rFonts w:ascii="Arial" w:cs="Arial" w:eastAsia="Arial" w:hAnsi="Arial"/>
          <w:sz w:val="13"/>
          <w:szCs w:val="13"/>
          <w:b w:val="1"/>
          <w:bCs w:val="1"/>
          <w:color w:val="auto"/>
        </w:rPr>
        <w:t>SEPTEMBER 30, 2012</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8. TAXES AND DISTRIBUTIONS</w:t>
      </w:r>
    </w:p>
    <w:p>
      <w:pPr>
        <w:spacing w:after="0" w:line="82" w:lineRule="exact"/>
        <w:rPr>
          <w:sz w:val="20"/>
          <w:szCs w:val="20"/>
          <w:color w:val="auto"/>
        </w:rPr>
      </w:pPr>
    </w:p>
    <w:p>
      <w:pPr>
        <w:ind w:right="180" w:firstLine="562"/>
        <w:spacing w:after="0" w:line="256" w:lineRule="auto"/>
        <w:rPr>
          <w:sz w:val="20"/>
          <w:szCs w:val="20"/>
          <w:color w:val="auto"/>
        </w:rPr>
      </w:pPr>
      <w:r>
        <w:rPr>
          <w:rFonts w:ascii="Arial" w:cs="Arial" w:eastAsia="Arial" w:hAnsi="Arial"/>
          <w:sz w:val="13"/>
          <w:szCs w:val="13"/>
          <w:color w:val="auto"/>
        </w:rPr>
        <w:t>Dividends from net investment income and distributions from net realized capital gains are determined in accordance with U.S. federal tax regulations, which may materially differ from amounts determined in accordance with GAAP. These book-to-tax differences are either temporary or permanent in nature. To the extent these differences are permanent, they are reclassified to undistributed net investment income, accumulated net realized loss or paid-in-capital, as appropriate in the period that the difference arises.</w:t>
      </w:r>
    </w:p>
    <w:p>
      <w:pPr>
        <w:spacing w:after="0" w:line="102" w:lineRule="exact"/>
        <w:rPr>
          <w:sz w:val="20"/>
          <w:szCs w:val="20"/>
          <w:color w:val="auto"/>
        </w:rPr>
      </w:pPr>
    </w:p>
    <w:p>
      <w:pPr>
        <w:ind w:right="40" w:firstLine="562"/>
        <w:spacing w:after="0" w:line="274" w:lineRule="auto"/>
        <w:rPr>
          <w:sz w:val="20"/>
          <w:szCs w:val="20"/>
          <w:color w:val="auto"/>
        </w:rPr>
      </w:pPr>
      <w:r>
        <w:rPr>
          <w:rFonts w:ascii="Arial" w:cs="Arial" w:eastAsia="Arial" w:hAnsi="Arial"/>
          <w:sz w:val="13"/>
          <w:szCs w:val="13"/>
          <w:color w:val="auto"/>
        </w:rPr>
        <w:t>As of September 30, 2012 and 2011, the cost of investments for federal income tax purposes was $171.6 million and $114.8 million, respectively, resulting in a gross unrealized appreciation of $3.6 million and $0.1 million, respectively, and depreciation of $3.3 million and $4.2 million, respectively.</w:t>
      </w:r>
    </w:p>
    <w:p>
      <w:pPr>
        <w:spacing w:after="0" w:line="91" w:lineRule="exact"/>
        <w:rPr>
          <w:sz w:val="20"/>
          <w:szCs w:val="20"/>
          <w:color w:val="auto"/>
        </w:rPr>
      </w:pPr>
    </w:p>
    <w:p>
      <w:pPr>
        <w:ind w:right="120" w:firstLine="562"/>
        <w:spacing w:after="0" w:line="274" w:lineRule="auto"/>
        <w:rPr>
          <w:sz w:val="20"/>
          <w:szCs w:val="20"/>
          <w:color w:val="auto"/>
        </w:rPr>
      </w:pPr>
      <w:r>
        <w:rPr>
          <w:rFonts w:ascii="Arial" w:cs="Arial" w:eastAsia="Arial" w:hAnsi="Arial"/>
          <w:sz w:val="13"/>
          <w:szCs w:val="13"/>
          <w:color w:val="auto"/>
        </w:rPr>
        <w:t>The following permanent differences were reclassified for tax purposes for the year ended September 30, 2012 and there were no reclassifications for the period March 4, 2011 (commencement of operations) to September 30, 2011:</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5"/>
              </w:rPr>
              <w:t>Year Ended</w:t>
            </w:r>
          </w:p>
        </w:tc>
      </w:tr>
      <w:tr>
        <w:trPr>
          <w:trHeight w:val="161"/>
        </w:trPr>
        <w:tc>
          <w:tcPr>
            <w:tcW w:w="3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5"/>
              </w:rPr>
              <w:t>September 30, 2012</w:t>
            </w:r>
          </w:p>
        </w:tc>
      </w:tr>
      <w:tr>
        <w:trPr>
          <w:trHeight w:val="142"/>
        </w:trPr>
        <w:tc>
          <w:tcPr>
            <w:tcW w:w="38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3"/>
                <w:szCs w:val="13"/>
                <w:color w:val="auto"/>
              </w:rPr>
              <w:t>Decrease in paid-in capital</w:t>
            </w:r>
          </w:p>
        </w:tc>
        <w:tc>
          <w:tcPr>
            <w:tcW w:w="11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53"/>
              <w:spacing w:after="0" w:line="142" w:lineRule="exact"/>
              <w:rPr>
                <w:sz w:val="20"/>
                <w:szCs w:val="20"/>
                <w:color w:val="auto"/>
              </w:rPr>
            </w:pPr>
            <w:r>
              <w:rPr>
                <w:rFonts w:ascii="Arial" w:cs="Arial" w:eastAsia="Arial" w:hAnsi="Arial"/>
                <w:sz w:val="13"/>
                <w:szCs w:val="13"/>
                <w:color w:val="auto"/>
                <w:w w:val="82"/>
              </w:rPr>
              <w:t>$</w:t>
            </w:r>
          </w:p>
        </w:tc>
        <w:tc>
          <w:tcPr>
            <w:tcW w:w="1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(3,952)</w:t>
            </w:r>
          </w:p>
        </w:tc>
        <w:tc>
          <w:tcPr>
            <w:tcW w:w="120" w:type="dxa"/>
            <w:vAlign w:val="bottom"/>
            <w:tcBorders>
              <w:top w:val="single" w:sz="8" w:color="CCEEFF"/>
            </w:tcBorders>
            <w:shd w:val="clear" w:color="auto" w:fill="CCEEFF"/>
          </w:tcPr>
          <w:p>
            <w:pPr>
              <w:spacing w:after="0"/>
              <w:rPr>
                <w:sz w:val="12"/>
                <w:szCs w:val="12"/>
                <w:color w:val="auto"/>
              </w:rPr>
            </w:pPr>
          </w:p>
        </w:tc>
      </w:tr>
      <w:tr>
        <w:trPr>
          <w:trHeight w:val="172"/>
        </w:trPr>
        <w:tc>
          <w:tcPr>
            <w:tcW w:w="3800" w:type="dxa"/>
            <w:vAlign w:val="bottom"/>
          </w:tcPr>
          <w:p>
            <w:pPr>
              <w:spacing w:after="0"/>
              <w:rPr>
                <w:sz w:val="20"/>
                <w:szCs w:val="20"/>
                <w:color w:val="auto"/>
              </w:rPr>
            </w:pPr>
            <w:r>
              <w:rPr>
                <w:rFonts w:ascii="Arial" w:cs="Arial" w:eastAsia="Arial" w:hAnsi="Arial"/>
                <w:sz w:val="13"/>
                <w:szCs w:val="13"/>
                <w:color w:val="auto"/>
              </w:rPr>
              <w:t>Increase in undistributed net investment income</w:t>
            </w:r>
          </w:p>
        </w:tc>
        <w:tc>
          <w:tcPr>
            <w:tcW w:w="1380" w:type="dxa"/>
            <w:vAlign w:val="bottom"/>
            <w:gridSpan w:val="2"/>
          </w:tcPr>
          <w:p>
            <w:pPr>
              <w:jc w:val="right"/>
              <w:ind w:right="53"/>
              <w:spacing w:after="0"/>
              <w:rPr>
                <w:sz w:val="20"/>
                <w:szCs w:val="20"/>
                <w:color w:val="auto"/>
              </w:rPr>
            </w:pPr>
            <w:r>
              <w:rPr>
                <w:rFonts w:ascii="Arial" w:cs="Arial" w:eastAsia="Arial" w:hAnsi="Arial"/>
                <w:sz w:val="13"/>
                <w:szCs w:val="13"/>
                <w:color w:val="auto"/>
              </w:rPr>
              <w:t>$</w:t>
            </w:r>
          </w:p>
        </w:tc>
        <w:tc>
          <w:tcPr>
            <w:tcW w:w="1560" w:type="dxa"/>
            <w:vAlign w:val="bottom"/>
          </w:tcPr>
          <w:p>
            <w:pPr>
              <w:jc w:val="right"/>
              <w:spacing w:after="0"/>
              <w:rPr>
                <w:sz w:val="20"/>
                <w:szCs w:val="20"/>
                <w:color w:val="auto"/>
              </w:rPr>
            </w:pPr>
            <w:r>
              <w:rPr>
                <w:rFonts w:ascii="Arial" w:cs="Arial" w:eastAsia="Arial" w:hAnsi="Arial"/>
                <w:sz w:val="13"/>
                <w:szCs w:val="13"/>
                <w:color w:val="auto"/>
              </w:rPr>
              <w:t>3,952</w:t>
            </w:r>
          </w:p>
        </w:tc>
        <w:tc>
          <w:tcPr>
            <w:tcW w:w="120" w:type="dxa"/>
            <w:vAlign w:val="bottom"/>
          </w:tcPr>
          <w:p>
            <w:pPr>
              <w:spacing w:after="0"/>
              <w:rPr>
                <w:sz w:val="14"/>
                <w:szCs w:val="14"/>
                <w:color w:val="auto"/>
              </w:rPr>
            </w:pPr>
          </w:p>
        </w:tc>
      </w:tr>
    </w:tbl>
    <w:p>
      <w:pPr>
        <w:spacing w:after="0" w:line="10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following reconciles net increase in net assets resulting from operations to taxable income: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20" w:type="dxa"/>
            <w:vAlign w:val="bottom"/>
            <w:gridSpan w:val="2"/>
          </w:tcPr>
          <w:p>
            <w:pPr>
              <w:jc w:val="center"/>
              <w:ind w:right="620"/>
              <w:spacing w:after="0"/>
              <w:rPr>
                <w:sz w:val="20"/>
                <w:szCs w:val="20"/>
                <w:color w:val="auto"/>
              </w:rPr>
            </w:pPr>
            <w:r>
              <w:rPr>
                <w:rFonts w:ascii="Arial" w:cs="Arial" w:eastAsia="Arial" w:hAnsi="Arial"/>
                <w:sz w:val="13"/>
                <w:szCs w:val="13"/>
                <w:b w:val="1"/>
                <w:bCs w:val="1"/>
                <w:color w:val="auto"/>
                <w:w w:val="98"/>
              </w:rPr>
              <w:t>March 4, 2011</w:t>
            </w:r>
          </w:p>
        </w:tc>
      </w:tr>
      <w:tr>
        <w:trPr>
          <w:trHeight w:val="148"/>
        </w:trPr>
        <w:tc>
          <w:tcPr>
            <w:tcW w:w="4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gridSpan w:val="2"/>
          </w:tcPr>
          <w:p>
            <w:pPr>
              <w:jc w:val="right"/>
              <w:ind w:right="1060"/>
              <w:spacing w:after="0"/>
              <w:rPr>
                <w:sz w:val="20"/>
                <w:szCs w:val="20"/>
                <w:color w:val="auto"/>
              </w:rPr>
            </w:pPr>
            <w:r>
              <w:rPr>
                <w:rFonts w:ascii="Arial" w:cs="Arial" w:eastAsia="Arial" w:hAnsi="Arial"/>
                <w:sz w:val="13"/>
                <w:szCs w:val="13"/>
                <w:b w:val="1"/>
                <w:bCs w:val="1"/>
                <w:color w:val="auto"/>
              </w:rPr>
              <w:t>Year Ended</w:t>
            </w:r>
          </w:p>
        </w:tc>
        <w:tc>
          <w:tcPr>
            <w:tcW w:w="500" w:type="dxa"/>
            <w:vAlign w:val="bottom"/>
          </w:tcPr>
          <w:p>
            <w:pPr>
              <w:spacing w:after="0"/>
              <w:rPr>
                <w:sz w:val="12"/>
                <w:szCs w:val="12"/>
                <w:color w:val="auto"/>
              </w:rPr>
            </w:pPr>
          </w:p>
        </w:tc>
        <w:tc>
          <w:tcPr>
            <w:tcW w:w="3420" w:type="dxa"/>
            <w:vAlign w:val="bottom"/>
            <w:gridSpan w:val="2"/>
          </w:tcPr>
          <w:p>
            <w:pPr>
              <w:jc w:val="center"/>
              <w:ind w:right="620"/>
              <w:spacing w:after="0"/>
              <w:rPr>
                <w:sz w:val="20"/>
                <w:szCs w:val="20"/>
                <w:color w:val="auto"/>
              </w:rPr>
            </w:pPr>
            <w:r>
              <w:rPr>
                <w:rFonts w:ascii="Arial" w:cs="Arial" w:eastAsia="Arial" w:hAnsi="Arial"/>
                <w:sz w:val="13"/>
                <w:szCs w:val="13"/>
                <w:b w:val="1"/>
                <w:bCs w:val="1"/>
                <w:color w:val="auto"/>
                <w:w w:val="91"/>
              </w:rPr>
              <w:t>(commencement of operations) to</w:t>
            </w:r>
          </w:p>
        </w:tc>
      </w:tr>
      <w:tr>
        <w:trPr>
          <w:trHeight w:val="161"/>
        </w:trPr>
        <w:tc>
          <w:tcPr>
            <w:tcW w:w="4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40" w:type="dxa"/>
            <w:vAlign w:val="bottom"/>
            <w:gridSpan w:val="2"/>
          </w:tcPr>
          <w:p>
            <w:pPr>
              <w:jc w:val="right"/>
              <w:ind w:right="820"/>
              <w:spacing w:after="0"/>
              <w:rPr>
                <w:sz w:val="20"/>
                <w:szCs w:val="20"/>
                <w:color w:val="auto"/>
              </w:rPr>
            </w:pPr>
            <w:r>
              <w:rPr>
                <w:rFonts w:ascii="Arial" w:cs="Arial" w:eastAsia="Arial" w:hAnsi="Arial"/>
                <w:sz w:val="13"/>
                <w:szCs w:val="13"/>
                <w:b w:val="1"/>
                <w:bCs w:val="1"/>
                <w:color w:val="auto"/>
              </w:rPr>
              <w:t>September 30, 2012</w:t>
            </w:r>
          </w:p>
        </w:tc>
        <w:tc>
          <w:tcPr>
            <w:tcW w:w="500" w:type="dxa"/>
            <w:vAlign w:val="bottom"/>
          </w:tcPr>
          <w:p>
            <w:pPr>
              <w:spacing w:after="0"/>
              <w:rPr>
                <w:sz w:val="14"/>
                <w:szCs w:val="14"/>
                <w:color w:val="auto"/>
              </w:rPr>
            </w:pPr>
          </w:p>
        </w:tc>
        <w:tc>
          <w:tcPr>
            <w:tcW w:w="3420" w:type="dxa"/>
            <w:vAlign w:val="bottom"/>
            <w:gridSpan w:val="2"/>
          </w:tcPr>
          <w:p>
            <w:pPr>
              <w:jc w:val="center"/>
              <w:ind w:right="620"/>
              <w:spacing w:after="0"/>
              <w:rPr>
                <w:sz w:val="20"/>
                <w:szCs w:val="20"/>
                <w:color w:val="auto"/>
              </w:rPr>
            </w:pPr>
            <w:r>
              <w:rPr>
                <w:rFonts w:ascii="Arial" w:cs="Arial" w:eastAsia="Arial" w:hAnsi="Arial"/>
                <w:sz w:val="13"/>
                <w:szCs w:val="13"/>
                <w:b w:val="1"/>
                <w:bCs w:val="1"/>
                <w:color w:val="auto"/>
                <w:w w:val="92"/>
              </w:rPr>
              <w:t>September 30, 2011</w:t>
            </w:r>
          </w:p>
        </w:tc>
      </w:tr>
      <w:tr>
        <w:trPr>
          <w:trHeight w:val="142"/>
        </w:trPr>
        <w:tc>
          <w:tcPr>
            <w:tcW w:w="45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3"/>
                <w:szCs w:val="13"/>
                <w:color w:val="auto"/>
              </w:rPr>
              <w:t>Net increase in net assets resulting from operations</w:t>
            </w:r>
          </w:p>
        </w:tc>
        <w:tc>
          <w:tcPr>
            <w:tcW w:w="2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20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11,960,878</w:t>
            </w:r>
          </w:p>
        </w:tc>
        <w:tc>
          <w:tcPr>
            <w:tcW w:w="18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ind w:right="353"/>
              <w:spacing w:after="0" w:line="142" w:lineRule="exact"/>
              <w:rPr>
                <w:sz w:val="20"/>
                <w:szCs w:val="20"/>
                <w:color w:val="auto"/>
              </w:rPr>
            </w:pPr>
            <w:r>
              <w:rPr>
                <w:rFonts w:ascii="Arial" w:cs="Arial" w:eastAsia="Arial" w:hAnsi="Arial"/>
                <w:sz w:val="13"/>
                <w:szCs w:val="13"/>
                <w:color w:val="auto"/>
                <w:w w:val="82"/>
              </w:rPr>
              <w:t>$</w:t>
            </w:r>
          </w:p>
        </w:tc>
        <w:tc>
          <w:tcPr>
            <w:tcW w:w="33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(3,473,253)</w:t>
            </w:r>
          </w:p>
        </w:tc>
        <w:tc>
          <w:tcPr>
            <w:tcW w:w="120" w:type="dxa"/>
            <w:vAlign w:val="bottom"/>
            <w:tcBorders>
              <w:top w:val="single" w:sz="8" w:color="CCEEFF"/>
            </w:tcBorders>
            <w:shd w:val="clear" w:color="auto" w:fill="CCEEFF"/>
          </w:tcPr>
          <w:p>
            <w:pPr>
              <w:spacing w:after="0"/>
              <w:rPr>
                <w:sz w:val="12"/>
                <w:szCs w:val="12"/>
                <w:color w:val="auto"/>
              </w:rPr>
            </w:pPr>
          </w:p>
        </w:tc>
      </w:tr>
      <w:tr>
        <w:trPr>
          <w:trHeight w:val="138"/>
        </w:trPr>
        <w:tc>
          <w:tcPr>
            <w:tcW w:w="4500" w:type="dxa"/>
            <w:vAlign w:val="bottom"/>
          </w:tcPr>
          <w:p>
            <w:pPr>
              <w:spacing w:after="0" w:line="138" w:lineRule="exact"/>
              <w:rPr>
                <w:sz w:val="20"/>
                <w:szCs w:val="20"/>
                <w:color w:val="auto"/>
              </w:rPr>
            </w:pPr>
            <w:r>
              <w:rPr>
                <w:rFonts w:ascii="Arial" w:cs="Arial" w:eastAsia="Arial" w:hAnsi="Arial"/>
                <w:sz w:val="13"/>
                <w:szCs w:val="13"/>
                <w:color w:val="auto"/>
                <w:w w:val="98"/>
              </w:rPr>
              <w:t>Net change in unrealized (depreciation) appreciation on investments and Credit</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9"/>
        </w:trPr>
        <w:tc>
          <w:tcPr>
            <w:tcW w:w="4500" w:type="dxa"/>
            <w:vAlign w:val="bottom"/>
          </w:tcPr>
          <w:p>
            <w:pPr>
              <w:ind w:left="220"/>
              <w:spacing w:after="0"/>
              <w:rPr>
                <w:sz w:val="20"/>
                <w:szCs w:val="20"/>
                <w:color w:val="auto"/>
              </w:rPr>
            </w:pPr>
            <w:r>
              <w:rPr>
                <w:rFonts w:ascii="Arial" w:cs="Arial" w:eastAsia="Arial" w:hAnsi="Arial"/>
                <w:sz w:val="13"/>
                <w:szCs w:val="13"/>
                <w:color w:val="auto"/>
              </w:rPr>
              <w:t>Facility transactions not taxable</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40" w:type="dxa"/>
            <w:vAlign w:val="bottom"/>
            <w:gridSpan w:val="2"/>
          </w:tcPr>
          <w:p>
            <w:pPr>
              <w:jc w:val="right"/>
              <w:ind w:right="140"/>
              <w:spacing w:after="0"/>
              <w:rPr>
                <w:sz w:val="20"/>
                <w:szCs w:val="20"/>
                <w:color w:val="auto"/>
              </w:rPr>
            </w:pPr>
            <w:r>
              <w:rPr>
                <w:rFonts w:ascii="Arial" w:cs="Arial" w:eastAsia="Arial" w:hAnsi="Arial"/>
                <w:sz w:val="13"/>
                <w:szCs w:val="13"/>
                <w:color w:val="auto"/>
              </w:rPr>
              <w:t>(4,739,272)</w:t>
            </w:r>
          </w:p>
        </w:tc>
        <w:tc>
          <w:tcPr>
            <w:tcW w:w="500" w:type="dxa"/>
            <w:vAlign w:val="bottom"/>
          </w:tcPr>
          <w:p>
            <w:pPr>
              <w:spacing w:after="0"/>
              <w:rPr>
                <w:sz w:val="13"/>
                <w:szCs w:val="13"/>
                <w:color w:val="auto"/>
              </w:rPr>
            </w:pPr>
          </w:p>
        </w:tc>
        <w:tc>
          <w:tcPr>
            <w:tcW w:w="3300" w:type="dxa"/>
            <w:vAlign w:val="bottom"/>
          </w:tcPr>
          <w:p>
            <w:pPr>
              <w:jc w:val="right"/>
              <w:spacing w:after="0"/>
              <w:rPr>
                <w:sz w:val="20"/>
                <w:szCs w:val="20"/>
                <w:color w:val="auto"/>
              </w:rPr>
            </w:pPr>
            <w:r>
              <w:rPr>
                <w:rFonts w:ascii="Arial" w:cs="Arial" w:eastAsia="Arial" w:hAnsi="Arial"/>
                <w:sz w:val="13"/>
                <w:szCs w:val="13"/>
                <w:color w:val="auto"/>
              </w:rPr>
              <w:t>4,105,380</w:t>
            </w:r>
          </w:p>
        </w:tc>
        <w:tc>
          <w:tcPr>
            <w:tcW w:w="120" w:type="dxa"/>
            <w:vAlign w:val="bottom"/>
          </w:tcPr>
          <w:p>
            <w:pPr>
              <w:spacing w:after="0"/>
              <w:rPr>
                <w:sz w:val="13"/>
                <w:szCs w:val="13"/>
                <w:color w:val="auto"/>
              </w:rPr>
            </w:pPr>
          </w:p>
        </w:tc>
      </w:tr>
      <w:tr>
        <w:trPr>
          <w:trHeight w:val="148"/>
        </w:trPr>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Other temporary book-to-tax differences</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307,975</w:t>
            </w:r>
          </w:p>
        </w:tc>
        <w:tc>
          <w:tcPr>
            <w:tcW w:w="500" w:type="dxa"/>
            <w:vAlign w:val="bottom"/>
            <w:shd w:val="clear" w:color="auto" w:fill="CCEEFF"/>
          </w:tcPr>
          <w:p>
            <w:pPr>
              <w:spacing w:after="0"/>
              <w:rPr>
                <w:sz w:val="12"/>
                <w:szCs w:val="12"/>
                <w:color w:val="auto"/>
              </w:rPr>
            </w:pPr>
          </w:p>
        </w:tc>
        <w:tc>
          <w:tcPr>
            <w:tcW w:w="3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1,297,741</w:t>
            </w:r>
          </w:p>
        </w:tc>
        <w:tc>
          <w:tcPr>
            <w:tcW w:w="120" w:type="dxa"/>
            <w:vAlign w:val="bottom"/>
            <w:shd w:val="clear" w:color="auto" w:fill="CCEEFF"/>
          </w:tcPr>
          <w:p>
            <w:pPr>
              <w:spacing w:after="0"/>
              <w:rPr>
                <w:sz w:val="12"/>
                <w:szCs w:val="12"/>
                <w:color w:val="auto"/>
              </w:rPr>
            </w:pPr>
          </w:p>
        </w:tc>
      </w:tr>
      <w:tr>
        <w:trPr>
          <w:trHeight w:val="156"/>
        </w:trPr>
        <w:tc>
          <w:tcPr>
            <w:tcW w:w="4500" w:type="dxa"/>
            <w:vAlign w:val="bottom"/>
          </w:tcPr>
          <w:p>
            <w:pPr>
              <w:spacing w:after="0"/>
              <w:rPr>
                <w:sz w:val="20"/>
                <w:szCs w:val="20"/>
                <w:color w:val="auto"/>
              </w:rPr>
            </w:pPr>
            <w:r>
              <w:rPr>
                <w:rFonts w:ascii="Arial" w:cs="Arial" w:eastAsia="Arial" w:hAnsi="Arial"/>
                <w:sz w:val="13"/>
                <w:szCs w:val="13"/>
                <w:color w:val="auto"/>
              </w:rPr>
              <w:t>Other non deductible expenses</w:t>
            </w:r>
          </w:p>
        </w:tc>
        <w:tc>
          <w:tcPr>
            <w:tcW w:w="2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42,027</w:t>
            </w:r>
          </w:p>
        </w:tc>
        <w:tc>
          <w:tcPr>
            <w:tcW w:w="18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r>
      <w:tr>
        <w:trPr>
          <w:trHeight w:val="148"/>
        </w:trPr>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Taxable net income before deductions for distribution</w:t>
            </w:r>
          </w:p>
        </w:tc>
        <w:tc>
          <w:tcPr>
            <w:tcW w:w="580" w:type="dxa"/>
            <w:vAlign w:val="bottom"/>
            <w:gridSpan w:val="2"/>
            <w:shd w:val="clear" w:color="auto" w:fill="CCEEFF"/>
          </w:tcPr>
          <w:p>
            <w:pPr>
              <w:jc w:val="right"/>
              <w:ind w:right="249"/>
              <w:spacing w:after="0"/>
              <w:rPr>
                <w:sz w:val="20"/>
                <w:szCs w:val="20"/>
                <w:color w:val="auto"/>
              </w:rPr>
            </w:pPr>
            <w:r>
              <w:rPr>
                <w:rFonts w:ascii="Arial" w:cs="Arial" w:eastAsia="Arial" w:hAnsi="Arial"/>
                <w:sz w:val="13"/>
                <w:szCs w:val="13"/>
                <w:color w:val="auto"/>
              </w:rPr>
              <w:t>$</w:t>
            </w:r>
          </w:p>
        </w:tc>
        <w:tc>
          <w:tcPr>
            <w:tcW w:w="22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7,571,608</w:t>
            </w:r>
          </w:p>
        </w:tc>
        <w:tc>
          <w:tcPr>
            <w:tcW w:w="500" w:type="dxa"/>
            <w:vAlign w:val="bottom"/>
            <w:shd w:val="clear" w:color="auto" w:fill="CCEEFF"/>
          </w:tcPr>
          <w:p>
            <w:pPr>
              <w:jc w:val="right"/>
              <w:ind w:right="353"/>
              <w:spacing w:after="0"/>
              <w:rPr>
                <w:sz w:val="20"/>
                <w:szCs w:val="20"/>
                <w:color w:val="auto"/>
              </w:rPr>
            </w:pPr>
            <w:r>
              <w:rPr>
                <w:rFonts w:ascii="Arial" w:cs="Arial" w:eastAsia="Arial" w:hAnsi="Arial"/>
                <w:sz w:val="13"/>
                <w:szCs w:val="13"/>
                <w:color w:val="auto"/>
                <w:w w:val="82"/>
              </w:rPr>
              <w:t>$</w:t>
            </w:r>
          </w:p>
        </w:tc>
        <w:tc>
          <w:tcPr>
            <w:tcW w:w="3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1,929,868</w:t>
            </w:r>
          </w:p>
        </w:tc>
        <w:tc>
          <w:tcPr>
            <w:tcW w:w="120" w:type="dxa"/>
            <w:vAlign w:val="bottom"/>
            <w:shd w:val="clear" w:color="auto" w:fill="CCEEFF"/>
          </w:tcPr>
          <w:p>
            <w:pPr>
              <w:spacing w:after="0"/>
              <w:rPr>
                <w:sz w:val="12"/>
                <w:szCs w:val="12"/>
                <w:color w:val="auto"/>
              </w:rPr>
            </w:pPr>
          </w:p>
        </w:tc>
      </w:tr>
      <w:tr>
        <w:trPr>
          <w:trHeight w:val="20"/>
        </w:trPr>
        <w:tc>
          <w:tcPr>
            <w:tcW w:w="4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8"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components of accumulated surplus (deficit) on book basis and a reconciliation to accumulated surplus (deficit) on a tax basis are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gridSpan w:val="2"/>
          </w:tcPr>
          <w:p>
            <w:pPr>
              <w:jc w:val="right"/>
              <w:ind w:right="660"/>
              <w:spacing w:after="0"/>
              <w:rPr>
                <w:sz w:val="20"/>
                <w:szCs w:val="20"/>
                <w:color w:val="auto"/>
              </w:rPr>
            </w:pPr>
            <w:r>
              <w:rPr>
                <w:rFonts w:ascii="Arial" w:cs="Arial" w:eastAsia="Arial" w:hAnsi="Arial"/>
                <w:sz w:val="13"/>
                <w:szCs w:val="13"/>
                <w:b w:val="1"/>
                <w:bCs w:val="1"/>
                <w:color w:val="auto"/>
              </w:rPr>
              <w:t>As of September 30, 2012</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140" w:type="dxa"/>
            <w:vAlign w:val="bottom"/>
            <w:gridSpan w:val="2"/>
          </w:tcPr>
          <w:p>
            <w:pPr>
              <w:jc w:val="right"/>
              <w:ind w:right="1200"/>
              <w:spacing w:after="0"/>
              <w:rPr>
                <w:sz w:val="20"/>
                <w:szCs w:val="20"/>
                <w:color w:val="auto"/>
              </w:rPr>
            </w:pPr>
            <w:r>
              <w:rPr>
                <w:rFonts w:ascii="Arial" w:cs="Arial" w:eastAsia="Arial" w:hAnsi="Arial"/>
                <w:sz w:val="13"/>
                <w:szCs w:val="13"/>
                <w:b w:val="1"/>
                <w:bCs w:val="1"/>
                <w:color w:val="auto"/>
              </w:rPr>
              <w:t>As of September 30, 2011</w:t>
            </w:r>
          </w:p>
        </w:tc>
        <w:tc>
          <w:tcPr>
            <w:tcW w:w="0" w:type="dxa"/>
            <w:vAlign w:val="bottom"/>
          </w:tcPr>
          <w:p>
            <w:pPr>
              <w:spacing w:after="0"/>
              <w:rPr>
                <w:sz w:val="1"/>
                <w:szCs w:val="1"/>
                <w:color w:val="auto"/>
              </w:rPr>
            </w:pPr>
          </w:p>
        </w:tc>
      </w:tr>
      <w:tr>
        <w:trPr>
          <w:trHeight w:val="142"/>
        </w:trPr>
        <w:tc>
          <w:tcPr>
            <w:tcW w:w="48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3"/>
                <w:szCs w:val="13"/>
                <w:color w:val="auto"/>
              </w:rPr>
              <w:t>Undistributed ordinary income</w:t>
            </w:r>
          </w:p>
        </w:tc>
        <w:tc>
          <w:tcPr>
            <w:tcW w:w="24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20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2,139,738</w:t>
            </w:r>
          </w:p>
        </w:tc>
        <w:tc>
          <w:tcPr>
            <w:tcW w:w="2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ind w:right="433"/>
              <w:spacing w:after="0" w:line="142" w:lineRule="exact"/>
              <w:rPr>
                <w:sz w:val="20"/>
                <w:szCs w:val="20"/>
                <w:color w:val="auto"/>
              </w:rPr>
            </w:pPr>
            <w:r>
              <w:rPr>
                <w:rFonts w:ascii="Arial" w:cs="Arial" w:eastAsia="Arial" w:hAnsi="Arial"/>
                <w:sz w:val="13"/>
                <w:szCs w:val="13"/>
                <w:color w:val="auto"/>
                <w:w w:val="82"/>
              </w:rPr>
              <w:t>$</w:t>
            </w:r>
          </w:p>
        </w:tc>
        <w:tc>
          <w:tcPr>
            <w:tcW w:w="30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696,748</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20"/>
                <w:szCs w:val="20"/>
                <w:color w:val="auto"/>
              </w:rPr>
            </w:pPr>
            <w:r>
              <w:rPr>
                <w:rFonts w:ascii="Arial" w:cs="Arial" w:eastAsia="Arial" w:hAnsi="Arial"/>
                <w:sz w:val="13"/>
                <w:szCs w:val="13"/>
                <w:color w:val="auto"/>
              </w:rPr>
              <w:t>Dividends payable and other temporary differences</w:t>
            </w:r>
          </w:p>
        </w:tc>
        <w:tc>
          <w:tcPr>
            <w:tcW w:w="240" w:type="dxa"/>
            <w:vAlign w:val="bottom"/>
          </w:tcPr>
          <w:p>
            <w:pPr>
              <w:spacing w:after="0"/>
              <w:rPr>
                <w:sz w:val="12"/>
                <w:szCs w:val="12"/>
                <w:color w:val="auto"/>
              </w:rPr>
            </w:pPr>
          </w:p>
        </w:tc>
        <w:tc>
          <w:tcPr>
            <w:tcW w:w="2280" w:type="dxa"/>
            <w:vAlign w:val="bottom"/>
            <w:gridSpan w:val="2"/>
          </w:tcPr>
          <w:p>
            <w:pPr>
              <w:jc w:val="right"/>
              <w:ind w:right="200"/>
              <w:spacing w:after="0"/>
              <w:rPr>
                <w:sz w:val="20"/>
                <w:szCs w:val="20"/>
                <w:color w:val="auto"/>
              </w:rPr>
            </w:pPr>
            <w:r>
              <w:rPr>
                <w:rFonts w:ascii="Arial" w:cs="Arial" w:eastAsia="Arial" w:hAnsi="Arial"/>
                <w:sz w:val="13"/>
                <w:szCs w:val="13"/>
                <w:color w:val="auto"/>
              </w:rPr>
              <w:t>(2,228,826)</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140" w:type="dxa"/>
            <w:vAlign w:val="bottom"/>
            <w:gridSpan w:val="2"/>
          </w:tcPr>
          <w:p>
            <w:pPr>
              <w:jc w:val="right"/>
              <w:ind w:right="80"/>
              <w:spacing w:after="0"/>
              <w:rPr>
                <w:sz w:val="20"/>
                <w:szCs w:val="20"/>
                <w:color w:val="auto"/>
              </w:rPr>
            </w:pPr>
            <w:r>
              <w:rPr>
                <w:rFonts w:ascii="Arial" w:cs="Arial" w:eastAsia="Arial" w:hAnsi="Arial"/>
                <w:sz w:val="13"/>
                <w:szCs w:val="13"/>
                <w:color w:val="auto"/>
              </w:rPr>
              <w:t>(1,777,288)</w:t>
            </w: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spacing w:after="0"/>
              <w:rPr>
                <w:sz w:val="20"/>
                <w:szCs w:val="20"/>
                <w:color w:val="auto"/>
              </w:rPr>
            </w:pPr>
            <w:r>
              <w:rPr>
                <w:rFonts w:ascii="Arial" w:cs="Arial" w:eastAsia="Arial" w:hAnsi="Arial"/>
                <w:sz w:val="13"/>
                <w:szCs w:val="13"/>
                <w:color w:val="auto"/>
              </w:rPr>
              <w:t>Net unrealized appreciation (depreciation) of investments and credit facility</w:t>
            </w:r>
          </w:p>
        </w:tc>
        <w:tc>
          <w:tcPr>
            <w:tcW w:w="240" w:type="dxa"/>
            <w:vAlign w:val="bottom"/>
            <w:shd w:val="clear" w:color="auto" w:fill="CCEEFF"/>
          </w:tcPr>
          <w:p>
            <w:pPr>
              <w:spacing w:after="0"/>
              <w:rPr>
                <w:sz w:val="12"/>
                <w:szCs w:val="12"/>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633,891</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1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(4,105,380)</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3"/>
                <w:szCs w:val="13"/>
                <w:color w:val="auto"/>
              </w:rPr>
              <w:t>Total accumulated surplus (deficit)</w:t>
            </w:r>
          </w:p>
        </w:tc>
        <w:tc>
          <w:tcPr>
            <w:tcW w:w="24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820" w:type="dxa"/>
            <w:vAlign w:val="bottom"/>
            <w:vMerge w:val="continue"/>
          </w:tcPr>
          <w:p>
            <w:pPr>
              <w:spacing w:after="0"/>
              <w:rPr>
                <w:sz w:val="13"/>
                <w:szCs w:val="13"/>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2040" w:type="dxa"/>
            <w:vAlign w:val="bottom"/>
          </w:tcPr>
          <w:p>
            <w:pPr>
              <w:jc w:val="right"/>
              <w:spacing w:after="0"/>
              <w:rPr>
                <w:sz w:val="20"/>
                <w:szCs w:val="20"/>
                <w:color w:val="auto"/>
              </w:rPr>
            </w:pPr>
            <w:r>
              <w:rPr>
                <w:rFonts w:ascii="Arial" w:cs="Arial" w:eastAsia="Arial" w:hAnsi="Arial"/>
                <w:sz w:val="13"/>
                <w:szCs w:val="13"/>
                <w:color w:val="auto"/>
              </w:rPr>
              <w:t>544,803</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jc w:val="right"/>
              <w:ind w:right="433"/>
              <w:spacing w:after="0"/>
              <w:rPr>
                <w:sz w:val="20"/>
                <w:szCs w:val="20"/>
                <w:color w:val="auto"/>
              </w:rPr>
            </w:pPr>
            <w:r>
              <w:rPr>
                <w:rFonts w:ascii="Arial" w:cs="Arial" w:eastAsia="Arial" w:hAnsi="Arial"/>
                <w:sz w:val="13"/>
                <w:szCs w:val="13"/>
                <w:color w:val="auto"/>
                <w:w w:val="82"/>
              </w:rPr>
              <w:t>$</w:t>
            </w:r>
          </w:p>
        </w:tc>
        <w:tc>
          <w:tcPr>
            <w:tcW w:w="3140" w:type="dxa"/>
            <w:vAlign w:val="bottom"/>
            <w:gridSpan w:val="2"/>
          </w:tcPr>
          <w:p>
            <w:pPr>
              <w:jc w:val="right"/>
              <w:ind w:right="80"/>
              <w:spacing w:after="0"/>
              <w:rPr>
                <w:sz w:val="20"/>
                <w:szCs w:val="20"/>
                <w:color w:val="auto"/>
              </w:rPr>
            </w:pPr>
            <w:r>
              <w:rPr>
                <w:rFonts w:ascii="Arial" w:cs="Arial" w:eastAsia="Arial" w:hAnsi="Arial"/>
                <w:sz w:val="13"/>
                <w:szCs w:val="13"/>
                <w:color w:val="auto"/>
              </w:rPr>
              <w:t>(5,185,920)</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jc w:val="both"/>
        <w:ind w:right="20" w:firstLine="562"/>
        <w:spacing w:after="0" w:line="274" w:lineRule="auto"/>
        <w:rPr>
          <w:sz w:val="20"/>
          <w:szCs w:val="20"/>
          <w:color w:val="auto"/>
        </w:rPr>
      </w:pPr>
      <w:r>
        <w:rPr>
          <w:rFonts w:ascii="Arial" w:cs="Arial" w:eastAsia="Arial" w:hAnsi="Arial"/>
          <w:sz w:val="13"/>
          <w:szCs w:val="13"/>
          <w:color w:val="auto"/>
        </w:rPr>
        <w:t>In accordance with Section 19(a) under the 1940 Act, $103,884 of the Company’s distributions paid to stockholders during the fiscal year ended September 30, 2012 represent a distribution of long-term realized capital gains. The tax characteristics of dividends accrued are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6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98"/>
              </w:rPr>
              <w:t>March 4, 2011</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80" w:type="dxa"/>
            <w:vAlign w:val="bottom"/>
          </w:tcPr>
          <w:p>
            <w:pPr>
              <w:jc w:val="right"/>
              <w:ind w:right="753"/>
              <w:spacing w:after="0"/>
              <w:rPr>
                <w:sz w:val="20"/>
                <w:szCs w:val="20"/>
                <w:color w:val="auto"/>
              </w:rPr>
            </w:pPr>
            <w:r>
              <w:rPr>
                <w:rFonts w:ascii="Arial" w:cs="Arial" w:eastAsia="Arial" w:hAnsi="Arial"/>
                <w:sz w:val="13"/>
                <w:szCs w:val="13"/>
                <w:b w:val="1"/>
                <w:bCs w:val="1"/>
                <w:color w:val="auto"/>
              </w:rPr>
              <w:t>Year Ended</w:t>
            </w: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6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91"/>
              </w:rPr>
              <w:t>(commencement of operations) to</w:t>
            </w:r>
          </w:p>
        </w:tc>
        <w:tc>
          <w:tcPr>
            <w:tcW w:w="0" w:type="dxa"/>
            <w:vAlign w:val="bottom"/>
          </w:tcPr>
          <w:p>
            <w:pPr>
              <w:spacing w:after="0"/>
              <w:rPr>
                <w:sz w:val="1"/>
                <w:szCs w:val="1"/>
                <w:color w:val="auto"/>
              </w:rPr>
            </w:pPr>
          </w:p>
        </w:tc>
      </w:tr>
      <w:tr>
        <w:trPr>
          <w:trHeight w:val="161"/>
        </w:trPr>
        <w:tc>
          <w:tcPr>
            <w:tcW w:w="4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tcPr>
          <w:p>
            <w:pPr>
              <w:jc w:val="right"/>
              <w:ind w:right="513"/>
              <w:spacing w:after="0"/>
              <w:rPr>
                <w:sz w:val="20"/>
                <w:szCs w:val="20"/>
                <w:color w:val="auto"/>
              </w:rPr>
            </w:pPr>
            <w:r>
              <w:rPr>
                <w:rFonts w:ascii="Arial" w:cs="Arial" w:eastAsia="Arial" w:hAnsi="Arial"/>
                <w:sz w:val="13"/>
                <w:szCs w:val="13"/>
                <w:b w:val="1"/>
                <w:bCs w:val="1"/>
                <w:color w:val="auto"/>
              </w:rPr>
              <w:t>September 30, 2012</w:t>
            </w: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6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92"/>
              </w:rPr>
              <w:t>September 30, 2011</w:t>
            </w:r>
          </w:p>
        </w:tc>
        <w:tc>
          <w:tcPr>
            <w:tcW w:w="0" w:type="dxa"/>
            <w:vAlign w:val="bottom"/>
          </w:tcPr>
          <w:p>
            <w:pPr>
              <w:spacing w:after="0"/>
              <w:rPr>
                <w:sz w:val="1"/>
                <w:szCs w:val="1"/>
                <w:color w:val="auto"/>
              </w:rPr>
            </w:pPr>
          </w:p>
        </w:tc>
      </w:tr>
      <w:tr>
        <w:trPr>
          <w:trHeight w:val="142"/>
        </w:trPr>
        <w:tc>
          <w:tcPr>
            <w:tcW w:w="48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3"/>
                <w:szCs w:val="13"/>
                <w:color w:val="auto"/>
              </w:rPr>
              <w:t>Ordinary income</w:t>
            </w:r>
          </w:p>
        </w:tc>
        <w:tc>
          <w:tcPr>
            <w:tcW w:w="320" w:type="dxa"/>
            <w:vAlign w:val="bottom"/>
            <w:tcBorders>
              <w:top w:val="single" w:sz="8" w:color="auto"/>
            </w:tcBorders>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1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6,130,222</w:t>
            </w:r>
          </w:p>
        </w:tc>
        <w:tc>
          <w:tcPr>
            <w:tcW w:w="40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ind w:right="313"/>
              <w:spacing w:after="0" w:line="142" w:lineRule="exact"/>
              <w:rPr>
                <w:sz w:val="20"/>
                <w:szCs w:val="20"/>
                <w:color w:val="auto"/>
              </w:rPr>
            </w:pPr>
            <w:r>
              <w:rPr>
                <w:rFonts w:ascii="Arial" w:cs="Arial" w:eastAsia="Arial" w:hAnsi="Arial"/>
                <w:sz w:val="13"/>
                <w:szCs w:val="13"/>
                <w:color w:val="auto"/>
                <w:w w:val="82"/>
              </w:rPr>
              <w:t>$</w:t>
            </w:r>
          </w:p>
        </w:tc>
        <w:tc>
          <w:tcPr>
            <w:tcW w:w="31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1,712,667</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820" w:type="dxa"/>
            <w:vAlign w:val="bottom"/>
          </w:tcPr>
          <w:p>
            <w:pPr>
              <w:spacing w:after="0"/>
              <w:rPr>
                <w:sz w:val="20"/>
                <w:szCs w:val="20"/>
                <w:color w:val="auto"/>
              </w:rPr>
            </w:pPr>
            <w:r>
              <w:rPr>
                <w:rFonts w:ascii="Arial" w:cs="Arial" w:eastAsia="Arial" w:hAnsi="Arial"/>
                <w:sz w:val="13"/>
                <w:szCs w:val="13"/>
                <w:color w:val="auto"/>
              </w:rPr>
              <w:t>Long-Term capital gain</w:t>
            </w:r>
          </w:p>
        </w:tc>
        <w:tc>
          <w:tcPr>
            <w:tcW w:w="320" w:type="dxa"/>
            <w:vAlign w:val="bottom"/>
          </w:tcPr>
          <w:p>
            <w:pPr>
              <w:spacing w:after="0"/>
              <w:rPr>
                <w:sz w:val="13"/>
                <w:szCs w:val="13"/>
                <w:color w:val="auto"/>
              </w:rPr>
            </w:pPr>
          </w:p>
        </w:tc>
        <w:tc>
          <w:tcPr>
            <w:tcW w:w="1980" w:type="dxa"/>
            <w:vAlign w:val="bottom"/>
          </w:tcPr>
          <w:p>
            <w:pPr>
              <w:jc w:val="right"/>
              <w:spacing w:after="0"/>
              <w:rPr>
                <w:sz w:val="20"/>
                <w:szCs w:val="20"/>
                <w:color w:val="auto"/>
              </w:rPr>
            </w:pPr>
            <w:r>
              <w:rPr>
                <w:rFonts w:ascii="Arial" w:cs="Arial" w:eastAsia="Arial" w:hAnsi="Arial"/>
                <w:sz w:val="13"/>
                <w:szCs w:val="13"/>
                <w:color w:val="auto"/>
              </w:rPr>
              <w:t>103,884</w:t>
            </w: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4820" w:type="dxa"/>
            <w:vAlign w:val="bottom"/>
            <w:shd w:val="clear" w:color="auto" w:fill="CCEEFF"/>
          </w:tcPr>
          <w:p>
            <w:pPr>
              <w:spacing w:after="0"/>
              <w:rPr>
                <w:sz w:val="20"/>
                <w:szCs w:val="20"/>
                <w:color w:val="auto"/>
              </w:rPr>
            </w:pPr>
            <w:r>
              <w:rPr>
                <w:rFonts w:ascii="Arial" w:cs="Arial" w:eastAsia="Arial" w:hAnsi="Arial"/>
                <w:sz w:val="13"/>
                <w:szCs w:val="13"/>
                <w:color w:val="auto"/>
              </w:rPr>
              <w:t>Total distributions</w:t>
            </w:r>
          </w:p>
        </w:tc>
        <w:tc>
          <w:tcPr>
            <w:tcW w:w="32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6,234,106</w:t>
            </w:r>
          </w:p>
        </w:tc>
        <w:tc>
          <w:tcPr>
            <w:tcW w:w="400" w:type="dxa"/>
            <w:vAlign w:val="bottom"/>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ind w:right="313"/>
              <w:spacing w:after="0"/>
              <w:rPr>
                <w:sz w:val="20"/>
                <w:szCs w:val="20"/>
                <w:color w:val="auto"/>
              </w:rPr>
            </w:pPr>
            <w:r>
              <w:rPr>
                <w:rFonts w:ascii="Arial" w:cs="Arial" w:eastAsia="Arial" w:hAnsi="Arial"/>
                <w:sz w:val="13"/>
                <w:szCs w:val="13"/>
                <w:color w:val="auto"/>
                <w:w w:val="82"/>
              </w:rPr>
              <w:t>$</w:t>
            </w:r>
          </w:p>
        </w:tc>
        <w:tc>
          <w:tcPr>
            <w:tcW w:w="3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1,712,667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3"/>
                <w:szCs w:val="13"/>
                <w:color w:val="auto"/>
              </w:rPr>
              <w:t>Total distributions per share</w:t>
            </w:r>
          </w:p>
        </w:tc>
        <w:tc>
          <w:tcPr>
            <w:tcW w:w="3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820" w:type="dxa"/>
            <w:vAlign w:val="bottom"/>
            <w:vMerge w:val="continue"/>
          </w:tcPr>
          <w:p>
            <w:pPr>
              <w:spacing w:after="0"/>
              <w:rPr>
                <w:sz w:val="13"/>
                <w:szCs w:val="13"/>
                <w:color w:val="auto"/>
              </w:rPr>
            </w:pPr>
          </w:p>
        </w:tc>
        <w:tc>
          <w:tcPr>
            <w:tcW w:w="320" w:type="dxa"/>
            <w:vAlign w:val="bottom"/>
          </w:tcPr>
          <w:p>
            <w:pPr>
              <w:jc w:val="right"/>
              <w:ind w:right="209"/>
              <w:spacing w:after="0"/>
              <w:rPr>
                <w:sz w:val="20"/>
                <w:szCs w:val="20"/>
                <w:color w:val="auto"/>
              </w:rPr>
            </w:pPr>
            <w:r>
              <w:rPr>
                <w:rFonts w:ascii="Arial" w:cs="Arial" w:eastAsia="Arial" w:hAnsi="Arial"/>
                <w:sz w:val="10"/>
                <w:szCs w:val="10"/>
                <w:color w:val="auto"/>
                <w:w w:val="71"/>
              </w:rPr>
              <w:t>$</w:t>
            </w:r>
          </w:p>
        </w:tc>
        <w:tc>
          <w:tcPr>
            <w:tcW w:w="1980" w:type="dxa"/>
            <w:vAlign w:val="bottom"/>
          </w:tcPr>
          <w:p>
            <w:pPr>
              <w:jc w:val="right"/>
              <w:spacing w:after="0"/>
              <w:rPr>
                <w:sz w:val="20"/>
                <w:szCs w:val="20"/>
                <w:color w:val="auto"/>
              </w:rPr>
            </w:pPr>
            <w:r>
              <w:rPr>
                <w:rFonts w:ascii="Arial" w:cs="Arial" w:eastAsia="Arial" w:hAnsi="Arial"/>
                <w:sz w:val="13"/>
                <w:szCs w:val="13"/>
                <w:color w:val="auto"/>
              </w:rPr>
              <w:t>0.91</w:t>
            </w:r>
          </w:p>
        </w:tc>
        <w:tc>
          <w:tcPr>
            <w:tcW w:w="860" w:type="dxa"/>
            <w:vAlign w:val="bottom"/>
            <w:gridSpan w:val="2"/>
          </w:tcPr>
          <w:p>
            <w:pPr>
              <w:jc w:val="right"/>
              <w:ind w:right="313"/>
              <w:spacing w:after="0"/>
              <w:rPr>
                <w:sz w:val="20"/>
                <w:szCs w:val="20"/>
                <w:color w:val="auto"/>
              </w:rPr>
            </w:pPr>
            <w:r>
              <w:rPr>
                <w:rFonts w:ascii="Arial" w:cs="Arial" w:eastAsia="Arial" w:hAnsi="Arial"/>
                <w:sz w:val="13"/>
                <w:szCs w:val="13"/>
                <w:color w:val="auto"/>
              </w:rPr>
              <w:t>$</w:t>
            </w:r>
          </w:p>
        </w:tc>
        <w:tc>
          <w:tcPr>
            <w:tcW w:w="3160" w:type="dxa"/>
            <w:vAlign w:val="bottom"/>
          </w:tcPr>
          <w:p>
            <w:pPr>
              <w:jc w:val="right"/>
              <w:spacing w:after="0"/>
              <w:rPr>
                <w:sz w:val="20"/>
                <w:szCs w:val="20"/>
                <w:color w:val="auto"/>
              </w:rPr>
            </w:pPr>
            <w:r>
              <w:rPr>
                <w:rFonts w:ascii="Arial" w:cs="Arial" w:eastAsia="Arial" w:hAnsi="Arial"/>
                <w:sz w:val="13"/>
                <w:szCs w:val="13"/>
                <w:color w:val="auto"/>
              </w:rPr>
              <w:t>0.25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4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80" w:type="dxa"/>
            <w:vAlign w:val="bottom"/>
          </w:tcPr>
          <w:p>
            <w:pPr>
              <w:jc w:val="right"/>
              <w:ind w:right="1353"/>
              <w:spacing w:after="0"/>
              <w:rPr>
                <w:sz w:val="20"/>
                <w:szCs w:val="20"/>
                <w:color w:val="auto"/>
              </w:rPr>
            </w:pPr>
            <w:r>
              <w:rPr>
                <w:rFonts w:ascii="Arial" w:cs="Arial" w:eastAsia="Arial" w:hAnsi="Arial"/>
                <w:sz w:val="13"/>
                <w:szCs w:val="13"/>
                <w:color w:val="auto"/>
              </w:rPr>
              <w:t>74</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NOTES TO CONSOLIDATED FINANCIAL STATEMENTS</w:t>
      </w:r>
    </w:p>
    <w:p>
      <w:pPr>
        <w:jc w:val="center"/>
        <w:ind w:right="-79"/>
        <w:spacing w:after="0"/>
        <w:rPr>
          <w:sz w:val="20"/>
          <w:szCs w:val="20"/>
          <w:color w:val="auto"/>
        </w:rPr>
      </w:pPr>
      <w:r>
        <w:rPr>
          <w:rFonts w:ascii="Arial" w:cs="Arial" w:eastAsia="Arial" w:hAnsi="Arial"/>
          <w:sz w:val="13"/>
          <w:szCs w:val="13"/>
          <w:b w:val="1"/>
          <w:bCs w:val="1"/>
          <w:color w:val="auto"/>
        </w:rPr>
        <w:t>SEPTEMBER 30, 2012</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9. FINANCIAL HIGHLIGHTS</w:t>
      </w:r>
    </w:p>
    <w:p>
      <w:pPr>
        <w:spacing w:after="0" w:line="136" w:lineRule="exact"/>
        <w:rPr>
          <w:sz w:val="20"/>
          <w:szCs w:val="20"/>
          <w:color w:val="auto"/>
        </w:rPr>
      </w:pPr>
    </w:p>
    <w:p>
      <w:pPr>
        <w:ind w:right="60" w:firstLine="562"/>
        <w:spacing w:after="0" w:line="274" w:lineRule="auto"/>
        <w:rPr>
          <w:sz w:val="20"/>
          <w:szCs w:val="20"/>
          <w:color w:val="auto"/>
        </w:rPr>
      </w:pPr>
      <w:r>
        <w:rPr>
          <w:rFonts w:ascii="Arial" w:cs="Arial" w:eastAsia="Arial" w:hAnsi="Arial"/>
          <w:sz w:val="13"/>
          <w:szCs w:val="13"/>
          <w:color w:val="auto"/>
        </w:rPr>
        <w:t>Our net assets and net asset value per share on September 30, 2012 and 2011 were $95.7 million and $13.98 per share and $92.1 million and $13.44 per share, respectively. Below are the financial highlights:</w:t>
      </w:r>
    </w:p>
    <w:p>
      <w:pPr>
        <w:spacing w:after="0" w:line="10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For the period from</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7"/>
              </w:rPr>
              <w:t>March 04, 2011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2"/>
              </w:rPr>
              <w:t>(commencement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right"/>
              <w:ind w:right="820"/>
              <w:spacing w:after="0"/>
              <w:rPr>
                <w:sz w:val="20"/>
                <w:szCs w:val="20"/>
                <w:color w:val="auto"/>
              </w:rPr>
            </w:pPr>
            <w:r>
              <w:rPr>
                <w:rFonts w:ascii="Arial" w:cs="Arial" w:eastAsia="Arial" w:hAnsi="Arial"/>
                <w:sz w:val="13"/>
                <w:szCs w:val="13"/>
                <w:b w:val="1"/>
                <w:bCs w:val="1"/>
                <w:color w:val="auto"/>
              </w:rPr>
              <w:t>Year Ended</w:t>
            </w:r>
          </w:p>
        </w:tc>
        <w:tc>
          <w:tcPr>
            <w:tcW w:w="120" w:type="dxa"/>
            <w:vAlign w:val="bottom"/>
          </w:tcPr>
          <w:p>
            <w:pPr>
              <w:spacing w:after="0"/>
              <w:rPr>
                <w:sz w:val="12"/>
                <w:szCs w:val="12"/>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3"/>
              </w:rPr>
              <w:t>operations)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40" w:type="dxa"/>
            <w:vAlign w:val="bottom"/>
            <w:gridSpan w:val="3"/>
          </w:tcPr>
          <w:p>
            <w:pPr>
              <w:spacing w:after="0"/>
              <w:rPr>
                <w:sz w:val="20"/>
                <w:szCs w:val="20"/>
                <w:color w:val="auto"/>
              </w:rPr>
            </w:pPr>
            <w:r>
              <w:rPr>
                <w:rFonts w:ascii="Arial" w:cs="Arial" w:eastAsia="Arial" w:hAnsi="Arial"/>
                <w:sz w:val="13"/>
                <w:szCs w:val="13"/>
                <w:b w:val="1"/>
                <w:bCs w:val="1"/>
                <w:color w:val="auto"/>
              </w:rPr>
              <w:t>September 30, 2012</w:t>
            </w:r>
          </w:p>
        </w:tc>
        <w:tc>
          <w:tcPr>
            <w:tcW w:w="120" w:type="dxa"/>
            <w:vAlign w:val="bottom"/>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1"/>
              </w:rPr>
              <w:t>to September 30, 2011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9"/>
                <w:szCs w:val="9"/>
                <w:b w:val="1"/>
                <w:bCs w:val="1"/>
                <w:color w:val="auto"/>
              </w:rPr>
              <w:t>Per Share Data</w:t>
            </w:r>
            <w:r>
              <w:rPr>
                <w:rFonts w:ascii="Arial" w:cs="Arial" w:eastAsia="Arial" w:hAnsi="Arial"/>
                <w:sz w:val="14"/>
                <w:szCs w:val="14"/>
                <w:b w:val="1"/>
                <w:bCs w:val="1"/>
                <w:color w:val="auto"/>
                <w:vertAlign w:val="superscript"/>
              </w:rPr>
              <w:t>(1)</w:t>
            </w:r>
            <w:r>
              <w:rPr>
                <w:rFonts w:ascii="Arial" w:cs="Arial" w:eastAsia="Arial" w:hAnsi="Arial"/>
                <w:sz w:val="9"/>
                <w:szCs w:val="9"/>
                <w:b w:val="1"/>
                <w:bCs w:val="1"/>
                <w:color w:val="auto"/>
              </w:rPr>
              <w:t>:</w:t>
            </w:r>
          </w:p>
        </w:tc>
        <w:tc>
          <w:tcPr>
            <w:tcW w:w="9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5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920" w:type="dxa"/>
            <w:vAlign w:val="bottom"/>
          </w:tcPr>
          <w:p>
            <w:pPr>
              <w:spacing w:after="0"/>
              <w:rPr>
                <w:sz w:val="20"/>
                <w:szCs w:val="20"/>
                <w:color w:val="auto"/>
              </w:rPr>
            </w:pPr>
            <w:r>
              <w:rPr>
                <w:rFonts w:ascii="Arial" w:cs="Arial" w:eastAsia="Arial" w:hAnsi="Arial"/>
                <w:sz w:val="13"/>
                <w:szCs w:val="13"/>
                <w:color w:val="auto"/>
              </w:rPr>
              <w:t>Net asset value, beginning of period</w:t>
            </w:r>
          </w:p>
        </w:tc>
        <w:tc>
          <w:tcPr>
            <w:tcW w:w="1120" w:type="dxa"/>
            <w:vAlign w:val="bottom"/>
            <w:gridSpan w:val="2"/>
          </w:tcPr>
          <w:p>
            <w:pPr>
              <w:ind w:left="960"/>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13.44</w:t>
            </w:r>
          </w:p>
        </w:tc>
        <w:tc>
          <w:tcPr>
            <w:tcW w:w="6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Net investment income</w:t>
            </w:r>
          </w:p>
        </w:tc>
        <w:tc>
          <w:tcPr>
            <w:tcW w:w="96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0.92</w:t>
            </w:r>
          </w:p>
        </w:tc>
        <w:tc>
          <w:tcPr>
            <w:tcW w:w="6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20" w:type="dxa"/>
            <w:vAlign w:val="bottom"/>
          </w:tcPr>
          <w:p>
            <w:pPr>
              <w:spacing w:after="0"/>
              <w:rPr>
                <w:sz w:val="20"/>
                <w:szCs w:val="20"/>
                <w:color w:val="auto"/>
              </w:rPr>
            </w:pPr>
            <w:r>
              <w:rPr>
                <w:rFonts w:ascii="Arial" w:cs="Arial" w:eastAsia="Arial" w:hAnsi="Arial"/>
                <w:sz w:val="13"/>
                <w:szCs w:val="13"/>
                <w:color w:val="auto"/>
              </w:rPr>
              <w:t>Net change in realized and unrealized gain (loss)</w:t>
            </w: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0.83</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3"/>
                <w:szCs w:val="13"/>
                <w:color w:val="auto"/>
              </w:rPr>
              <w:t>(0.56)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Net increase (decrease) in net assets resulting from operations</w:t>
            </w: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(0.51)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20" w:type="dxa"/>
            <w:vAlign w:val="bottom"/>
          </w:tcPr>
          <w:p>
            <w:pPr>
              <w:spacing w:after="0" w:line="149" w:lineRule="exact"/>
              <w:rPr>
                <w:sz w:val="20"/>
                <w:szCs w:val="20"/>
                <w:color w:val="auto"/>
              </w:rPr>
            </w:pPr>
            <w:r>
              <w:rPr>
                <w:rFonts w:ascii="Arial" w:cs="Arial" w:eastAsia="Arial" w:hAnsi="Arial"/>
                <w:sz w:val="11"/>
                <w:szCs w:val="11"/>
                <w:color w:val="auto"/>
              </w:rPr>
              <w:t>Dividends to stockholders</w:t>
            </w:r>
            <w:r>
              <w:rPr>
                <w:rFonts w:ascii="Arial" w:cs="Arial" w:eastAsia="Arial" w:hAnsi="Arial"/>
                <w:sz w:val="17"/>
                <w:szCs w:val="17"/>
                <w:color w:val="auto"/>
                <w:vertAlign w:val="superscript"/>
              </w:rPr>
              <w:t>(2)</w:t>
            </w: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right"/>
              <w:ind w:right="560"/>
              <w:spacing w:after="0"/>
              <w:rPr>
                <w:sz w:val="20"/>
                <w:szCs w:val="20"/>
                <w:color w:val="auto"/>
              </w:rPr>
            </w:pPr>
            <w:r>
              <w:rPr>
                <w:rFonts w:ascii="Arial" w:cs="Arial" w:eastAsia="Arial" w:hAnsi="Arial"/>
                <w:sz w:val="13"/>
                <w:szCs w:val="13"/>
                <w:color w:val="auto"/>
              </w:rPr>
              <w:t>(0.91)</w:t>
            </w:r>
          </w:p>
        </w:tc>
        <w:tc>
          <w:tcPr>
            <w:tcW w:w="120" w:type="dxa"/>
            <w:vAlign w:val="bottom"/>
          </w:tcPr>
          <w:p>
            <w:pPr>
              <w:spacing w:after="0"/>
              <w:rPr>
                <w:sz w:val="12"/>
                <w:szCs w:val="12"/>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3"/>
                <w:szCs w:val="13"/>
                <w:color w:val="auto"/>
              </w:rPr>
              <w:t>(0.25)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Initial issuance of common stock</w:t>
            </w: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20" w:type="dxa"/>
            <w:vAlign w:val="bottom"/>
          </w:tcPr>
          <w:p>
            <w:pPr>
              <w:spacing w:after="0"/>
              <w:rPr>
                <w:sz w:val="20"/>
                <w:szCs w:val="20"/>
                <w:color w:val="auto"/>
              </w:rPr>
            </w:pPr>
            <w:r>
              <w:rPr>
                <w:rFonts w:ascii="Arial" w:cs="Arial" w:eastAsia="Arial" w:hAnsi="Arial"/>
                <w:sz w:val="13"/>
                <w:szCs w:val="13"/>
                <w:color w:val="auto"/>
              </w:rPr>
              <w:t>Offering costs</w:t>
            </w: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2"/>
          </w:tcPr>
          <w:p>
            <w:pPr>
              <w:jc w:val="right"/>
              <w:ind w:right="560"/>
              <w:spacing w:after="0"/>
              <w:rPr>
                <w:sz w:val="20"/>
                <w:szCs w:val="20"/>
                <w:color w:val="auto"/>
              </w:rPr>
            </w:pPr>
            <w:r>
              <w:rPr>
                <w:rFonts w:ascii="Arial" w:cs="Arial" w:eastAsia="Arial" w:hAnsi="Arial"/>
                <w:sz w:val="13"/>
                <w:szCs w:val="13"/>
                <w:color w:val="auto"/>
              </w:rPr>
              <w:t>(0.30)</w:t>
            </w:r>
          </w:p>
        </w:tc>
        <w:tc>
          <w:tcPr>
            <w:tcW w:w="120" w:type="dxa"/>
            <w:vAlign w:val="bottom"/>
          </w:tcPr>
          <w:p>
            <w:pPr>
              <w:spacing w:after="0"/>
              <w:rPr>
                <w:sz w:val="13"/>
                <w:szCs w:val="13"/>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3"/>
                <w:szCs w:val="13"/>
                <w:color w:val="auto"/>
              </w:rPr>
              <w:t>(0.80)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Net asset value, end of period</w:t>
            </w:r>
          </w:p>
        </w:tc>
        <w:tc>
          <w:tcPr>
            <w:tcW w:w="960" w:type="dxa"/>
            <w:vAlign w:val="bottom"/>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13.98</w:t>
            </w:r>
          </w:p>
        </w:tc>
        <w:tc>
          <w:tcPr>
            <w:tcW w:w="600" w:type="dxa"/>
            <w:vAlign w:val="bottom"/>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13.44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940" w:type="dxa"/>
            <w:vAlign w:val="bottom"/>
            <w:gridSpan w:val="2"/>
          </w:tcPr>
          <w:p>
            <w:pPr>
              <w:spacing w:after="0"/>
              <w:rPr>
                <w:sz w:val="20"/>
                <w:szCs w:val="20"/>
                <w:color w:val="auto"/>
              </w:rPr>
            </w:pPr>
            <w:r>
              <w:rPr>
                <w:rFonts w:ascii="Arial" w:cs="Arial" w:eastAsia="Arial" w:hAnsi="Arial"/>
                <w:sz w:val="13"/>
                <w:szCs w:val="13"/>
                <w:color w:val="auto"/>
              </w:rPr>
              <w:t>Per share market value, end of period</w:t>
            </w:r>
          </w:p>
        </w:tc>
        <w:tc>
          <w:tcPr>
            <w:tcW w:w="1120" w:type="dxa"/>
            <w:vAlign w:val="bottom"/>
            <w:gridSpan w:val="2"/>
          </w:tcPr>
          <w:p>
            <w:pPr>
              <w:ind w:left="960"/>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12.67</w:t>
            </w:r>
          </w:p>
        </w:tc>
        <w:tc>
          <w:tcPr>
            <w:tcW w:w="6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500" w:type="dxa"/>
            <w:vAlign w:val="bottom"/>
          </w:tcPr>
          <w:p>
            <w:pPr>
              <w:jc w:val="right"/>
              <w:spacing w:after="0"/>
              <w:rPr>
                <w:sz w:val="20"/>
                <w:szCs w:val="20"/>
                <w:color w:val="auto"/>
              </w:rPr>
            </w:pPr>
            <w:r>
              <w:rPr>
                <w:rFonts w:ascii="Arial" w:cs="Arial" w:eastAsia="Arial" w:hAnsi="Arial"/>
                <w:sz w:val="13"/>
                <w:szCs w:val="13"/>
                <w:color w:val="auto"/>
              </w:rPr>
              <w:t>10.55</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Total return*</w:t>
            </w:r>
            <w:r>
              <w:rPr>
                <w:rFonts w:ascii="Arial" w:cs="Arial" w:eastAsia="Arial" w:hAnsi="Arial"/>
                <w:sz w:val="17"/>
                <w:szCs w:val="17"/>
                <w:color w:val="auto"/>
                <w:vertAlign w:val="superscript"/>
              </w:rPr>
              <w:t>(3)</w:t>
            </w: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29.43%</w:t>
            </w:r>
          </w:p>
        </w:tc>
        <w:tc>
          <w:tcPr>
            <w:tcW w:w="12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(28.13)%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20" w:type="dxa"/>
            <w:vAlign w:val="bottom"/>
          </w:tcPr>
          <w:p>
            <w:pPr>
              <w:spacing w:after="0"/>
              <w:rPr>
                <w:sz w:val="20"/>
                <w:szCs w:val="20"/>
                <w:color w:val="auto"/>
              </w:rPr>
            </w:pPr>
            <w:r>
              <w:rPr>
                <w:rFonts w:ascii="Arial" w:cs="Arial" w:eastAsia="Arial" w:hAnsi="Arial"/>
                <w:sz w:val="13"/>
                <w:szCs w:val="13"/>
                <w:color w:val="auto"/>
              </w:rPr>
              <w:t>Shares outstanding at end of period</w:t>
            </w: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6,850,667</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6,850,667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Ratios / Supplemental Data*:</w:t>
            </w: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line="149" w:lineRule="exact"/>
              <w:rPr>
                <w:sz w:val="20"/>
                <w:szCs w:val="20"/>
                <w:color w:val="auto"/>
              </w:rPr>
            </w:pPr>
            <w:r>
              <w:rPr>
                <w:rFonts w:ascii="Arial" w:cs="Arial" w:eastAsia="Arial" w:hAnsi="Arial"/>
                <w:sz w:val="11"/>
                <w:szCs w:val="11"/>
                <w:color w:val="auto"/>
              </w:rPr>
              <w:t>Ratio of operating expenses to average net assets</w:t>
            </w:r>
            <w:r>
              <w:rPr>
                <w:rFonts w:ascii="Arial" w:cs="Arial" w:eastAsia="Arial" w:hAnsi="Arial"/>
                <w:sz w:val="17"/>
                <w:szCs w:val="17"/>
                <w:color w:val="auto"/>
                <w:vertAlign w:val="superscript"/>
              </w:rPr>
              <w:t>(4)</w:t>
            </w: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3"/>
                <w:szCs w:val="13"/>
                <w:color w:val="auto"/>
              </w:rPr>
              <w:t>4.20%</w:t>
            </w:r>
          </w:p>
        </w:tc>
        <w:tc>
          <w:tcPr>
            <w:tcW w:w="120" w:type="dxa"/>
            <w:vAlign w:val="bottom"/>
          </w:tcPr>
          <w:p>
            <w:pPr>
              <w:spacing w:after="0"/>
              <w:rPr>
                <w:sz w:val="12"/>
                <w:szCs w:val="12"/>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3"/>
                <w:szCs w:val="13"/>
                <w:color w:val="auto"/>
              </w:rPr>
              <w:t>1.16%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Ratio of Credit Facility related interest and expenses to average net assets</w:t>
            </w: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1.89%</w:t>
            </w:r>
          </w:p>
        </w:tc>
        <w:tc>
          <w:tcPr>
            <w:tcW w:w="12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1.61%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20" w:type="dxa"/>
            <w:vAlign w:val="bottom"/>
          </w:tcPr>
          <w:p>
            <w:pPr>
              <w:spacing w:after="0"/>
              <w:rPr>
                <w:sz w:val="20"/>
                <w:szCs w:val="20"/>
                <w:color w:val="auto"/>
              </w:rPr>
            </w:pPr>
            <w:r>
              <w:rPr>
                <w:rFonts w:ascii="Arial" w:cs="Arial" w:eastAsia="Arial" w:hAnsi="Arial"/>
                <w:sz w:val="13"/>
                <w:szCs w:val="13"/>
                <w:color w:val="auto"/>
              </w:rPr>
              <w:t>Ratio of total expenses to average net assets</w:t>
            </w: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3"/>
                <w:szCs w:val="13"/>
                <w:color w:val="auto"/>
              </w:rPr>
              <w:t>6.09%</w:t>
            </w:r>
          </w:p>
        </w:tc>
        <w:tc>
          <w:tcPr>
            <w:tcW w:w="120" w:type="dxa"/>
            <w:vAlign w:val="bottom"/>
          </w:tcPr>
          <w:p>
            <w:pPr>
              <w:spacing w:after="0"/>
              <w:rPr>
                <w:sz w:val="12"/>
                <w:szCs w:val="12"/>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3"/>
                <w:szCs w:val="13"/>
                <w:color w:val="auto"/>
              </w:rPr>
              <w:t>2.77%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Ratio of net investment income to average net assets</w:t>
            </w: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6.64%</w:t>
            </w:r>
          </w:p>
        </w:tc>
        <w:tc>
          <w:tcPr>
            <w:tcW w:w="12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0.34%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20" w:type="dxa"/>
            <w:vAlign w:val="bottom"/>
          </w:tcPr>
          <w:p>
            <w:pPr>
              <w:spacing w:after="0"/>
              <w:rPr>
                <w:sz w:val="20"/>
                <w:szCs w:val="20"/>
                <w:color w:val="auto"/>
              </w:rPr>
            </w:pPr>
            <w:r>
              <w:rPr>
                <w:rFonts w:ascii="Arial" w:cs="Arial" w:eastAsia="Arial" w:hAnsi="Arial"/>
                <w:sz w:val="13"/>
                <w:szCs w:val="13"/>
                <w:color w:val="auto"/>
              </w:rPr>
              <w:t>Net assets at end of period</w:t>
            </w:r>
          </w:p>
        </w:tc>
        <w:tc>
          <w:tcPr>
            <w:tcW w:w="1120" w:type="dxa"/>
            <w:vAlign w:val="bottom"/>
            <w:gridSpan w:val="2"/>
          </w:tcPr>
          <w:p>
            <w:pPr>
              <w:ind w:left="960"/>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95,743,877</w:t>
            </w:r>
          </w:p>
        </w:tc>
        <w:tc>
          <w:tcPr>
            <w:tcW w:w="6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500" w:type="dxa"/>
            <w:vAlign w:val="bottom"/>
          </w:tcPr>
          <w:p>
            <w:pPr>
              <w:jc w:val="right"/>
              <w:spacing w:after="0"/>
              <w:rPr>
                <w:sz w:val="20"/>
                <w:szCs w:val="20"/>
                <w:color w:val="auto"/>
              </w:rPr>
            </w:pPr>
            <w:r>
              <w:rPr>
                <w:rFonts w:ascii="Arial" w:cs="Arial" w:eastAsia="Arial" w:hAnsi="Arial"/>
                <w:sz w:val="13"/>
                <w:szCs w:val="13"/>
                <w:color w:val="auto"/>
              </w:rPr>
              <w:t>92,072,105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Average debt outstanding</w:t>
            </w:r>
          </w:p>
        </w:tc>
        <w:tc>
          <w:tcPr>
            <w:tcW w:w="1120" w:type="dxa"/>
            <w:vAlign w:val="bottom"/>
            <w:gridSpan w:val="2"/>
            <w:shd w:val="clear" w:color="auto" w:fill="CCEEFF"/>
          </w:tcPr>
          <w:p>
            <w:pPr>
              <w:ind w:left="96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46,133,607</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7,550,877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20"/>
                <w:szCs w:val="20"/>
                <w:color w:val="auto"/>
              </w:rPr>
            </w:pPr>
            <w:r>
              <w:rPr>
                <w:rFonts w:ascii="Arial" w:cs="Arial" w:eastAsia="Arial" w:hAnsi="Arial"/>
                <w:sz w:val="13"/>
                <w:szCs w:val="13"/>
                <w:color w:val="auto"/>
              </w:rPr>
              <w:t>Average debt per share</w:t>
            </w:r>
          </w:p>
        </w:tc>
        <w:tc>
          <w:tcPr>
            <w:tcW w:w="1120" w:type="dxa"/>
            <w:vAlign w:val="bottom"/>
            <w:gridSpan w:val="2"/>
          </w:tcPr>
          <w:p>
            <w:pPr>
              <w:ind w:left="960"/>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6.73</w:t>
            </w:r>
          </w:p>
        </w:tc>
        <w:tc>
          <w:tcPr>
            <w:tcW w:w="6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660" w:type="dxa"/>
            <w:vAlign w:val="bottom"/>
            <w:gridSpan w:val="2"/>
          </w:tcPr>
          <w:p>
            <w:pPr>
              <w:jc w:val="right"/>
              <w:ind w:right="160"/>
              <w:spacing w:after="0"/>
              <w:rPr>
                <w:sz w:val="20"/>
                <w:szCs w:val="20"/>
                <w:color w:val="auto"/>
              </w:rPr>
            </w:pPr>
            <w:r>
              <w:rPr>
                <w:rFonts w:ascii="Arial" w:cs="Arial" w:eastAsia="Arial" w:hAnsi="Arial"/>
                <w:sz w:val="13"/>
                <w:szCs w:val="13"/>
                <w:color w:val="auto"/>
              </w:rPr>
              <w:t>1.11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Portfolio turnover ratio</w:t>
            </w: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50.80%</w:t>
            </w:r>
          </w:p>
        </w:tc>
        <w:tc>
          <w:tcPr>
            <w:tcW w:w="12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37.53%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257175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08"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3"/>
          <w:szCs w:val="13"/>
          <w:color w:val="auto"/>
        </w:rPr>
      </w:pPr>
      <w:r>
        <w:rPr>
          <w:rFonts w:ascii="Arial" w:cs="Arial" w:eastAsia="Arial" w:hAnsi="Arial"/>
          <w:sz w:val="13"/>
          <w:szCs w:val="13"/>
          <w:color w:val="auto"/>
        </w:rPr>
        <w:t>Not annualized for period less than a year.</w:t>
      </w:r>
    </w:p>
    <w:p>
      <w:pPr>
        <w:ind w:left="460" w:hanging="452"/>
        <w:spacing w:after="0" w:line="185" w:lineRule="auto"/>
        <w:tabs>
          <w:tab w:leader="none" w:pos="460" w:val="left"/>
        </w:tabs>
        <w:numPr>
          <w:ilvl w:val="0"/>
          <w:numId w:val="44"/>
        </w:numPr>
        <w:rPr>
          <w:rFonts w:ascii="Arial" w:cs="Arial" w:eastAsia="Arial" w:hAnsi="Arial"/>
          <w:sz w:val="19"/>
          <w:szCs w:val="19"/>
          <w:color w:val="auto"/>
          <w:vertAlign w:val="superscript"/>
        </w:rPr>
      </w:pPr>
      <w:r>
        <w:rPr>
          <w:rFonts w:ascii="Arial" w:cs="Arial" w:eastAsia="Arial" w:hAnsi="Arial"/>
          <w:sz w:val="12"/>
          <w:szCs w:val="12"/>
          <w:color w:val="auto"/>
        </w:rPr>
        <w:t>Based on the weighted average shares outstanding for the period except for net asset value.</w:t>
      </w:r>
    </w:p>
    <w:p>
      <w:pPr>
        <w:ind w:left="460" w:hanging="452"/>
        <w:spacing w:after="0" w:line="182" w:lineRule="auto"/>
        <w:tabs>
          <w:tab w:leader="none" w:pos="460" w:val="left"/>
        </w:tabs>
        <w:numPr>
          <w:ilvl w:val="0"/>
          <w:numId w:val="44"/>
        </w:numPr>
        <w:rPr>
          <w:rFonts w:ascii="Arial" w:cs="Arial" w:eastAsia="Arial" w:hAnsi="Arial"/>
          <w:sz w:val="17"/>
          <w:szCs w:val="17"/>
          <w:color w:val="auto"/>
          <w:vertAlign w:val="superscript"/>
        </w:rPr>
      </w:pPr>
      <w:r>
        <w:rPr>
          <w:rFonts w:ascii="Arial" w:cs="Arial" w:eastAsia="Arial" w:hAnsi="Arial"/>
          <w:sz w:val="11"/>
          <w:szCs w:val="11"/>
          <w:color w:val="auto"/>
        </w:rPr>
        <w:t>Determined based on taxable income calculated in accordance with income tax regulations, which may differ from amounts determined under GAAP.</w:t>
      </w:r>
    </w:p>
    <w:p>
      <w:pPr>
        <w:ind w:left="460" w:hanging="452"/>
        <w:spacing w:after="0" w:line="182" w:lineRule="auto"/>
        <w:tabs>
          <w:tab w:leader="none" w:pos="460" w:val="left"/>
        </w:tabs>
        <w:numPr>
          <w:ilvl w:val="0"/>
          <w:numId w:val="44"/>
        </w:numPr>
        <w:rPr>
          <w:rFonts w:ascii="Arial" w:cs="Arial" w:eastAsia="Arial" w:hAnsi="Arial"/>
          <w:sz w:val="17"/>
          <w:szCs w:val="17"/>
          <w:color w:val="auto"/>
          <w:vertAlign w:val="superscript"/>
        </w:rPr>
      </w:pPr>
      <w:r>
        <w:rPr>
          <w:rFonts w:ascii="Arial" w:cs="Arial" w:eastAsia="Arial" w:hAnsi="Arial"/>
          <w:sz w:val="11"/>
          <w:szCs w:val="11"/>
          <w:color w:val="auto"/>
        </w:rPr>
        <w:t>Based on the change in market price per share during the period and takes into account dividends and distributions, if any, reinvested in accordance with our dividend reinvestment plan.</w:t>
      </w:r>
    </w:p>
    <w:p>
      <w:pPr>
        <w:ind w:left="460" w:hanging="452"/>
        <w:spacing w:after="0" w:line="185" w:lineRule="auto"/>
        <w:tabs>
          <w:tab w:leader="none" w:pos="460" w:val="left"/>
        </w:tabs>
        <w:numPr>
          <w:ilvl w:val="0"/>
          <w:numId w:val="44"/>
        </w:numPr>
        <w:rPr>
          <w:rFonts w:ascii="Arial" w:cs="Arial" w:eastAsia="Arial" w:hAnsi="Arial"/>
          <w:sz w:val="18"/>
          <w:szCs w:val="18"/>
          <w:color w:val="auto"/>
          <w:vertAlign w:val="superscript"/>
        </w:rPr>
      </w:pPr>
      <w:r>
        <w:rPr>
          <w:rFonts w:ascii="Arial" w:cs="Arial" w:eastAsia="Arial" w:hAnsi="Arial"/>
          <w:sz w:val="11"/>
          <w:szCs w:val="11"/>
          <w:color w:val="auto"/>
        </w:rPr>
        <w:t>Operating expenses exclude Credit Facility related costs.</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10. CREDIT FACILITY</w:t>
      </w:r>
    </w:p>
    <w:p>
      <w:pPr>
        <w:spacing w:after="0" w:line="136" w:lineRule="exact"/>
        <w:rPr>
          <w:sz w:val="20"/>
          <w:szCs w:val="20"/>
          <w:color w:val="auto"/>
        </w:rPr>
      </w:pPr>
    </w:p>
    <w:p>
      <w:pPr>
        <w:ind w:firstLine="337"/>
        <w:spacing w:after="0" w:line="247" w:lineRule="auto"/>
        <w:rPr>
          <w:sz w:val="20"/>
          <w:szCs w:val="20"/>
          <w:color w:val="auto"/>
        </w:rPr>
      </w:pPr>
      <w:r>
        <w:rPr>
          <w:rFonts w:ascii="Arial" w:cs="Arial" w:eastAsia="Arial" w:hAnsi="Arial"/>
          <w:sz w:val="13"/>
          <w:szCs w:val="13"/>
          <w:color w:val="auto"/>
        </w:rPr>
        <w:t>In May 2012, Funding I amended and restated its Credit Facility with affiliates of SunTrust Bank, or the Lender, to extend the maturity date to May 2017 and reinvestment period to May 2015 while increasing our investment flexibility under the Credit Facility. The Credit Facility allows Funding I to borrow up to $100.0 million and contains an accordion feature whereby the Credit Facility can be expanded to $600.0 million, subject to satisfaction of certain conditions and the regulatory restrictions that the 1940 Act imposes on us as a BDC. As of September 30, 2012 and September 30, 2011, Funding I had $75.5 million and $24.7 million of outstanding borrowings under the Credit Facility, and carried an interest rate of 2.47% and 2.53%, in each case excluding the 0.375% and 0.500% undrawn commitment fee, respectively.</w:t>
      </w:r>
    </w:p>
    <w:p>
      <w:pPr>
        <w:spacing w:after="0" w:line="108" w:lineRule="exact"/>
        <w:rPr>
          <w:sz w:val="20"/>
          <w:szCs w:val="20"/>
          <w:color w:val="auto"/>
        </w:rPr>
      </w:pPr>
    </w:p>
    <w:p>
      <w:pPr>
        <w:ind w:right="60" w:firstLine="562"/>
        <w:spacing w:after="0" w:line="288" w:lineRule="auto"/>
        <w:rPr>
          <w:sz w:val="20"/>
          <w:szCs w:val="20"/>
          <w:color w:val="auto"/>
        </w:rPr>
      </w:pPr>
      <w:r>
        <w:rPr>
          <w:rFonts w:ascii="Arial" w:cs="Arial" w:eastAsia="Arial" w:hAnsi="Arial"/>
          <w:sz w:val="12"/>
          <w:szCs w:val="12"/>
          <w:color w:val="auto"/>
        </w:rPr>
        <w:t>During the three years beginning in May 2012, or the revolving period, the Credit Facility bears interest at LIBOR plus 225 basis points and, after the revolving period, the rate sets to LIBOR plus 425 basis points for the remaining two years, maturing in May 2017.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84" w:lineRule="exact"/>
        <w:rPr>
          <w:sz w:val="20"/>
          <w:szCs w:val="20"/>
          <w:color w:val="auto"/>
        </w:rPr>
      </w:pPr>
    </w:p>
    <w:p>
      <w:pPr>
        <w:ind w:right="600" w:firstLine="562"/>
        <w:spacing w:after="0" w:line="274" w:lineRule="auto"/>
        <w:rPr>
          <w:sz w:val="20"/>
          <w:szCs w:val="20"/>
          <w:color w:val="auto"/>
        </w:rPr>
      </w:pPr>
      <w:r>
        <w:rPr>
          <w:rFonts w:ascii="Arial" w:cs="Arial" w:eastAsia="Arial" w:hAnsi="Arial"/>
          <w:sz w:val="13"/>
          <w:szCs w:val="13"/>
          <w:color w:val="auto"/>
        </w:rPr>
        <w:t>The Credit Facility, as amended, contains covenants including but not limited to restrictions of loan size, industry requirements, average life of loans, geographic and individual portfolio concentrations, minimum portfolio yield and loan payment frequency. Additionally,</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75</w:t>
      </w:r>
    </w:p>
    <w:p>
      <w:pPr>
        <w:sectPr>
          <w:pgSz w:w="11900" w:h="16838" w:orient="portrait"/>
          <w:cols w:equalWidth="0" w:num="1">
            <w:col w:w="11180"/>
          </w:cols>
          <w:pgMar w:left="320" w:top="459" w:right="3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NOTES TO CONSOLIDATED FINANCIAL STATEMENTS</w:t>
      </w:r>
    </w:p>
    <w:p>
      <w:pPr>
        <w:jc w:val="center"/>
        <w:ind w:right="-79"/>
        <w:spacing w:after="0"/>
        <w:rPr>
          <w:sz w:val="20"/>
          <w:szCs w:val="20"/>
          <w:color w:val="auto"/>
        </w:rPr>
      </w:pPr>
      <w:r>
        <w:rPr>
          <w:rFonts w:ascii="Arial" w:cs="Arial" w:eastAsia="Arial" w:hAnsi="Arial"/>
          <w:sz w:val="13"/>
          <w:szCs w:val="13"/>
          <w:b w:val="1"/>
          <w:bCs w:val="1"/>
          <w:color w:val="auto"/>
        </w:rPr>
        <w:t>SEPTEMBER 30, 2012</w:t>
      </w:r>
    </w:p>
    <w:p>
      <w:pPr>
        <w:spacing w:after="0" w:line="136" w:lineRule="exact"/>
        <w:rPr>
          <w:sz w:val="20"/>
          <w:szCs w:val="20"/>
          <w:color w:val="auto"/>
        </w:rPr>
      </w:pPr>
    </w:p>
    <w:p>
      <w:pPr>
        <w:ind w:right="20"/>
        <w:spacing w:after="0" w:line="256" w:lineRule="auto"/>
        <w:rPr>
          <w:sz w:val="20"/>
          <w:szCs w:val="20"/>
          <w:color w:val="auto"/>
        </w:rPr>
      </w:pPr>
      <w:r>
        <w:rPr>
          <w:rFonts w:ascii="Arial" w:cs="Arial" w:eastAsia="Arial" w:hAnsi="Arial"/>
          <w:sz w:val="13"/>
          <w:szCs w:val="13"/>
          <w:color w:val="auto"/>
        </w:rPr>
        <w:t>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(for example, fair value, as defined under ASC 820, is not permitted to be used for assets or liabilities for such compliance reporting).</w:t>
      </w:r>
    </w:p>
    <w:p>
      <w:pPr>
        <w:spacing w:after="0" w:line="102" w:lineRule="exact"/>
        <w:rPr>
          <w:sz w:val="20"/>
          <w:szCs w:val="20"/>
          <w:color w:val="auto"/>
        </w:rPr>
      </w:pPr>
    </w:p>
    <w:p>
      <w:pPr>
        <w:ind w:firstLine="562"/>
        <w:spacing w:after="0" w:line="256" w:lineRule="auto"/>
        <w:rPr>
          <w:sz w:val="20"/>
          <w:szCs w:val="20"/>
          <w:color w:val="auto"/>
        </w:rPr>
      </w:pPr>
      <w:r>
        <w:rPr>
          <w:rFonts w:ascii="Arial" w:cs="Arial" w:eastAsia="Arial" w:hAnsi="Arial"/>
          <w:sz w:val="13"/>
          <w:szCs w:val="13"/>
          <w:color w:val="auto"/>
        </w:rPr>
        <w:t>We own 100% of the equity interest in Funding I and will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 As of September 30, 2012 and 2011, our asset coverage ratios were 227% and 474%, respectively.</w:t>
      </w:r>
    </w:p>
    <w:p>
      <w:pPr>
        <w:spacing w:after="0" w:line="102" w:lineRule="exact"/>
        <w:rPr>
          <w:sz w:val="20"/>
          <w:szCs w:val="20"/>
          <w:color w:val="auto"/>
        </w:rPr>
      </w:pPr>
    </w:p>
    <w:p>
      <w:pPr>
        <w:ind w:firstLine="562"/>
        <w:spacing w:after="0" w:line="250" w:lineRule="auto"/>
        <w:rPr>
          <w:sz w:val="20"/>
          <w:szCs w:val="20"/>
          <w:color w:val="auto"/>
        </w:rPr>
      </w:pPr>
      <w:r>
        <w:rPr>
          <w:rFonts w:ascii="Arial" w:cs="Arial" w:eastAsia="Arial" w:hAnsi="Arial"/>
          <w:sz w:val="13"/>
          <w:szCs w:val="13"/>
          <w:color w:val="auto"/>
        </w:rPr>
        <w:t>Our interest in Funding I (other than the management fees)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 (2) required administrative expenses and (3) claims of other unsecured creditors of Funding I. The Investment Adviser has irrevocably directed that all management fees owing with respect to such services are to be paid to the Company so long as the Investment Adviser remains the collateral manager.</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11. COMMITMENTS AND CONTINGENCIES</w:t>
      </w:r>
    </w:p>
    <w:p>
      <w:pPr>
        <w:spacing w:after="0" w:line="136" w:lineRule="exact"/>
        <w:rPr>
          <w:sz w:val="20"/>
          <w:szCs w:val="20"/>
          <w:color w:val="auto"/>
        </w:rPr>
      </w:pPr>
    </w:p>
    <w:p>
      <w:pPr>
        <w:ind w:right="220" w:firstLine="562"/>
        <w:spacing w:after="0" w:line="250" w:lineRule="auto"/>
        <w:rPr>
          <w:sz w:val="20"/>
          <w:szCs w:val="20"/>
          <w:color w:val="auto"/>
        </w:rPr>
      </w:pPr>
      <w:r>
        <w:rPr>
          <w:rFonts w:ascii="Arial" w:cs="Arial" w:eastAsia="Arial" w:hAnsi="Arial"/>
          <w:sz w:val="13"/>
          <w:szCs w:val="13"/>
          <w:color w:val="auto"/>
        </w:rPr>
        <w:t>From time to time, PennantPark Floating Rate Capital Ltd.,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Consolidated Statement of Assets and Liabilities represent unfunded delayed draws on investments in first lien secured debt and subordinated debt investments.</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76</w:t>
      </w:r>
    </w:p>
    <w:p>
      <w:pPr>
        <w:sectPr>
          <w:pgSz w:w="11900" w:h="16838" w:orient="portrait"/>
          <w:cols w:equalWidth="0" w:num="1">
            <w:col w:w="11160"/>
          </w:cols>
          <w:pgMar w:left="320" w:top="459" w:right="41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Supplementary Data</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Selected Quarterly Data (Unaudited)</w:t>
      </w:r>
    </w:p>
    <w:p>
      <w:pPr>
        <w:jc w:val="center"/>
        <w:spacing w:after="0"/>
        <w:rPr>
          <w:sz w:val="20"/>
          <w:szCs w:val="20"/>
          <w:color w:val="auto"/>
        </w:rPr>
      </w:pPr>
      <w:r>
        <w:rPr>
          <w:rFonts w:ascii="Arial" w:cs="Arial" w:eastAsia="Arial" w:hAnsi="Arial"/>
          <w:sz w:val="13"/>
          <w:szCs w:val="13"/>
          <w:b w:val="1"/>
          <w:bCs w:val="1"/>
          <w:color w:val="auto"/>
        </w:rPr>
        <w:t>(dollar amounts 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2012</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62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ind w:left="40"/>
              <w:spacing w:after="0"/>
              <w:rPr>
                <w:sz w:val="20"/>
                <w:szCs w:val="20"/>
                <w:color w:val="auto"/>
              </w:rPr>
            </w:pPr>
            <w:r>
              <w:rPr>
                <w:rFonts w:ascii="Arial" w:cs="Arial" w:eastAsia="Arial" w:hAnsi="Arial"/>
                <w:sz w:val="13"/>
                <w:szCs w:val="13"/>
                <w:b w:val="1"/>
                <w:bCs w:val="1"/>
                <w:color w:val="auto"/>
              </w:rPr>
              <w:t>Q4</w:t>
            </w:r>
          </w:p>
        </w:tc>
        <w:tc>
          <w:tcPr>
            <w:tcW w:w="80" w:type="dxa"/>
            <w:vAlign w:val="bottom"/>
          </w:tcPr>
          <w:p>
            <w:pPr>
              <w:spacing w:after="0"/>
              <w:rPr>
                <w:sz w:val="19"/>
                <w:szCs w:val="19"/>
                <w:color w:val="auto"/>
              </w:rPr>
            </w:pPr>
          </w:p>
        </w:tc>
        <w:tc>
          <w:tcPr>
            <w:tcW w:w="64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Q3</w:t>
            </w:r>
          </w:p>
        </w:tc>
        <w:tc>
          <w:tcPr>
            <w:tcW w:w="100" w:type="dxa"/>
            <w:vAlign w:val="bottom"/>
          </w:tcPr>
          <w:p>
            <w:pPr>
              <w:spacing w:after="0"/>
              <w:rPr>
                <w:sz w:val="19"/>
                <w:szCs w:val="19"/>
                <w:color w:val="auto"/>
              </w:rPr>
            </w:pPr>
          </w:p>
        </w:tc>
        <w:tc>
          <w:tcPr>
            <w:tcW w:w="62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Q2</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Arial" w:cs="Arial" w:eastAsia="Arial" w:hAnsi="Arial"/>
                <w:sz w:val="13"/>
                <w:szCs w:val="13"/>
                <w:b w:val="1"/>
                <w:bCs w:val="1"/>
                <w:color w:val="auto"/>
              </w:rPr>
              <w:t>Q1</w:t>
            </w:r>
          </w:p>
        </w:tc>
      </w:tr>
      <w:tr>
        <w:trPr>
          <w:trHeight w:val="142"/>
        </w:trPr>
        <w:tc>
          <w:tcPr>
            <w:tcW w:w="62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3"/>
                <w:szCs w:val="13"/>
                <w:color w:val="auto"/>
              </w:rPr>
              <w:t>Total Investment income</w:t>
            </w:r>
          </w:p>
        </w:tc>
        <w:tc>
          <w:tcPr>
            <w:tcW w:w="24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3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5"/>
              </w:rPr>
              <w:t>3,488</w:t>
            </w:r>
          </w:p>
        </w:tc>
        <w:tc>
          <w:tcPr>
            <w:tcW w:w="2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98"/>
              </w:rPr>
              <w:t>3,200</w:t>
            </w:r>
          </w:p>
        </w:tc>
        <w:tc>
          <w:tcPr>
            <w:tcW w:w="3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3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92"/>
              </w:rPr>
              <w:t>2,944</w:t>
            </w:r>
          </w:p>
        </w:tc>
        <w:tc>
          <w:tcPr>
            <w:tcW w:w="3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5"/>
              </w:rPr>
              <w:t>2,467</w:t>
            </w:r>
          </w:p>
        </w:tc>
        <w:tc>
          <w:tcPr>
            <w:tcW w:w="80" w:type="dxa"/>
            <w:vAlign w:val="bottom"/>
            <w:tcBorders>
              <w:top w:val="single" w:sz="8" w:color="CCEEFF"/>
            </w:tcBorders>
            <w:shd w:val="clear" w:color="auto" w:fill="CCEEFF"/>
          </w:tcPr>
          <w:p>
            <w:pPr>
              <w:spacing w:after="0"/>
              <w:rPr>
                <w:sz w:val="12"/>
                <w:szCs w:val="12"/>
                <w:color w:val="auto"/>
              </w:rPr>
            </w:pPr>
          </w:p>
        </w:tc>
      </w:tr>
      <w:tr>
        <w:trPr>
          <w:trHeight w:val="148"/>
        </w:trPr>
        <w:tc>
          <w:tcPr>
            <w:tcW w:w="6240" w:type="dxa"/>
            <w:vAlign w:val="bottom"/>
          </w:tcPr>
          <w:p>
            <w:pPr>
              <w:spacing w:after="0"/>
              <w:rPr>
                <w:sz w:val="20"/>
                <w:szCs w:val="20"/>
                <w:color w:val="auto"/>
              </w:rPr>
            </w:pPr>
            <w:r>
              <w:rPr>
                <w:rFonts w:ascii="Arial" w:cs="Arial" w:eastAsia="Arial" w:hAnsi="Arial"/>
                <w:sz w:val="13"/>
                <w:szCs w:val="13"/>
                <w:color w:val="auto"/>
              </w:rPr>
              <w:t>Net investment income</w:t>
            </w:r>
          </w:p>
        </w:tc>
        <w:tc>
          <w:tcPr>
            <w:tcW w:w="25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w w:val="85"/>
              </w:rPr>
              <w:t>1,544</w:t>
            </w:r>
          </w:p>
        </w:tc>
        <w:tc>
          <w:tcPr>
            <w:tcW w:w="2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w w:val="98"/>
              </w:rPr>
              <w:t>1,846</w:t>
            </w:r>
          </w:p>
        </w:tc>
        <w:tc>
          <w:tcPr>
            <w:tcW w:w="3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300"/>
              <w:spacing w:after="0"/>
              <w:rPr>
                <w:sz w:val="20"/>
                <w:szCs w:val="20"/>
                <w:color w:val="auto"/>
              </w:rPr>
            </w:pPr>
            <w:r>
              <w:rPr>
                <w:rFonts w:ascii="Arial" w:cs="Arial" w:eastAsia="Arial" w:hAnsi="Arial"/>
                <w:sz w:val="13"/>
                <w:szCs w:val="13"/>
                <w:color w:val="auto"/>
                <w:w w:val="92"/>
              </w:rPr>
              <w:t>1,545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tcPr>
          <w:p>
            <w:pPr>
              <w:jc w:val="right"/>
              <w:ind w:right="80"/>
              <w:spacing w:after="0"/>
              <w:rPr>
                <w:sz w:val="20"/>
                <w:szCs w:val="20"/>
                <w:color w:val="auto"/>
              </w:rPr>
            </w:pPr>
            <w:r>
              <w:rPr>
                <w:rFonts w:ascii="Arial" w:cs="Arial" w:eastAsia="Arial" w:hAnsi="Arial"/>
                <w:sz w:val="13"/>
                <w:szCs w:val="13"/>
                <w:color w:val="auto"/>
                <w:w w:val="85"/>
              </w:rPr>
              <w:t>1,375</w:t>
            </w:r>
          </w:p>
        </w:tc>
      </w:tr>
      <w:tr>
        <w:trPr>
          <w:trHeight w:val="148"/>
        </w:trPr>
        <w:tc>
          <w:tcPr>
            <w:tcW w:w="6240" w:type="dxa"/>
            <w:vAlign w:val="bottom"/>
            <w:shd w:val="clear" w:color="auto" w:fill="CCEEFF"/>
          </w:tcPr>
          <w:p>
            <w:pPr>
              <w:spacing w:after="0"/>
              <w:rPr>
                <w:sz w:val="20"/>
                <w:szCs w:val="20"/>
                <w:color w:val="auto"/>
              </w:rPr>
            </w:pPr>
            <w:r>
              <w:rPr>
                <w:rFonts w:ascii="Arial" w:cs="Arial" w:eastAsia="Arial" w:hAnsi="Arial"/>
                <w:sz w:val="13"/>
                <w:szCs w:val="13"/>
                <w:color w:val="auto"/>
              </w:rPr>
              <w:t>Net realized and unrealized gain (loss)</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2,400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92"/>
              </w:rPr>
              <w:t>(1,459)</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w w:val="92"/>
              </w:rPr>
              <w:t>2,980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5"/>
              </w:rPr>
              <w:t>1,730</w:t>
            </w:r>
          </w:p>
        </w:tc>
      </w:tr>
      <w:tr>
        <w:trPr>
          <w:trHeight w:val="148"/>
        </w:trPr>
        <w:tc>
          <w:tcPr>
            <w:tcW w:w="6240" w:type="dxa"/>
            <w:vAlign w:val="bottom"/>
          </w:tcPr>
          <w:p>
            <w:pPr>
              <w:spacing w:after="0"/>
              <w:rPr>
                <w:sz w:val="20"/>
                <w:szCs w:val="20"/>
                <w:color w:val="auto"/>
              </w:rPr>
            </w:pPr>
            <w:r>
              <w:rPr>
                <w:rFonts w:ascii="Arial" w:cs="Arial" w:eastAsia="Arial" w:hAnsi="Arial"/>
                <w:sz w:val="13"/>
                <w:szCs w:val="13"/>
                <w:color w:val="auto"/>
              </w:rPr>
              <w:t>Net increase in net assets resulting from operations</w:t>
            </w:r>
          </w:p>
        </w:tc>
        <w:tc>
          <w:tcPr>
            <w:tcW w:w="25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w w:val="85"/>
              </w:rPr>
              <w:t>3,944</w:t>
            </w:r>
          </w:p>
        </w:tc>
        <w:tc>
          <w:tcPr>
            <w:tcW w:w="2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387</w:t>
            </w:r>
          </w:p>
        </w:tc>
        <w:tc>
          <w:tcPr>
            <w:tcW w:w="3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300"/>
              <w:spacing w:after="0"/>
              <w:rPr>
                <w:sz w:val="20"/>
                <w:szCs w:val="20"/>
                <w:color w:val="auto"/>
              </w:rPr>
            </w:pPr>
            <w:r>
              <w:rPr>
                <w:rFonts w:ascii="Arial" w:cs="Arial" w:eastAsia="Arial" w:hAnsi="Arial"/>
                <w:sz w:val="13"/>
                <w:szCs w:val="13"/>
                <w:color w:val="auto"/>
                <w:w w:val="92"/>
              </w:rPr>
              <w:t>4,525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tcPr>
          <w:p>
            <w:pPr>
              <w:jc w:val="right"/>
              <w:ind w:right="80"/>
              <w:spacing w:after="0"/>
              <w:rPr>
                <w:sz w:val="20"/>
                <w:szCs w:val="20"/>
                <w:color w:val="auto"/>
              </w:rPr>
            </w:pPr>
            <w:r>
              <w:rPr>
                <w:rFonts w:ascii="Arial" w:cs="Arial" w:eastAsia="Arial" w:hAnsi="Arial"/>
                <w:sz w:val="13"/>
                <w:szCs w:val="13"/>
                <w:color w:val="auto"/>
                <w:w w:val="85"/>
              </w:rPr>
              <w:t>3,105</w:t>
            </w:r>
          </w:p>
        </w:tc>
      </w:tr>
      <w:tr>
        <w:trPr>
          <w:trHeight w:val="148"/>
        </w:trPr>
        <w:tc>
          <w:tcPr>
            <w:tcW w:w="6240" w:type="dxa"/>
            <w:vAlign w:val="bottom"/>
            <w:shd w:val="clear" w:color="auto" w:fill="CCEEFF"/>
          </w:tcPr>
          <w:p>
            <w:pPr>
              <w:spacing w:after="0"/>
              <w:rPr>
                <w:sz w:val="20"/>
                <w:szCs w:val="20"/>
                <w:color w:val="auto"/>
              </w:rPr>
            </w:pPr>
            <w:r>
              <w:rPr>
                <w:rFonts w:ascii="Arial" w:cs="Arial" w:eastAsia="Arial" w:hAnsi="Arial"/>
                <w:sz w:val="13"/>
                <w:szCs w:val="13"/>
                <w:color w:val="auto"/>
              </w:rPr>
              <w:t>Net increase in net assets resulting from operations per common share</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0.58</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0.06</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0.66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0.45</w:t>
            </w:r>
          </w:p>
        </w:tc>
      </w:tr>
      <w:tr>
        <w:trPr>
          <w:trHeight w:val="149"/>
        </w:trPr>
        <w:tc>
          <w:tcPr>
            <w:tcW w:w="6240" w:type="dxa"/>
            <w:vAlign w:val="bottom"/>
          </w:tcPr>
          <w:p>
            <w:pPr>
              <w:spacing w:after="0"/>
              <w:rPr>
                <w:sz w:val="20"/>
                <w:szCs w:val="20"/>
                <w:color w:val="auto"/>
              </w:rPr>
            </w:pPr>
            <w:r>
              <w:rPr>
                <w:rFonts w:ascii="Arial" w:cs="Arial" w:eastAsia="Arial" w:hAnsi="Arial"/>
                <w:sz w:val="13"/>
                <w:szCs w:val="13"/>
                <w:color w:val="auto"/>
              </w:rPr>
              <w:t>Net asset value per share at the end of the quarter</w:t>
            </w:r>
          </w:p>
        </w:tc>
        <w:tc>
          <w:tcPr>
            <w:tcW w:w="25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w w:val="85"/>
              </w:rPr>
              <w:t>13.98</w:t>
            </w:r>
          </w:p>
        </w:tc>
        <w:tc>
          <w:tcPr>
            <w:tcW w:w="2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w w:val="98"/>
              </w:rPr>
              <w:t>13.94</w:t>
            </w:r>
          </w:p>
        </w:tc>
        <w:tc>
          <w:tcPr>
            <w:tcW w:w="3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300"/>
              <w:spacing w:after="0"/>
              <w:rPr>
                <w:sz w:val="20"/>
                <w:szCs w:val="20"/>
                <w:color w:val="auto"/>
              </w:rPr>
            </w:pPr>
            <w:r>
              <w:rPr>
                <w:rFonts w:ascii="Arial" w:cs="Arial" w:eastAsia="Arial" w:hAnsi="Arial"/>
                <w:sz w:val="13"/>
                <w:szCs w:val="13"/>
                <w:color w:val="auto"/>
                <w:w w:val="92"/>
              </w:rPr>
              <w:t>14.12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tcPr>
          <w:p>
            <w:pPr>
              <w:jc w:val="right"/>
              <w:ind w:right="80"/>
              <w:spacing w:after="0"/>
              <w:rPr>
                <w:sz w:val="20"/>
                <w:szCs w:val="20"/>
                <w:color w:val="auto"/>
              </w:rPr>
            </w:pPr>
            <w:r>
              <w:rPr>
                <w:rFonts w:ascii="Arial" w:cs="Arial" w:eastAsia="Arial" w:hAnsi="Arial"/>
                <w:sz w:val="13"/>
                <w:szCs w:val="13"/>
                <w:color w:val="auto"/>
                <w:w w:val="85"/>
              </w:rPr>
              <w:t>13.68</w:t>
            </w:r>
          </w:p>
        </w:tc>
      </w:tr>
      <w:tr>
        <w:trPr>
          <w:trHeight w:val="148"/>
        </w:trPr>
        <w:tc>
          <w:tcPr>
            <w:tcW w:w="6240" w:type="dxa"/>
            <w:vAlign w:val="bottom"/>
            <w:shd w:val="clear" w:color="auto" w:fill="CCEEFF"/>
          </w:tcPr>
          <w:p>
            <w:pPr>
              <w:spacing w:after="0"/>
              <w:rPr>
                <w:sz w:val="20"/>
                <w:szCs w:val="20"/>
                <w:color w:val="auto"/>
              </w:rPr>
            </w:pPr>
            <w:r>
              <w:rPr>
                <w:rFonts w:ascii="Arial" w:cs="Arial" w:eastAsia="Arial" w:hAnsi="Arial"/>
                <w:sz w:val="13"/>
                <w:szCs w:val="13"/>
                <w:color w:val="auto"/>
              </w:rPr>
              <w:t>Market value per share at the end of the quarter</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12.67</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w w:val="98"/>
              </w:rPr>
              <w:t>11.90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w w:val="92"/>
              </w:rPr>
              <w:t>11.75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5"/>
              </w:rPr>
              <w:t>10.30</w:t>
            </w: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2011</w:t>
            </w: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86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420"/>
              <w:spacing w:after="0" w:line="142" w:lineRule="exact"/>
              <w:rPr>
                <w:sz w:val="20"/>
                <w:szCs w:val="20"/>
                <w:color w:val="auto"/>
              </w:rPr>
            </w:pPr>
            <w:r>
              <w:rPr>
                <w:rFonts w:ascii="Arial" w:cs="Arial" w:eastAsia="Arial" w:hAnsi="Arial"/>
                <w:sz w:val="13"/>
                <w:szCs w:val="13"/>
                <w:b w:val="1"/>
                <w:bCs w:val="1"/>
                <w:color w:val="auto"/>
              </w:rPr>
              <w:t>Q4</w:t>
            </w:r>
          </w:p>
        </w:tc>
        <w:tc>
          <w:tcPr>
            <w:tcW w:w="80" w:type="dxa"/>
            <w:vAlign w:val="bottom"/>
          </w:tcPr>
          <w:p>
            <w:pPr>
              <w:spacing w:after="0"/>
              <w:rPr>
                <w:sz w:val="12"/>
                <w:szCs w:val="12"/>
                <w:color w:val="auto"/>
              </w:rPr>
            </w:pPr>
          </w:p>
        </w:tc>
        <w:tc>
          <w:tcPr>
            <w:tcW w:w="300" w:type="dxa"/>
            <w:vAlign w:val="bottom"/>
          </w:tcPr>
          <w:p>
            <w:pPr>
              <w:jc w:val="right"/>
              <w:ind w:right="33"/>
              <w:spacing w:after="0" w:line="142" w:lineRule="exact"/>
              <w:rPr>
                <w:sz w:val="20"/>
                <w:szCs w:val="20"/>
                <w:color w:val="auto"/>
              </w:rPr>
            </w:pPr>
            <w:r>
              <w:rPr>
                <w:rFonts w:ascii="Arial" w:cs="Arial" w:eastAsia="Arial" w:hAnsi="Arial"/>
                <w:sz w:val="13"/>
                <w:szCs w:val="13"/>
                <w:b w:val="1"/>
                <w:bCs w:val="1"/>
                <w:color w:val="auto"/>
              </w:rPr>
              <w:t>Q3</w:t>
            </w:r>
          </w:p>
        </w:tc>
        <w:tc>
          <w:tcPr>
            <w:tcW w:w="80" w:type="dxa"/>
            <w:vAlign w:val="bottom"/>
          </w:tcPr>
          <w:p>
            <w:pPr>
              <w:spacing w:after="0"/>
              <w:rPr>
                <w:sz w:val="12"/>
                <w:szCs w:val="12"/>
                <w:color w:val="auto"/>
              </w:rPr>
            </w:pPr>
          </w:p>
        </w:tc>
      </w:tr>
      <w:tr>
        <w:trPr>
          <w:trHeight w:val="142"/>
        </w:trPr>
        <w:tc>
          <w:tcPr>
            <w:tcW w:w="86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3"/>
                <w:szCs w:val="13"/>
                <w:color w:val="auto"/>
              </w:rPr>
              <w:t>Total Investment income</w:t>
            </w:r>
          </w:p>
        </w:tc>
        <w:tc>
          <w:tcPr>
            <w:tcW w:w="13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98"/>
              </w:rPr>
              <w:t>2,048</w:t>
            </w:r>
          </w:p>
        </w:tc>
        <w:tc>
          <w:tcPr>
            <w:tcW w:w="3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899</w:t>
            </w:r>
          </w:p>
        </w:tc>
        <w:tc>
          <w:tcPr>
            <w:tcW w:w="80" w:type="dxa"/>
            <w:vAlign w:val="bottom"/>
            <w:tcBorders>
              <w:top w:val="single" w:sz="8" w:color="CCEEFF"/>
            </w:tcBorders>
            <w:shd w:val="clear" w:color="auto" w:fill="CCEEFF"/>
          </w:tcPr>
          <w:p>
            <w:pPr>
              <w:spacing w:after="0"/>
              <w:rPr>
                <w:sz w:val="12"/>
                <w:szCs w:val="12"/>
                <w:color w:val="auto"/>
              </w:rPr>
            </w:pPr>
          </w:p>
        </w:tc>
      </w:tr>
      <w:tr>
        <w:trPr>
          <w:trHeight w:val="148"/>
        </w:trPr>
        <w:tc>
          <w:tcPr>
            <w:tcW w:w="8680" w:type="dxa"/>
            <w:vAlign w:val="bottom"/>
          </w:tcPr>
          <w:p>
            <w:pPr>
              <w:spacing w:after="0"/>
              <w:rPr>
                <w:sz w:val="20"/>
                <w:szCs w:val="20"/>
                <w:color w:val="auto"/>
              </w:rPr>
            </w:pPr>
            <w:r>
              <w:rPr>
                <w:rFonts w:ascii="Arial" w:cs="Arial" w:eastAsia="Arial" w:hAnsi="Arial"/>
                <w:sz w:val="13"/>
                <w:szCs w:val="13"/>
                <w:color w:val="auto"/>
              </w:rPr>
              <w:t>Net investment income (loss)</w:t>
            </w:r>
          </w:p>
        </w:tc>
        <w:tc>
          <w:tcPr>
            <w:tcW w:w="14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300"/>
              <w:spacing w:after="0"/>
              <w:rPr>
                <w:sz w:val="20"/>
                <w:szCs w:val="20"/>
                <w:color w:val="auto"/>
              </w:rPr>
            </w:pPr>
            <w:r>
              <w:rPr>
                <w:rFonts w:ascii="Arial" w:cs="Arial" w:eastAsia="Arial" w:hAnsi="Arial"/>
                <w:sz w:val="13"/>
                <w:szCs w:val="13"/>
                <w:color w:val="auto"/>
                <w:w w:val="98"/>
              </w:rPr>
              <w:t>1,203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tcPr>
          <w:p>
            <w:pPr>
              <w:jc w:val="right"/>
              <w:ind w:right="40"/>
              <w:spacing w:after="0"/>
              <w:rPr>
                <w:sz w:val="20"/>
                <w:szCs w:val="20"/>
                <w:color w:val="auto"/>
              </w:rPr>
            </w:pPr>
            <w:r>
              <w:rPr>
                <w:rFonts w:ascii="Arial" w:cs="Arial" w:eastAsia="Arial" w:hAnsi="Arial"/>
                <w:sz w:val="13"/>
                <w:szCs w:val="13"/>
                <w:color w:val="auto"/>
              </w:rPr>
              <w:t>(883)</w:t>
            </w:r>
          </w:p>
        </w:tc>
      </w:tr>
      <w:tr>
        <w:trPr>
          <w:trHeight w:val="148"/>
        </w:trPr>
        <w:tc>
          <w:tcPr>
            <w:tcW w:w="8680" w:type="dxa"/>
            <w:vAlign w:val="bottom"/>
            <w:shd w:val="clear" w:color="auto" w:fill="CCEEFF"/>
          </w:tcPr>
          <w:p>
            <w:pPr>
              <w:spacing w:after="0"/>
              <w:rPr>
                <w:sz w:val="20"/>
                <w:szCs w:val="20"/>
                <w:color w:val="auto"/>
              </w:rPr>
            </w:pPr>
            <w:r>
              <w:rPr>
                <w:rFonts w:ascii="Arial" w:cs="Arial" w:eastAsia="Arial" w:hAnsi="Arial"/>
                <w:sz w:val="13"/>
                <w:szCs w:val="13"/>
                <w:color w:val="auto"/>
              </w:rPr>
              <w:t>Net realized and unrealized (loss) gain</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w w:val="87"/>
              </w:rPr>
              <w:t>(4,012)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219</w:t>
            </w:r>
          </w:p>
        </w:tc>
      </w:tr>
      <w:tr>
        <w:trPr>
          <w:trHeight w:val="148"/>
        </w:trPr>
        <w:tc>
          <w:tcPr>
            <w:tcW w:w="8680" w:type="dxa"/>
            <w:vAlign w:val="bottom"/>
          </w:tcPr>
          <w:p>
            <w:pPr>
              <w:spacing w:after="0"/>
              <w:rPr>
                <w:sz w:val="20"/>
                <w:szCs w:val="20"/>
                <w:color w:val="auto"/>
              </w:rPr>
            </w:pPr>
            <w:r>
              <w:rPr>
                <w:rFonts w:ascii="Arial" w:cs="Arial" w:eastAsia="Arial" w:hAnsi="Arial"/>
                <w:sz w:val="13"/>
                <w:szCs w:val="13"/>
                <w:color w:val="auto"/>
              </w:rPr>
              <w:t>Net decrease in net assets resulting from operations</w:t>
            </w:r>
          </w:p>
        </w:tc>
        <w:tc>
          <w:tcPr>
            <w:tcW w:w="14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60"/>
              <w:spacing w:after="0"/>
              <w:rPr>
                <w:sz w:val="20"/>
                <w:szCs w:val="20"/>
                <w:color w:val="auto"/>
              </w:rPr>
            </w:pPr>
            <w:r>
              <w:rPr>
                <w:rFonts w:ascii="Arial" w:cs="Arial" w:eastAsia="Arial" w:hAnsi="Arial"/>
                <w:sz w:val="13"/>
                <w:szCs w:val="13"/>
                <w:color w:val="auto"/>
                <w:w w:val="87"/>
              </w:rPr>
              <w:t>(2,809)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tcPr>
          <w:p>
            <w:pPr>
              <w:jc w:val="right"/>
              <w:ind w:right="40"/>
              <w:spacing w:after="0"/>
              <w:rPr>
                <w:sz w:val="20"/>
                <w:szCs w:val="20"/>
                <w:color w:val="auto"/>
              </w:rPr>
            </w:pPr>
            <w:r>
              <w:rPr>
                <w:rFonts w:ascii="Arial" w:cs="Arial" w:eastAsia="Arial" w:hAnsi="Arial"/>
                <w:sz w:val="13"/>
                <w:szCs w:val="13"/>
                <w:color w:val="auto"/>
              </w:rPr>
              <w:t>(664)</w:t>
            </w:r>
          </w:p>
        </w:tc>
      </w:tr>
      <w:tr>
        <w:trPr>
          <w:trHeight w:val="149"/>
        </w:trPr>
        <w:tc>
          <w:tcPr>
            <w:tcW w:w="8680" w:type="dxa"/>
            <w:vAlign w:val="bottom"/>
            <w:shd w:val="clear" w:color="auto" w:fill="CCEEFF"/>
          </w:tcPr>
          <w:p>
            <w:pPr>
              <w:spacing w:after="0"/>
              <w:rPr>
                <w:sz w:val="20"/>
                <w:szCs w:val="20"/>
                <w:color w:val="auto"/>
              </w:rPr>
            </w:pPr>
            <w:r>
              <w:rPr>
                <w:rFonts w:ascii="Arial" w:cs="Arial" w:eastAsia="Arial" w:hAnsi="Arial"/>
                <w:sz w:val="13"/>
                <w:szCs w:val="13"/>
                <w:color w:val="auto"/>
              </w:rPr>
              <w:t>Net decrease in net assets resulting from operations per common share</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(0.51)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4"/>
              </w:rPr>
              <w:t>(0.10)</w:t>
            </w:r>
          </w:p>
        </w:tc>
      </w:tr>
      <w:tr>
        <w:trPr>
          <w:trHeight w:val="148"/>
        </w:trPr>
        <w:tc>
          <w:tcPr>
            <w:tcW w:w="8680" w:type="dxa"/>
            <w:vAlign w:val="bottom"/>
          </w:tcPr>
          <w:p>
            <w:pPr>
              <w:spacing w:after="0"/>
              <w:rPr>
                <w:sz w:val="20"/>
                <w:szCs w:val="20"/>
                <w:color w:val="auto"/>
              </w:rPr>
            </w:pPr>
            <w:r>
              <w:rPr>
                <w:rFonts w:ascii="Arial" w:cs="Arial" w:eastAsia="Arial" w:hAnsi="Arial"/>
                <w:sz w:val="13"/>
                <w:szCs w:val="13"/>
                <w:color w:val="auto"/>
              </w:rPr>
              <w:t>Net asset value per share at the end of the quarter</w:t>
            </w:r>
          </w:p>
        </w:tc>
        <w:tc>
          <w:tcPr>
            <w:tcW w:w="14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300"/>
              <w:spacing w:after="0"/>
              <w:rPr>
                <w:sz w:val="20"/>
                <w:szCs w:val="20"/>
                <w:color w:val="auto"/>
              </w:rPr>
            </w:pPr>
            <w:r>
              <w:rPr>
                <w:rFonts w:ascii="Arial" w:cs="Arial" w:eastAsia="Arial" w:hAnsi="Arial"/>
                <w:sz w:val="13"/>
                <w:szCs w:val="13"/>
                <w:color w:val="auto"/>
                <w:w w:val="98"/>
              </w:rPr>
              <w:t>13.44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tcPr>
          <w:p>
            <w:pPr>
              <w:jc w:val="right"/>
              <w:ind w:right="80"/>
              <w:spacing w:after="0"/>
              <w:rPr>
                <w:sz w:val="20"/>
                <w:szCs w:val="20"/>
                <w:color w:val="auto"/>
              </w:rPr>
            </w:pPr>
            <w:r>
              <w:rPr>
                <w:rFonts w:ascii="Arial" w:cs="Arial" w:eastAsia="Arial" w:hAnsi="Arial"/>
                <w:sz w:val="13"/>
                <w:szCs w:val="13"/>
                <w:color w:val="auto"/>
                <w:w w:val="85"/>
              </w:rPr>
              <w:t>14.06</w:t>
            </w:r>
          </w:p>
        </w:tc>
      </w:tr>
      <w:tr>
        <w:trPr>
          <w:trHeight w:val="148"/>
        </w:trPr>
        <w:tc>
          <w:tcPr>
            <w:tcW w:w="8680" w:type="dxa"/>
            <w:vAlign w:val="bottom"/>
            <w:shd w:val="clear" w:color="auto" w:fill="CCEEFF"/>
          </w:tcPr>
          <w:p>
            <w:pPr>
              <w:spacing w:after="0"/>
              <w:rPr>
                <w:sz w:val="20"/>
                <w:szCs w:val="20"/>
                <w:color w:val="auto"/>
              </w:rPr>
            </w:pPr>
            <w:r>
              <w:rPr>
                <w:rFonts w:ascii="Arial" w:cs="Arial" w:eastAsia="Arial" w:hAnsi="Arial"/>
                <w:sz w:val="13"/>
                <w:szCs w:val="13"/>
                <w:color w:val="auto"/>
              </w:rPr>
              <w:t>Market value per share at the end of the quarter</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w w:val="98"/>
              </w:rPr>
              <w:t>10.55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5"/>
              </w:rPr>
              <w:t>12.69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12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color w:val="auto"/>
        </w:rPr>
        <w:t>From March 4, 2011 (commencement of operations) through March 31, 2011, there was only a seed capital investment.</w:t>
      </w:r>
    </w:p>
    <w:p>
      <w:pPr>
        <w:spacing w:after="0" w:line="14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77</w:t>
      </w:r>
    </w:p>
    <w:p>
      <w:pPr>
        <w:sectPr>
          <w:pgSz w:w="11900" w:h="16838" w:orient="portrait"/>
          <w:cols w:equalWidth="0" w:num="1">
            <w:col w:w="11240"/>
          </w:cols>
          <w:pgMar w:left="320" w:top="459" w:right="3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9. Changes in and Disagreements with Accountants on Accounting and Financial Disclosure</w:t>
      </w:r>
    </w:p>
    <w:p>
      <w:pPr>
        <w:spacing w:after="0" w:line="8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None</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9A. Controls and Procedures</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 Evaluation of Disclosure Controls and Procedures</w:t>
      </w:r>
    </w:p>
    <w:p>
      <w:pPr>
        <w:spacing w:after="0" w:line="80" w:lineRule="exact"/>
        <w:rPr>
          <w:sz w:val="20"/>
          <w:szCs w:val="20"/>
          <w:color w:val="auto"/>
        </w:rPr>
      </w:pPr>
    </w:p>
    <w:p>
      <w:pPr>
        <w:ind w:right="60" w:firstLine="562"/>
        <w:spacing w:after="0" w:line="244" w:lineRule="auto"/>
        <w:rPr>
          <w:sz w:val="20"/>
          <w:szCs w:val="20"/>
          <w:color w:val="auto"/>
        </w:rPr>
      </w:pPr>
      <w:r>
        <w:rPr>
          <w:rFonts w:ascii="Arial" w:cs="Arial" w:eastAsia="Arial" w:hAnsi="Arial"/>
          <w:sz w:val="13"/>
          <w:szCs w:val="13"/>
          <w:color w:val="auto"/>
        </w:rPr>
        <w:t>As of September 30, 2012, we, including our Chief Executive Officer and Chief Financial Officer, evaluated the effectiveness of the design and operation of our disclosure controls and procedures (as defined in Rule 13a-15(e) of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 Management’s Report on Internal Control Over Financial Reporting</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color w:val="auto"/>
        </w:rPr>
        <w:t>Management’s Report on Internal Control Over Financial Reporting, which appears on page 53 of this Report, is incorporated by reference herein.</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 Changes in Internal Controls Over Financial Reporting.</w:t>
      </w:r>
    </w:p>
    <w:p>
      <w:pPr>
        <w:spacing w:after="0" w:line="80" w:lineRule="exact"/>
        <w:rPr>
          <w:sz w:val="20"/>
          <w:szCs w:val="20"/>
          <w:color w:val="auto"/>
        </w:rPr>
      </w:pPr>
    </w:p>
    <w:p>
      <w:pPr>
        <w:ind w:firstLine="562"/>
        <w:spacing w:after="0" w:line="274" w:lineRule="auto"/>
        <w:rPr>
          <w:sz w:val="20"/>
          <w:szCs w:val="20"/>
          <w:color w:val="auto"/>
        </w:rPr>
      </w:pPr>
      <w:r>
        <w:rPr>
          <w:rFonts w:ascii="Arial" w:cs="Arial" w:eastAsia="Arial" w:hAnsi="Arial"/>
          <w:sz w:val="13"/>
          <w:szCs w:val="13"/>
          <w:color w:val="auto"/>
        </w:rPr>
        <w:t>There have been no changes in our internal control over financial reporting (as defined in Rules 13a-15(f) and 15d-15(f) of the Exchange Act) during our most recently completed fiscal quarter, that have materially affected, or are reasonably likely to materially affect, our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9B. Other Information</w:t>
      </w:r>
    </w:p>
    <w:p>
      <w:pPr>
        <w:spacing w:after="0" w:line="8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None</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78</w:t>
      </w:r>
    </w:p>
    <w:p>
      <w:pPr>
        <w:sectPr>
          <w:pgSz w:w="11900" w:h="16838" w:orient="portrait"/>
          <w:cols w:equalWidth="0" w:num="1">
            <w:col w:w="11200"/>
          </w:cols>
          <w:pgMar w:left="320" w:top="459" w:right="3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39"/>
        <w:spacing w:after="0"/>
        <w:rPr>
          <w:sz w:val="20"/>
          <w:szCs w:val="20"/>
          <w:color w:val="auto"/>
        </w:rPr>
      </w:pPr>
      <w:r>
        <w:rPr>
          <w:rFonts w:ascii="Arial" w:cs="Arial" w:eastAsia="Arial" w:hAnsi="Arial"/>
          <w:sz w:val="13"/>
          <w:szCs w:val="13"/>
          <w:b w:val="1"/>
          <w:bCs w:val="1"/>
          <w:color w:val="auto"/>
        </w:rPr>
        <w:t>PART III</w:t>
      </w:r>
    </w:p>
    <w:p>
      <w:pPr>
        <w:spacing w:after="0" w:line="136" w:lineRule="exact"/>
        <w:rPr>
          <w:sz w:val="20"/>
          <w:szCs w:val="20"/>
          <w:color w:val="auto"/>
        </w:rPr>
      </w:pPr>
    </w:p>
    <w:p>
      <w:pPr>
        <w:ind w:firstLine="562"/>
        <w:spacing w:after="0" w:line="256" w:lineRule="auto"/>
        <w:rPr>
          <w:sz w:val="20"/>
          <w:szCs w:val="20"/>
          <w:color w:val="auto"/>
        </w:rPr>
      </w:pPr>
      <w:r>
        <w:rPr>
          <w:rFonts w:ascii="Arial" w:cs="Arial" w:eastAsia="Arial" w:hAnsi="Arial"/>
          <w:sz w:val="13"/>
          <w:szCs w:val="13"/>
          <w:color w:val="auto"/>
        </w:rPr>
        <w:t>We will file a definitive Proxy Statement for our 2013 Annual Meeting of Stockholders with the SEC, pursuant to Regulation 14A, not later than 120 days after the end of our fiscal year. Accordingly, certain information required by Part III has been omitted under General Instruction G(3) to Form 10-K. Only those sections of our definitive Proxy Statement that specifically address the items set forth herein are incorporated by reference.</w:t>
      </w:r>
    </w:p>
    <w:p>
      <w:pPr>
        <w:spacing w:after="0" w:line="181" w:lineRule="exact"/>
        <w:rPr>
          <w:sz w:val="20"/>
          <w:szCs w:val="20"/>
          <w:color w:val="auto"/>
        </w:rPr>
      </w:pPr>
    </w:p>
    <w:p>
      <w:pPr>
        <w:spacing w:after="0"/>
        <w:tabs>
          <w:tab w:leader="none" w:pos="1100" w:val="left"/>
        </w:tabs>
        <w:rPr>
          <w:sz w:val="20"/>
          <w:szCs w:val="20"/>
          <w:color w:val="auto"/>
        </w:rPr>
      </w:pPr>
      <w:r>
        <w:rPr>
          <w:rFonts w:ascii="Arial" w:cs="Arial" w:eastAsia="Arial" w:hAnsi="Arial"/>
          <w:sz w:val="13"/>
          <w:szCs w:val="13"/>
          <w:b w:val="1"/>
          <w:bCs w:val="1"/>
          <w:color w:val="auto"/>
        </w:rPr>
        <w:t>Item 10.</w:t>
      </w:r>
      <w:r>
        <w:rPr>
          <w:sz w:val="20"/>
          <w:szCs w:val="20"/>
          <w:color w:val="auto"/>
        </w:rPr>
        <w:tab/>
      </w:r>
      <w:r>
        <w:rPr>
          <w:rFonts w:ascii="Arial" w:cs="Arial" w:eastAsia="Arial" w:hAnsi="Arial"/>
          <w:sz w:val="12"/>
          <w:szCs w:val="12"/>
          <w:b w:val="1"/>
          <w:bCs w:val="1"/>
          <w:color w:val="auto"/>
        </w:rPr>
        <w:t>Directors, Executive Officers and Corporate Governance</w:t>
      </w:r>
    </w:p>
    <w:p>
      <w:pPr>
        <w:spacing w:after="0" w:line="82" w:lineRule="exact"/>
        <w:rPr>
          <w:sz w:val="20"/>
          <w:szCs w:val="20"/>
          <w:color w:val="auto"/>
        </w:rPr>
      </w:pPr>
    </w:p>
    <w:p>
      <w:pPr>
        <w:ind w:right="60" w:firstLine="562"/>
        <w:spacing w:after="0" w:line="274" w:lineRule="auto"/>
        <w:rPr>
          <w:sz w:val="20"/>
          <w:szCs w:val="20"/>
          <w:color w:val="auto"/>
        </w:rPr>
      </w:pPr>
      <w:r>
        <w:rPr>
          <w:rFonts w:ascii="Arial" w:cs="Arial" w:eastAsia="Arial" w:hAnsi="Arial"/>
          <w:sz w:val="13"/>
          <w:szCs w:val="13"/>
          <w:color w:val="auto"/>
        </w:rPr>
        <w:t>The information required by Item 10 is hereby incorporated by reference from our definitive Proxy Statement relating to our 2013 Annual Meeting of Stockholders, to be filed with the Securities and Exchange Commission within 120 days following the end of our fiscal year.</w:t>
      </w:r>
    </w:p>
    <w:p>
      <w:pPr>
        <w:spacing w:after="0" w:line="170" w:lineRule="exact"/>
        <w:rPr>
          <w:sz w:val="20"/>
          <w:szCs w:val="20"/>
          <w:color w:val="auto"/>
        </w:rPr>
      </w:pPr>
    </w:p>
    <w:p>
      <w:pPr>
        <w:spacing w:after="0"/>
        <w:tabs>
          <w:tab w:leader="none" w:pos="1100" w:val="left"/>
        </w:tabs>
        <w:rPr>
          <w:sz w:val="20"/>
          <w:szCs w:val="20"/>
          <w:color w:val="auto"/>
        </w:rPr>
      </w:pPr>
      <w:r>
        <w:rPr>
          <w:rFonts w:ascii="Arial" w:cs="Arial" w:eastAsia="Arial" w:hAnsi="Arial"/>
          <w:sz w:val="13"/>
          <w:szCs w:val="13"/>
          <w:b w:val="1"/>
          <w:bCs w:val="1"/>
          <w:color w:val="auto"/>
        </w:rPr>
        <w:t>Item 11.</w:t>
      </w:r>
      <w:r>
        <w:rPr>
          <w:sz w:val="20"/>
          <w:szCs w:val="20"/>
          <w:color w:val="auto"/>
        </w:rPr>
        <w:tab/>
      </w:r>
      <w:r>
        <w:rPr>
          <w:rFonts w:ascii="Arial" w:cs="Arial" w:eastAsia="Arial" w:hAnsi="Arial"/>
          <w:sz w:val="12"/>
          <w:szCs w:val="12"/>
          <w:b w:val="1"/>
          <w:bCs w:val="1"/>
          <w:color w:val="auto"/>
        </w:rPr>
        <w:t>Executive Compensation</w:t>
      </w:r>
    </w:p>
    <w:p>
      <w:pPr>
        <w:spacing w:after="0" w:line="82" w:lineRule="exact"/>
        <w:rPr>
          <w:sz w:val="20"/>
          <w:szCs w:val="20"/>
          <w:color w:val="auto"/>
        </w:rPr>
      </w:pPr>
    </w:p>
    <w:p>
      <w:pPr>
        <w:ind w:right="60" w:firstLine="562"/>
        <w:spacing w:after="0" w:line="274" w:lineRule="auto"/>
        <w:rPr>
          <w:sz w:val="20"/>
          <w:szCs w:val="20"/>
          <w:color w:val="auto"/>
        </w:rPr>
      </w:pPr>
      <w:r>
        <w:rPr>
          <w:rFonts w:ascii="Arial" w:cs="Arial" w:eastAsia="Arial" w:hAnsi="Arial"/>
          <w:sz w:val="13"/>
          <w:szCs w:val="13"/>
          <w:color w:val="auto"/>
        </w:rPr>
        <w:t>The information required by Item 11 is hereby incorporated by reference from our definitive Proxy Statement relating to our 2013 Annual Meeting of Stockholders, to be filed with the Securities and Exchange Commission within 120 days following the end of our fiscal year.</w:t>
      </w:r>
    </w:p>
    <w:p>
      <w:pPr>
        <w:spacing w:after="0" w:line="170" w:lineRule="exact"/>
        <w:rPr>
          <w:sz w:val="20"/>
          <w:szCs w:val="20"/>
          <w:color w:val="auto"/>
        </w:rPr>
      </w:pPr>
    </w:p>
    <w:p>
      <w:pPr>
        <w:spacing w:after="0"/>
        <w:tabs>
          <w:tab w:leader="none" w:pos="1100" w:val="left"/>
        </w:tabs>
        <w:rPr>
          <w:sz w:val="20"/>
          <w:szCs w:val="20"/>
          <w:color w:val="auto"/>
        </w:rPr>
      </w:pPr>
      <w:r>
        <w:rPr>
          <w:rFonts w:ascii="Arial" w:cs="Arial" w:eastAsia="Arial" w:hAnsi="Arial"/>
          <w:sz w:val="13"/>
          <w:szCs w:val="13"/>
          <w:b w:val="1"/>
          <w:bCs w:val="1"/>
          <w:color w:val="auto"/>
        </w:rPr>
        <w:t>Item 12.</w:t>
      </w:r>
      <w:r>
        <w:rPr>
          <w:sz w:val="20"/>
          <w:szCs w:val="20"/>
          <w:color w:val="auto"/>
        </w:rPr>
        <w:tab/>
      </w:r>
      <w:r>
        <w:rPr>
          <w:rFonts w:ascii="Arial" w:cs="Arial" w:eastAsia="Arial" w:hAnsi="Arial"/>
          <w:sz w:val="12"/>
          <w:szCs w:val="12"/>
          <w:b w:val="1"/>
          <w:bCs w:val="1"/>
          <w:color w:val="auto"/>
        </w:rPr>
        <w:t>Security Ownership of Certain Beneficial Owners and Management and Related Stockholder Matters</w:t>
      </w:r>
    </w:p>
    <w:p>
      <w:pPr>
        <w:spacing w:after="0" w:line="82" w:lineRule="exact"/>
        <w:rPr>
          <w:sz w:val="20"/>
          <w:szCs w:val="20"/>
          <w:color w:val="auto"/>
        </w:rPr>
      </w:pPr>
    </w:p>
    <w:p>
      <w:pPr>
        <w:ind w:right="60" w:firstLine="562"/>
        <w:spacing w:after="0" w:line="274" w:lineRule="auto"/>
        <w:rPr>
          <w:sz w:val="20"/>
          <w:szCs w:val="20"/>
          <w:color w:val="auto"/>
        </w:rPr>
      </w:pPr>
      <w:r>
        <w:rPr>
          <w:rFonts w:ascii="Arial" w:cs="Arial" w:eastAsia="Arial" w:hAnsi="Arial"/>
          <w:sz w:val="13"/>
          <w:szCs w:val="13"/>
          <w:color w:val="auto"/>
        </w:rPr>
        <w:t>The information required by Item 12 is hereby incorporated by reference from our definitive Proxy Statement relating to our 2013 Annual Meeting of Stockholders, to be filed with the Securities and Exchange Commission within 120 days following the end of our fiscal year.</w:t>
      </w:r>
    </w:p>
    <w:p>
      <w:pPr>
        <w:spacing w:after="0" w:line="170" w:lineRule="exact"/>
        <w:rPr>
          <w:sz w:val="20"/>
          <w:szCs w:val="20"/>
          <w:color w:val="auto"/>
        </w:rPr>
      </w:pPr>
    </w:p>
    <w:p>
      <w:pPr>
        <w:spacing w:after="0"/>
        <w:tabs>
          <w:tab w:leader="none" w:pos="110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2"/>
          <w:szCs w:val="12"/>
          <w:b w:val="1"/>
          <w:bCs w:val="1"/>
          <w:color w:val="auto"/>
        </w:rPr>
        <w:t>Certain Relationships and Related Transactions, and Director Independence</w:t>
      </w:r>
    </w:p>
    <w:p>
      <w:pPr>
        <w:spacing w:after="0" w:line="82" w:lineRule="exact"/>
        <w:rPr>
          <w:sz w:val="20"/>
          <w:szCs w:val="20"/>
          <w:color w:val="auto"/>
        </w:rPr>
      </w:pPr>
    </w:p>
    <w:p>
      <w:pPr>
        <w:ind w:right="60" w:firstLine="562"/>
        <w:spacing w:after="0" w:line="274" w:lineRule="auto"/>
        <w:rPr>
          <w:sz w:val="20"/>
          <w:szCs w:val="20"/>
          <w:color w:val="auto"/>
        </w:rPr>
      </w:pPr>
      <w:r>
        <w:rPr>
          <w:rFonts w:ascii="Arial" w:cs="Arial" w:eastAsia="Arial" w:hAnsi="Arial"/>
          <w:sz w:val="13"/>
          <w:szCs w:val="13"/>
          <w:color w:val="auto"/>
        </w:rPr>
        <w:t>The information required by Item 13 is hereby incorporated by reference from our definitive Proxy Statement relating to our 2013 Annual Meeting of Stockholders, to be filed with the Securities and Exchange Commission within 120 days following the end of our fiscal year.</w:t>
      </w:r>
    </w:p>
    <w:p>
      <w:pPr>
        <w:spacing w:after="0" w:line="170" w:lineRule="exact"/>
        <w:rPr>
          <w:sz w:val="20"/>
          <w:szCs w:val="20"/>
          <w:color w:val="auto"/>
        </w:rPr>
      </w:pPr>
    </w:p>
    <w:p>
      <w:pPr>
        <w:spacing w:after="0"/>
        <w:tabs>
          <w:tab w:leader="none" w:pos="110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1"/>
          <w:szCs w:val="11"/>
          <w:b w:val="1"/>
          <w:bCs w:val="1"/>
          <w:color w:val="auto"/>
        </w:rPr>
        <w:t>Principal Accountant Fees and Services</w:t>
      </w:r>
    </w:p>
    <w:p>
      <w:pPr>
        <w:spacing w:after="0" w:line="82" w:lineRule="exact"/>
        <w:rPr>
          <w:sz w:val="20"/>
          <w:szCs w:val="20"/>
          <w:color w:val="auto"/>
        </w:rPr>
      </w:pPr>
    </w:p>
    <w:p>
      <w:pPr>
        <w:ind w:right="60" w:firstLine="562"/>
        <w:spacing w:after="0" w:line="274" w:lineRule="auto"/>
        <w:rPr>
          <w:sz w:val="20"/>
          <w:szCs w:val="20"/>
          <w:color w:val="auto"/>
        </w:rPr>
      </w:pPr>
      <w:r>
        <w:rPr>
          <w:rFonts w:ascii="Arial" w:cs="Arial" w:eastAsia="Arial" w:hAnsi="Arial"/>
          <w:sz w:val="13"/>
          <w:szCs w:val="13"/>
          <w:color w:val="auto"/>
        </w:rPr>
        <w:t>The information required by Item 14 is hereby incorporated by reference from our definitive Proxy Statement relating to our 2013 Annual Meeting of Stockholders, to be filed with the Securities and Exchange Commission within 120 days following the end of our fiscal year.</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79</w:t>
      </w:r>
    </w:p>
    <w:p>
      <w:pPr>
        <w:sectPr>
          <w:pgSz w:w="11900" w:h="16838" w:orient="portrait"/>
          <w:cols w:equalWidth="0" w:num="1">
            <w:col w:w="11100"/>
          </w:cols>
          <w:pgMar w:left="320" w:top="459" w:right="4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PART IV</w:t>
      </w:r>
    </w:p>
    <w:p>
      <w:pPr>
        <w:spacing w:after="0" w:line="215" w:lineRule="exact"/>
        <w:rPr>
          <w:sz w:val="20"/>
          <w:szCs w:val="20"/>
          <w:color w:val="auto"/>
        </w:rPr>
      </w:pPr>
    </w:p>
    <w:p>
      <w:pPr>
        <w:spacing w:after="0"/>
        <w:tabs>
          <w:tab w:leader="none" w:pos="110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2"/>
          <w:szCs w:val="12"/>
          <w:b w:val="1"/>
          <w:bCs w:val="1"/>
          <w:color w:val="auto"/>
        </w:rPr>
        <w:t>Exhibits and Financial Statement Schedules</w:t>
      </w:r>
    </w:p>
    <w:p>
      <w:pPr>
        <w:spacing w:after="0" w:line="8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following documents are filed as part of this Annual Report:</w:t>
      </w:r>
    </w:p>
    <w:p>
      <w:pPr>
        <w:spacing w:after="0" w:line="80" w:lineRule="exact"/>
        <w:rPr>
          <w:sz w:val="20"/>
          <w:szCs w:val="20"/>
          <w:color w:val="auto"/>
        </w:rPr>
      </w:pPr>
    </w:p>
    <w:p>
      <w:pPr>
        <w:ind w:left="1000" w:hanging="547"/>
        <w:spacing w:after="0"/>
        <w:tabs>
          <w:tab w:leader="none" w:pos="1000" w:val="left"/>
        </w:tabs>
        <w:numPr>
          <w:ilvl w:val="0"/>
          <w:numId w:val="45"/>
        </w:numPr>
        <w:rPr>
          <w:rFonts w:ascii="Arial" w:cs="Arial" w:eastAsia="Arial" w:hAnsi="Arial"/>
          <w:sz w:val="13"/>
          <w:szCs w:val="13"/>
          <w:color w:val="auto"/>
        </w:rPr>
      </w:pPr>
      <w:r>
        <w:rPr>
          <w:rFonts w:ascii="Arial" w:cs="Arial" w:eastAsia="Arial" w:hAnsi="Arial"/>
          <w:sz w:val="13"/>
          <w:szCs w:val="13"/>
          <w:color w:val="auto"/>
        </w:rPr>
        <w:t>Index to Financial Statements — Refer to Item 8 starting on page 52.</w:t>
      </w:r>
    </w:p>
    <w:p>
      <w:pPr>
        <w:spacing w:after="0" w:line="80" w:lineRule="exact"/>
        <w:rPr>
          <w:rFonts w:ascii="Arial" w:cs="Arial" w:eastAsia="Arial" w:hAnsi="Arial"/>
          <w:sz w:val="13"/>
          <w:szCs w:val="13"/>
          <w:color w:val="auto"/>
        </w:rPr>
      </w:pPr>
    </w:p>
    <w:p>
      <w:pPr>
        <w:ind w:left="1000" w:hanging="547"/>
        <w:spacing w:after="0"/>
        <w:tabs>
          <w:tab w:leader="none" w:pos="1000" w:val="left"/>
        </w:tabs>
        <w:numPr>
          <w:ilvl w:val="0"/>
          <w:numId w:val="45"/>
        </w:numPr>
        <w:rPr>
          <w:rFonts w:ascii="Arial" w:cs="Arial" w:eastAsia="Arial" w:hAnsi="Arial"/>
          <w:sz w:val="13"/>
          <w:szCs w:val="13"/>
          <w:color w:val="auto"/>
        </w:rPr>
      </w:pPr>
      <w:r>
        <w:rPr>
          <w:rFonts w:ascii="Arial" w:cs="Arial" w:eastAsia="Arial" w:hAnsi="Arial"/>
          <w:sz w:val="13"/>
          <w:szCs w:val="13"/>
          <w:color w:val="auto"/>
        </w:rPr>
        <w:t>Financial Statement Schedules—None.</w:t>
      </w:r>
    </w:p>
    <w:p>
      <w:pPr>
        <w:spacing w:after="0" w:line="80" w:lineRule="exact"/>
        <w:rPr>
          <w:rFonts w:ascii="Arial" w:cs="Arial" w:eastAsia="Arial" w:hAnsi="Arial"/>
          <w:sz w:val="13"/>
          <w:szCs w:val="13"/>
          <w:color w:val="auto"/>
        </w:rPr>
      </w:pPr>
    </w:p>
    <w:p>
      <w:pPr>
        <w:ind w:left="1000" w:hanging="547"/>
        <w:spacing w:after="0"/>
        <w:tabs>
          <w:tab w:leader="none" w:pos="1000" w:val="left"/>
        </w:tabs>
        <w:numPr>
          <w:ilvl w:val="0"/>
          <w:numId w:val="45"/>
        </w:numPr>
        <w:rPr>
          <w:rFonts w:ascii="Arial" w:cs="Arial" w:eastAsia="Arial" w:hAnsi="Arial"/>
          <w:sz w:val="13"/>
          <w:szCs w:val="13"/>
          <w:color w:val="auto"/>
        </w:rPr>
      </w:pPr>
      <w:r>
        <w:rPr>
          <w:rFonts w:ascii="Arial" w:cs="Arial" w:eastAsia="Arial" w:hAnsi="Arial"/>
          <w:sz w:val="13"/>
          <w:szCs w:val="13"/>
          <w:color w:val="auto"/>
        </w:rPr>
        <w:t>Exhibits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20" w:type="dxa"/>
            <w:vAlign w:val="bottom"/>
          </w:tcPr>
          <w:p>
            <w:pPr>
              <w:jc w:val="right"/>
              <w:ind w:right="413"/>
              <w:spacing w:after="0"/>
              <w:rPr>
                <w:sz w:val="20"/>
                <w:szCs w:val="20"/>
                <w:color w:val="auto"/>
              </w:rPr>
            </w:pPr>
            <w:r>
              <w:rPr>
                <w:rFonts w:ascii="Arial" w:cs="Arial" w:eastAsia="Arial" w:hAnsi="Arial"/>
                <w:sz w:val="13"/>
                <w:szCs w:val="13"/>
                <w:color w:val="auto"/>
              </w:rPr>
              <w:t>3.1</w:t>
            </w:r>
          </w:p>
        </w:tc>
        <w:tc>
          <w:tcPr>
            <w:tcW w:w="10480" w:type="dxa"/>
            <w:vAlign w:val="bottom"/>
          </w:tcPr>
          <w:p>
            <w:pPr>
              <w:ind w:left="420"/>
              <w:spacing w:after="0"/>
              <w:rPr>
                <w:sz w:val="20"/>
                <w:szCs w:val="20"/>
                <w:color w:val="auto"/>
              </w:rPr>
            </w:pPr>
            <w:r>
              <w:rPr>
                <w:rFonts w:ascii="Arial" w:cs="Arial" w:eastAsia="Arial" w:hAnsi="Arial"/>
                <w:sz w:val="13"/>
                <w:szCs w:val="13"/>
                <w:color w:val="auto"/>
                <w:w w:val="94"/>
              </w:rPr>
              <w:t>Articles of Amendment and Restatement of the Registrant (Incorporated by reference to the Registrant’s Pre-Effective Amendment No. 3 to the Registration Statement on Form N-2 (File</w:t>
            </w:r>
          </w:p>
        </w:tc>
      </w:tr>
      <w:tr>
        <w:trPr>
          <w:trHeight w:val="172"/>
        </w:trPr>
        <w:tc>
          <w:tcPr>
            <w:tcW w:w="720" w:type="dxa"/>
            <w:vAlign w:val="bottom"/>
          </w:tcPr>
          <w:p>
            <w:pPr>
              <w:spacing w:after="0"/>
              <w:rPr>
                <w:sz w:val="14"/>
                <w:szCs w:val="14"/>
                <w:color w:val="auto"/>
              </w:rPr>
            </w:pPr>
          </w:p>
        </w:tc>
        <w:tc>
          <w:tcPr>
            <w:tcW w:w="10480" w:type="dxa"/>
            <w:vAlign w:val="bottom"/>
          </w:tcPr>
          <w:p>
            <w:pPr>
              <w:ind w:left="420"/>
              <w:spacing w:after="0"/>
              <w:rPr>
                <w:sz w:val="20"/>
                <w:szCs w:val="20"/>
                <w:color w:val="auto"/>
              </w:rPr>
            </w:pPr>
            <w:r>
              <w:rPr>
                <w:rFonts w:ascii="Arial" w:cs="Arial" w:eastAsia="Arial" w:hAnsi="Arial"/>
                <w:sz w:val="13"/>
                <w:szCs w:val="13"/>
                <w:color w:val="auto"/>
              </w:rPr>
              <w:t>No. 333-170243), filed on March 29, 2011).</w:t>
            </w:r>
          </w:p>
        </w:tc>
      </w:tr>
      <w:tr>
        <w:trPr>
          <w:trHeight w:val="233"/>
        </w:trPr>
        <w:tc>
          <w:tcPr>
            <w:tcW w:w="720" w:type="dxa"/>
            <w:vAlign w:val="bottom"/>
          </w:tcPr>
          <w:p>
            <w:pPr>
              <w:jc w:val="right"/>
              <w:ind w:right="413"/>
              <w:spacing w:after="0"/>
              <w:rPr>
                <w:sz w:val="20"/>
                <w:szCs w:val="20"/>
                <w:color w:val="auto"/>
              </w:rPr>
            </w:pPr>
            <w:r>
              <w:rPr>
                <w:rFonts w:ascii="Arial" w:cs="Arial" w:eastAsia="Arial" w:hAnsi="Arial"/>
                <w:sz w:val="13"/>
                <w:szCs w:val="13"/>
                <w:color w:val="auto"/>
              </w:rPr>
              <w:t>3.2</w:t>
            </w:r>
          </w:p>
        </w:tc>
        <w:tc>
          <w:tcPr>
            <w:tcW w:w="10480" w:type="dxa"/>
            <w:vAlign w:val="bottom"/>
          </w:tcPr>
          <w:p>
            <w:pPr>
              <w:ind w:left="420"/>
              <w:spacing w:after="0"/>
              <w:rPr>
                <w:sz w:val="20"/>
                <w:szCs w:val="20"/>
                <w:color w:val="auto"/>
              </w:rPr>
            </w:pPr>
            <w:r>
              <w:rPr>
                <w:rFonts w:ascii="Arial" w:cs="Arial" w:eastAsia="Arial" w:hAnsi="Arial"/>
                <w:sz w:val="13"/>
                <w:szCs w:val="13"/>
                <w:color w:val="auto"/>
              </w:rPr>
              <w:t>Amended and Restated Bylaws of the Registrant (Incorporated by reference to the Registrant’s Quarterly Report on</w:t>
            </w:r>
          </w:p>
        </w:tc>
      </w:tr>
      <w:tr>
        <w:trPr>
          <w:trHeight w:val="172"/>
        </w:trPr>
        <w:tc>
          <w:tcPr>
            <w:tcW w:w="720" w:type="dxa"/>
            <w:vAlign w:val="bottom"/>
          </w:tcPr>
          <w:p>
            <w:pPr>
              <w:spacing w:after="0"/>
              <w:rPr>
                <w:sz w:val="14"/>
                <w:szCs w:val="14"/>
                <w:color w:val="auto"/>
              </w:rPr>
            </w:pPr>
          </w:p>
        </w:tc>
        <w:tc>
          <w:tcPr>
            <w:tcW w:w="10480" w:type="dxa"/>
            <w:vAlign w:val="bottom"/>
          </w:tcPr>
          <w:p>
            <w:pPr>
              <w:ind w:left="420"/>
              <w:spacing w:after="0"/>
              <w:rPr>
                <w:sz w:val="20"/>
                <w:szCs w:val="20"/>
                <w:color w:val="auto"/>
              </w:rPr>
            </w:pPr>
            <w:r>
              <w:rPr>
                <w:rFonts w:ascii="Arial" w:cs="Arial" w:eastAsia="Arial" w:hAnsi="Arial"/>
                <w:sz w:val="13"/>
                <w:szCs w:val="13"/>
                <w:color w:val="auto"/>
              </w:rPr>
              <w:t>Form 10-Q (File No. 814-00891), filed on May 3, 2012).</w:t>
            </w:r>
          </w:p>
        </w:tc>
      </w:tr>
      <w:tr>
        <w:trPr>
          <w:trHeight w:val="233"/>
        </w:trPr>
        <w:tc>
          <w:tcPr>
            <w:tcW w:w="720" w:type="dxa"/>
            <w:vAlign w:val="bottom"/>
          </w:tcPr>
          <w:p>
            <w:pPr>
              <w:jc w:val="right"/>
              <w:ind w:right="413"/>
              <w:spacing w:after="0"/>
              <w:rPr>
                <w:sz w:val="20"/>
                <w:szCs w:val="20"/>
                <w:color w:val="auto"/>
              </w:rPr>
            </w:pPr>
            <w:r>
              <w:rPr>
                <w:rFonts w:ascii="Arial" w:cs="Arial" w:eastAsia="Arial" w:hAnsi="Arial"/>
                <w:sz w:val="13"/>
                <w:szCs w:val="13"/>
                <w:color w:val="auto"/>
              </w:rPr>
              <w:t>4.1</w:t>
            </w:r>
          </w:p>
        </w:tc>
        <w:tc>
          <w:tcPr>
            <w:tcW w:w="10480" w:type="dxa"/>
            <w:vAlign w:val="bottom"/>
          </w:tcPr>
          <w:p>
            <w:pPr>
              <w:ind w:left="420"/>
              <w:spacing w:after="0"/>
              <w:rPr>
                <w:sz w:val="20"/>
                <w:szCs w:val="20"/>
                <w:color w:val="auto"/>
              </w:rPr>
            </w:pPr>
            <w:r>
              <w:rPr>
                <w:rFonts w:ascii="Arial" w:cs="Arial" w:eastAsia="Arial" w:hAnsi="Arial"/>
                <w:sz w:val="13"/>
                <w:szCs w:val="13"/>
                <w:color w:val="auto"/>
                <w:w w:val="95"/>
              </w:rPr>
              <w:t>Form of Share Certificate (Incorporated by reference to the Registrant’s Pre-Effective Amendment No. 5 to the Registration Statement on Form N-2 (File No. 333-170243), filed on April</w:t>
            </w:r>
          </w:p>
        </w:tc>
      </w:tr>
      <w:tr>
        <w:trPr>
          <w:trHeight w:val="172"/>
        </w:trPr>
        <w:tc>
          <w:tcPr>
            <w:tcW w:w="720" w:type="dxa"/>
            <w:vAlign w:val="bottom"/>
          </w:tcPr>
          <w:p>
            <w:pPr>
              <w:spacing w:after="0"/>
              <w:rPr>
                <w:sz w:val="14"/>
                <w:szCs w:val="14"/>
                <w:color w:val="auto"/>
              </w:rPr>
            </w:pPr>
          </w:p>
        </w:tc>
        <w:tc>
          <w:tcPr>
            <w:tcW w:w="10480" w:type="dxa"/>
            <w:vAlign w:val="bottom"/>
          </w:tcPr>
          <w:p>
            <w:pPr>
              <w:ind w:left="420"/>
              <w:spacing w:after="0"/>
              <w:rPr>
                <w:sz w:val="20"/>
                <w:szCs w:val="20"/>
                <w:color w:val="auto"/>
              </w:rPr>
            </w:pPr>
            <w:r>
              <w:rPr>
                <w:rFonts w:ascii="Arial" w:cs="Arial" w:eastAsia="Arial" w:hAnsi="Arial"/>
                <w:sz w:val="13"/>
                <w:szCs w:val="13"/>
                <w:color w:val="auto"/>
              </w:rPr>
              <w:t>5, 2011).</w:t>
            </w:r>
          </w:p>
        </w:tc>
      </w:tr>
      <w:tr>
        <w:trPr>
          <w:trHeight w:val="233"/>
        </w:trPr>
        <w:tc>
          <w:tcPr>
            <w:tcW w:w="720" w:type="dxa"/>
            <w:vAlign w:val="bottom"/>
          </w:tcPr>
          <w:p>
            <w:pPr>
              <w:jc w:val="right"/>
              <w:ind w:right="413"/>
              <w:spacing w:after="0"/>
              <w:rPr>
                <w:sz w:val="20"/>
                <w:szCs w:val="20"/>
                <w:color w:val="auto"/>
              </w:rPr>
            </w:pPr>
            <w:r>
              <w:rPr>
                <w:rFonts w:ascii="Arial" w:cs="Arial" w:eastAsia="Arial" w:hAnsi="Arial"/>
                <w:sz w:val="13"/>
                <w:szCs w:val="13"/>
                <w:color w:val="auto"/>
                <w:w w:val="86"/>
              </w:rPr>
              <w:t>10.1</w:t>
            </w:r>
          </w:p>
        </w:tc>
        <w:tc>
          <w:tcPr>
            <w:tcW w:w="10480" w:type="dxa"/>
            <w:vAlign w:val="bottom"/>
          </w:tcPr>
          <w:p>
            <w:pPr>
              <w:ind w:left="420"/>
              <w:spacing w:after="0"/>
              <w:rPr>
                <w:sz w:val="20"/>
                <w:szCs w:val="20"/>
                <w:color w:val="auto"/>
              </w:rPr>
            </w:pPr>
            <w:r>
              <w:rPr>
                <w:rFonts w:ascii="Arial" w:cs="Arial" w:eastAsia="Arial" w:hAnsi="Arial"/>
                <w:sz w:val="13"/>
                <w:szCs w:val="13"/>
                <w:color w:val="auto"/>
                <w:w w:val="95"/>
              </w:rPr>
              <w:t>Amended and Restated Revolving Credit and Security Agreement, dated as of May 14, 2012 among PennantPark Floating Rate Funding I, LLC, as borrower, PennantPark Investment</w:t>
            </w:r>
          </w:p>
        </w:tc>
      </w:tr>
      <w:tr>
        <w:trPr>
          <w:trHeight w:val="148"/>
        </w:trPr>
        <w:tc>
          <w:tcPr>
            <w:tcW w:w="720" w:type="dxa"/>
            <w:vAlign w:val="bottom"/>
          </w:tcPr>
          <w:p>
            <w:pPr>
              <w:spacing w:after="0"/>
              <w:rPr>
                <w:sz w:val="12"/>
                <w:szCs w:val="12"/>
                <w:color w:val="auto"/>
              </w:rPr>
            </w:pPr>
          </w:p>
        </w:tc>
        <w:tc>
          <w:tcPr>
            <w:tcW w:w="10480" w:type="dxa"/>
            <w:vAlign w:val="bottom"/>
          </w:tcPr>
          <w:p>
            <w:pPr>
              <w:ind w:left="420"/>
              <w:spacing w:after="0"/>
              <w:rPr>
                <w:sz w:val="20"/>
                <w:szCs w:val="20"/>
                <w:color w:val="auto"/>
              </w:rPr>
            </w:pPr>
            <w:r>
              <w:rPr>
                <w:rFonts w:ascii="Arial" w:cs="Arial" w:eastAsia="Arial" w:hAnsi="Arial"/>
                <w:sz w:val="13"/>
                <w:szCs w:val="13"/>
                <w:color w:val="auto"/>
                <w:w w:val="95"/>
              </w:rPr>
              <w:t>Advisers, LLC, as collateral manager, the lenders from time to time parties thereto, SunTrust Bank, as administrative agent, and U.S. Bank National Association, as collateral agent, as</w:t>
            </w:r>
          </w:p>
        </w:tc>
      </w:tr>
      <w:tr>
        <w:trPr>
          <w:trHeight w:val="172"/>
        </w:trPr>
        <w:tc>
          <w:tcPr>
            <w:tcW w:w="720" w:type="dxa"/>
            <w:vAlign w:val="bottom"/>
          </w:tcPr>
          <w:p>
            <w:pPr>
              <w:spacing w:after="0"/>
              <w:rPr>
                <w:sz w:val="14"/>
                <w:szCs w:val="14"/>
                <w:color w:val="auto"/>
              </w:rPr>
            </w:pPr>
          </w:p>
        </w:tc>
        <w:tc>
          <w:tcPr>
            <w:tcW w:w="10480" w:type="dxa"/>
            <w:vAlign w:val="bottom"/>
          </w:tcPr>
          <w:p>
            <w:pPr>
              <w:ind w:left="420"/>
              <w:spacing w:after="0"/>
              <w:rPr>
                <w:sz w:val="20"/>
                <w:szCs w:val="20"/>
                <w:color w:val="auto"/>
              </w:rPr>
            </w:pPr>
            <w:r>
              <w:rPr>
                <w:rFonts w:ascii="Arial" w:cs="Arial" w:eastAsia="Arial" w:hAnsi="Arial"/>
                <w:sz w:val="13"/>
                <w:szCs w:val="13"/>
                <w:color w:val="auto"/>
              </w:rPr>
              <w:t>backup collateral manager, and as custodian (Incorporated by reference to the Registrant’s Quarterly Report on Form 10-Q (File No. 814-00891), filed on August 9, 2012).</w:t>
            </w:r>
          </w:p>
        </w:tc>
      </w:tr>
      <w:tr>
        <w:trPr>
          <w:trHeight w:val="233"/>
        </w:trPr>
        <w:tc>
          <w:tcPr>
            <w:tcW w:w="720" w:type="dxa"/>
            <w:vAlign w:val="bottom"/>
          </w:tcPr>
          <w:p>
            <w:pPr>
              <w:jc w:val="right"/>
              <w:ind w:right="413"/>
              <w:spacing w:after="0"/>
              <w:rPr>
                <w:sz w:val="20"/>
                <w:szCs w:val="20"/>
                <w:color w:val="auto"/>
              </w:rPr>
            </w:pPr>
            <w:r>
              <w:rPr>
                <w:rFonts w:ascii="Arial" w:cs="Arial" w:eastAsia="Arial" w:hAnsi="Arial"/>
                <w:sz w:val="13"/>
                <w:szCs w:val="13"/>
                <w:color w:val="auto"/>
                <w:w w:val="86"/>
              </w:rPr>
              <w:t>10.2</w:t>
            </w:r>
          </w:p>
        </w:tc>
        <w:tc>
          <w:tcPr>
            <w:tcW w:w="10480" w:type="dxa"/>
            <w:vAlign w:val="bottom"/>
          </w:tcPr>
          <w:p>
            <w:pPr>
              <w:ind w:left="420"/>
              <w:spacing w:after="0"/>
              <w:rPr>
                <w:sz w:val="20"/>
                <w:szCs w:val="20"/>
                <w:color w:val="auto"/>
              </w:rPr>
            </w:pPr>
            <w:r>
              <w:rPr>
                <w:rFonts w:ascii="Arial" w:cs="Arial" w:eastAsia="Arial" w:hAnsi="Arial"/>
                <w:sz w:val="13"/>
                <w:szCs w:val="13"/>
                <w:color w:val="auto"/>
                <w:w w:val="95"/>
              </w:rPr>
              <w:t>Purchase and Contribution Agreement, dated as of June 23, 2011, among PennantPark Floating Rate Capital Ltd., as the seller, and PennantPark Floating Rate Funding I, LLC, as the</w:t>
            </w:r>
          </w:p>
        </w:tc>
      </w:tr>
      <w:tr>
        <w:trPr>
          <w:trHeight w:val="172"/>
        </w:trPr>
        <w:tc>
          <w:tcPr>
            <w:tcW w:w="720" w:type="dxa"/>
            <w:vAlign w:val="bottom"/>
          </w:tcPr>
          <w:p>
            <w:pPr>
              <w:spacing w:after="0"/>
              <w:rPr>
                <w:sz w:val="14"/>
                <w:szCs w:val="14"/>
                <w:color w:val="auto"/>
              </w:rPr>
            </w:pPr>
          </w:p>
        </w:tc>
        <w:tc>
          <w:tcPr>
            <w:tcW w:w="10480" w:type="dxa"/>
            <w:vAlign w:val="bottom"/>
          </w:tcPr>
          <w:p>
            <w:pPr>
              <w:ind w:left="420"/>
              <w:spacing w:after="0"/>
              <w:rPr>
                <w:sz w:val="20"/>
                <w:szCs w:val="20"/>
                <w:color w:val="auto"/>
              </w:rPr>
            </w:pPr>
            <w:r>
              <w:rPr>
                <w:rFonts w:ascii="Arial" w:cs="Arial" w:eastAsia="Arial" w:hAnsi="Arial"/>
                <w:sz w:val="13"/>
                <w:szCs w:val="13"/>
                <w:color w:val="auto"/>
              </w:rPr>
              <w:t>buyer (Incorporated by reference to Exhibit 10.2 to the Registrant’s Periodic Report on Form 8-K, filed on June 29, 2011).</w:t>
            </w:r>
          </w:p>
        </w:tc>
      </w:tr>
      <w:tr>
        <w:trPr>
          <w:trHeight w:val="233"/>
        </w:trPr>
        <w:tc>
          <w:tcPr>
            <w:tcW w:w="720" w:type="dxa"/>
            <w:vAlign w:val="bottom"/>
          </w:tcPr>
          <w:p>
            <w:pPr>
              <w:jc w:val="right"/>
              <w:ind w:right="413"/>
              <w:spacing w:after="0"/>
              <w:rPr>
                <w:sz w:val="20"/>
                <w:szCs w:val="20"/>
                <w:color w:val="auto"/>
              </w:rPr>
            </w:pPr>
            <w:r>
              <w:rPr>
                <w:rFonts w:ascii="Arial" w:cs="Arial" w:eastAsia="Arial" w:hAnsi="Arial"/>
                <w:sz w:val="13"/>
                <w:szCs w:val="13"/>
                <w:color w:val="auto"/>
                <w:w w:val="86"/>
              </w:rPr>
              <w:t>10.3</w:t>
            </w:r>
          </w:p>
        </w:tc>
        <w:tc>
          <w:tcPr>
            <w:tcW w:w="10480" w:type="dxa"/>
            <w:vAlign w:val="bottom"/>
          </w:tcPr>
          <w:p>
            <w:pPr>
              <w:ind w:left="420"/>
              <w:spacing w:after="0"/>
              <w:rPr>
                <w:sz w:val="20"/>
                <w:szCs w:val="20"/>
                <w:color w:val="auto"/>
              </w:rPr>
            </w:pPr>
            <w:r>
              <w:rPr>
                <w:rFonts w:ascii="Arial" w:cs="Arial" w:eastAsia="Arial" w:hAnsi="Arial"/>
                <w:sz w:val="13"/>
                <w:szCs w:val="13"/>
                <w:color w:val="auto"/>
                <w:w w:val="98"/>
              </w:rPr>
              <w:t>Form of Administration Agreement between the Registrant and PennantPark Investment Administration, LLC (Incorporated by reference to Exhibit 99(k)(2) to the Registrant’s Pre-</w:t>
            </w:r>
          </w:p>
        </w:tc>
      </w:tr>
      <w:tr>
        <w:trPr>
          <w:trHeight w:val="172"/>
        </w:trPr>
        <w:tc>
          <w:tcPr>
            <w:tcW w:w="720" w:type="dxa"/>
            <w:vAlign w:val="bottom"/>
          </w:tcPr>
          <w:p>
            <w:pPr>
              <w:spacing w:after="0"/>
              <w:rPr>
                <w:sz w:val="14"/>
                <w:szCs w:val="14"/>
                <w:color w:val="auto"/>
              </w:rPr>
            </w:pPr>
          </w:p>
        </w:tc>
        <w:tc>
          <w:tcPr>
            <w:tcW w:w="10480" w:type="dxa"/>
            <w:vAlign w:val="bottom"/>
          </w:tcPr>
          <w:p>
            <w:pPr>
              <w:ind w:left="420"/>
              <w:spacing w:after="0"/>
              <w:rPr>
                <w:sz w:val="20"/>
                <w:szCs w:val="20"/>
                <w:color w:val="auto"/>
              </w:rPr>
            </w:pPr>
            <w:r>
              <w:rPr>
                <w:rFonts w:ascii="Arial" w:cs="Arial" w:eastAsia="Arial" w:hAnsi="Arial"/>
                <w:sz w:val="13"/>
                <w:szCs w:val="13"/>
                <w:color w:val="auto"/>
              </w:rPr>
              <w:t>Effective Amendment No. 3 to the Registration Statement on Form N-2 (File No. 333-170243), filed on March 29, 2011).</w:t>
            </w:r>
          </w:p>
        </w:tc>
      </w:tr>
      <w:tr>
        <w:trPr>
          <w:trHeight w:val="233"/>
        </w:trPr>
        <w:tc>
          <w:tcPr>
            <w:tcW w:w="720" w:type="dxa"/>
            <w:vAlign w:val="bottom"/>
          </w:tcPr>
          <w:p>
            <w:pPr>
              <w:jc w:val="right"/>
              <w:ind w:right="413"/>
              <w:spacing w:after="0"/>
              <w:rPr>
                <w:sz w:val="20"/>
                <w:szCs w:val="20"/>
                <w:color w:val="auto"/>
              </w:rPr>
            </w:pPr>
            <w:r>
              <w:rPr>
                <w:rFonts w:ascii="Arial" w:cs="Arial" w:eastAsia="Arial" w:hAnsi="Arial"/>
                <w:sz w:val="13"/>
                <w:szCs w:val="13"/>
                <w:color w:val="auto"/>
                <w:w w:val="86"/>
              </w:rPr>
              <w:t>10.4</w:t>
            </w:r>
          </w:p>
        </w:tc>
        <w:tc>
          <w:tcPr>
            <w:tcW w:w="10480" w:type="dxa"/>
            <w:vAlign w:val="bottom"/>
          </w:tcPr>
          <w:p>
            <w:pPr>
              <w:ind w:left="420"/>
              <w:spacing w:after="0"/>
              <w:rPr>
                <w:sz w:val="20"/>
                <w:szCs w:val="20"/>
                <w:color w:val="auto"/>
              </w:rPr>
            </w:pPr>
            <w:r>
              <w:rPr>
                <w:rFonts w:ascii="Arial" w:cs="Arial" w:eastAsia="Arial" w:hAnsi="Arial"/>
                <w:sz w:val="13"/>
                <w:szCs w:val="13"/>
                <w:color w:val="auto"/>
                <w:w w:val="96"/>
              </w:rPr>
              <w:t>Dividend Reinvestment Plan (Incorporated by reference to Exhibit 99(e) to the Registrant’s Pre-Effective Amendment No. 3 to the Registration Statement on Form N-2 (File No. 333-</w:t>
            </w:r>
          </w:p>
        </w:tc>
      </w:tr>
      <w:tr>
        <w:trPr>
          <w:trHeight w:val="172"/>
        </w:trPr>
        <w:tc>
          <w:tcPr>
            <w:tcW w:w="720" w:type="dxa"/>
            <w:vAlign w:val="bottom"/>
          </w:tcPr>
          <w:p>
            <w:pPr>
              <w:spacing w:after="0"/>
              <w:rPr>
                <w:sz w:val="14"/>
                <w:szCs w:val="14"/>
                <w:color w:val="auto"/>
              </w:rPr>
            </w:pPr>
          </w:p>
        </w:tc>
        <w:tc>
          <w:tcPr>
            <w:tcW w:w="10480" w:type="dxa"/>
            <w:vAlign w:val="bottom"/>
          </w:tcPr>
          <w:p>
            <w:pPr>
              <w:ind w:left="420"/>
              <w:spacing w:after="0"/>
              <w:rPr>
                <w:sz w:val="20"/>
                <w:szCs w:val="20"/>
                <w:color w:val="auto"/>
              </w:rPr>
            </w:pPr>
            <w:r>
              <w:rPr>
                <w:rFonts w:ascii="Arial" w:cs="Arial" w:eastAsia="Arial" w:hAnsi="Arial"/>
                <w:sz w:val="13"/>
                <w:szCs w:val="13"/>
                <w:color w:val="auto"/>
              </w:rPr>
              <w:t>170243), filed on March 29, 2011).</w:t>
            </w:r>
          </w:p>
        </w:tc>
      </w:tr>
      <w:tr>
        <w:trPr>
          <w:trHeight w:val="233"/>
        </w:trPr>
        <w:tc>
          <w:tcPr>
            <w:tcW w:w="720" w:type="dxa"/>
            <w:vAlign w:val="bottom"/>
          </w:tcPr>
          <w:p>
            <w:pPr>
              <w:jc w:val="right"/>
              <w:ind w:right="413"/>
              <w:spacing w:after="0"/>
              <w:rPr>
                <w:sz w:val="20"/>
                <w:szCs w:val="20"/>
                <w:color w:val="auto"/>
              </w:rPr>
            </w:pPr>
            <w:r>
              <w:rPr>
                <w:rFonts w:ascii="Arial" w:cs="Arial" w:eastAsia="Arial" w:hAnsi="Arial"/>
                <w:sz w:val="13"/>
                <w:szCs w:val="13"/>
                <w:color w:val="auto"/>
                <w:w w:val="86"/>
              </w:rPr>
              <w:t>10.5</w:t>
            </w:r>
          </w:p>
        </w:tc>
        <w:tc>
          <w:tcPr>
            <w:tcW w:w="10480" w:type="dxa"/>
            <w:vAlign w:val="bottom"/>
          </w:tcPr>
          <w:p>
            <w:pPr>
              <w:ind w:left="420"/>
              <w:spacing w:after="0"/>
              <w:rPr>
                <w:sz w:val="20"/>
                <w:szCs w:val="20"/>
                <w:color w:val="auto"/>
              </w:rPr>
            </w:pPr>
            <w:r>
              <w:rPr>
                <w:rFonts w:ascii="Arial" w:cs="Arial" w:eastAsia="Arial" w:hAnsi="Arial"/>
                <w:sz w:val="13"/>
                <w:szCs w:val="13"/>
                <w:color w:val="auto"/>
                <w:w w:val="97"/>
              </w:rPr>
              <w:t>Amended and Restated Investment Advisory Agreement , dated as of August 7, 2012, between PennantPark Floating Rate Capital Ltd. and PennantPark Investment Advisers, LLC</w:t>
            </w:r>
          </w:p>
        </w:tc>
      </w:tr>
      <w:tr>
        <w:trPr>
          <w:trHeight w:val="172"/>
        </w:trPr>
        <w:tc>
          <w:tcPr>
            <w:tcW w:w="720" w:type="dxa"/>
            <w:vAlign w:val="bottom"/>
          </w:tcPr>
          <w:p>
            <w:pPr>
              <w:spacing w:after="0"/>
              <w:rPr>
                <w:sz w:val="14"/>
                <w:szCs w:val="14"/>
                <w:color w:val="auto"/>
              </w:rPr>
            </w:pPr>
          </w:p>
        </w:tc>
        <w:tc>
          <w:tcPr>
            <w:tcW w:w="10480" w:type="dxa"/>
            <w:vAlign w:val="bottom"/>
          </w:tcPr>
          <w:p>
            <w:pPr>
              <w:ind w:left="420"/>
              <w:spacing w:after="0"/>
              <w:rPr>
                <w:sz w:val="20"/>
                <w:szCs w:val="20"/>
                <w:color w:val="auto"/>
              </w:rPr>
            </w:pPr>
            <w:r>
              <w:rPr>
                <w:rFonts w:ascii="Arial" w:cs="Arial" w:eastAsia="Arial" w:hAnsi="Arial"/>
                <w:sz w:val="13"/>
                <w:szCs w:val="13"/>
                <w:color w:val="auto"/>
              </w:rPr>
              <w:t>(Incorporated by reference to the Registrant’s Quarterly Report on Form 10-Q (File No. 814-00891), filed on August 9, 2012).</w:t>
            </w:r>
          </w:p>
        </w:tc>
      </w:tr>
      <w:tr>
        <w:trPr>
          <w:trHeight w:val="257"/>
        </w:trPr>
        <w:tc>
          <w:tcPr>
            <w:tcW w:w="720" w:type="dxa"/>
            <w:vAlign w:val="bottom"/>
          </w:tcPr>
          <w:p>
            <w:pPr>
              <w:jc w:val="right"/>
              <w:ind w:right="513"/>
              <w:spacing w:after="0"/>
              <w:rPr>
                <w:sz w:val="20"/>
                <w:szCs w:val="20"/>
                <w:color w:val="auto"/>
              </w:rPr>
            </w:pPr>
            <w:r>
              <w:rPr>
                <w:rFonts w:ascii="Arial" w:cs="Arial" w:eastAsia="Arial" w:hAnsi="Arial"/>
                <w:sz w:val="13"/>
                <w:szCs w:val="13"/>
                <w:color w:val="auto"/>
                <w:w w:val="82"/>
              </w:rPr>
              <w:t>11</w:t>
            </w:r>
          </w:p>
        </w:tc>
        <w:tc>
          <w:tcPr>
            <w:tcW w:w="10480" w:type="dxa"/>
            <w:vAlign w:val="bottom"/>
          </w:tcPr>
          <w:p>
            <w:pPr>
              <w:ind w:left="420"/>
              <w:spacing w:after="0"/>
              <w:rPr>
                <w:sz w:val="20"/>
                <w:szCs w:val="20"/>
                <w:color w:val="auto"/>
              </w:rPr>
            </w:pPr>
            <w:r>
              <w:rPr>
                <w:rFonts w:ascii="Arial" w:cs="Arial" w:eastAsia="Arial" w:hAnsi="Arial"/>
                <w:sz w:val="13"/>
                <w:szCs w:val="13"/>
                <w:color w:val="auto"/>
              </w:rPr>
              <w:t>Computation of Per Share Earnings (included in the notes to the audited financial statements contained in this Report).</w:t>
            </w:r>
          </w:p>
        </w:tc>
      </w:tr>
      <w:tr>
        <w:trPr>
          <w:trHeight w:val="257"/>
        </w:trPr>
        <w:tc>
          <w:tcPr>
            <w:tcW w:w="720" w:type="dxa"/>
            <w:vAlign w:val="bottom"/>
          </w:tcPr>
          <w:p>
            <w:pPr>
              <w:jc w:val="right"/>
              <w:ind w:right="333"/>
              <w:spacing w:after="0"/>
              <w:rPr>
                <w:sz w:val="20"/>
                <w:szCs w:val="20"/>
                <w:color w:val="auto"/>
              </w:rPr>
            </w:pPr>
            <w:r>
              <w:rPr>
                <w:rFonts w:ascii="Arial" w:cs="Arial" w:eastAsia="Arial" w:hAnsi="Arial"/>
                <w:sz w:val="13"/>
                <w:szCs w:val="13"/>
                <w:color w:val="auto"/>
                <w:w w:val="98"/>
              </w:rPr>
              <w:t>14.1*</w:t>
            </w:r>
          </w:p>
        </w:tc>
        <w:tc>
          <w:tcPr>
            <w:tcW w:w="10480" w:type="dxa"/>
            <w:vAlign w:val="bottom"/>
          </w:tcPr>
          <w:p>
            <w:pPr>
              <w:ind w:left="420"/>
              <w:spacing w:after="0"/>
              <w:rPr>
                <w:sz w:val="20"/>
                <w:szCs w:val="20"/>
                <w:color w:val="auto"/>
              </w:rPr>
            </w:pPr>
            <w:r>
              <w:rPr>
                <w:rFonts w:ascii="Arial" w:cs="Arial" w:eastAsia="Arial" w:hAnsi="Arial"/>
                <w:sz w:val="13"/>
                <w:szCs w:val="13"/>
                <w:color w:val="auto"/>
              </w:rPr>
              <w:t>Joint Code of Ethics of the Registrant.</w:t>
            </w:r>
          </w:p>
        </w:tc>
      </w:tr>
      <w:tr>
        <w:trPr>
          <w:trHeight w:val="257"/>
        </w:trPr>
        <w:tc>
          <w:tcPr>
            <w:tcW w:w="720" w:type="dxa"/>
            <w:vAlign w:val="bottom"/>
          </w:tcPr>
          <w:p>
            <w:pPr>
              <w:jc w:val="right"/>
              <w:ind w:right="333"/>
              <w:spacing w:after="0"/>
              <w:rPr>
                <w:sz w:val="20"/>
                <w:szCs w:val="20"/>
                <w:color w:val="auto"/>
              </w:rPr>
            </w:pPr>
            <w:r>
              <w:rPr>
                <w:rFonts w:ascii="Arial" w:cs="Arial" w:eastAsia="Arial" w:hAnsi="Arial"/>
                <w:sz w:val="13"/>
                <w:szCs w:val="13"/>
                <w:color w:val="auto"/>
                <w:w w:val="98"/>
              </w:rPr>
              <w:t>21.1*</w:t>
            </w:r>
          </w:p>
        </w:tc>
        <w:tc>
          <w:tcPr>
            <w:tcW w:w="10480" w:type="dxa"/>
            <w:vAlign w:val="bottom"/>
          </w:tcPr>
          <w:p>
            <w:pPr>
              <w:ind w:left="420"/>
              <w:spacing w:after="0"/>
              <w:rPr>
                <w:sz w:val="20"/>
                <w:szCs w:val="20"/>
                <w:color w:val="auto"/>
              </w:rPr>
            </w:pPr>
            <w:r>
              <w:rPr>
                <w:rFonts w:ascii="Arial" w:cs="Arial" w:eastAsia="Arial" w:hAnsi="Arial"/>
                <w:sz w:val="13"/>
                <w:szCs w:val="13"/>
                <w:color w:val="auto"/>
              </w:rPr>
              <w:t>Subsidiary of the Registrant.</w:t>
            </w:r>
          </w:p>
        </w:tc>
      </w:tr>
      <w:tr>
        <w:trPr>
          <w:trHeight w:val="256"/>
        </w:trPr>
        <w:tc>
          <w:tcPr>
            <w:tcW w:w="720" w:type="dxa"/>
            <w:vAlign w:val="bottom"/>
          </w:tcPr>
          <w:p>
            <w:pPr>
              <w:jc w:val="right"/>
              <w:ind w:right="333"/>
              <w:spacing w:after="0"/>
              <w:rPr>
                <w:sz w:val="20"/>
                <w:szCs w:val="20"/>
                <w:color w:val="auto"/>
              </w:rPr>
            </w:pPr>
            <w:r>
              <w:rPr>
                <w:rFonts w:ascii="Arial" w:cs="Arial" w:eastAsia="Arial" w:hAnsi="Arial"/>
                <w:sz w:val="13"/>
                <w:szCs w:val="13"/>
                <w:color w:val="auto"/>
                <w:w w:val="98"/>
              </w:rPr>
              <w:t>31.1*</w:t>
            </w:r>
          </w:p>
        </w:tc>
        <w:tc>
          <w:tcPr>
            <w:tcW w:w="10480" w:type="dxa"/>
            <w:vAlign w:val="bottom"/>
          </w:tcPr>
          <w:p>
            <w:pPr>
              <w:ind w:left="420"/>
              <w:spacing w:after="0"/>
              <w:rPr>
                <w:sz w:val="20"/>
                <w:szCs w:val="20"/>
                <w:color w:val="auto"/>
              </w:rPr>
            </w:pPr>
            <w:r>
              <w:rPr>
                <w:rFonts w:ascii="Arial" w:cs="Arial" w:eastAsia="Arial" w:hAnsi="Arial"/>
                <w:sz w:val="13"/>
                <w:szCs w:val="13"/>
                <w:color w:val="auto"/>
              </w:rPr>
              <w:t>Certification of Chief Executive Officer pursuant to Rule 13a-14 of the Securities Exchange Act of 1934, as amended.</w:t>
            </w:r>
          </w:p>
        </w:tc>
      </w:tr>
      <w:tr>
        <w:trPr>
          <w:trHeight w:val="256"/>
        </w:trPr>
        <w:tc>
          <w:tcPr>
            <w:tcW w:w="720" w:type="dxa"/>
            <w:vAlign w:val="bottom"/>
          </w:tcPr>
          <w:p>
            <w:pPr>
              <w:jc w:val="right"/>
              <w:ind w:right="333"/>
              <w:spacing w:after="0"/>
              <w:rPr>
                <w:sz w:val="20"/>
                <w:szCs w:val="20"/>
                <w:color w:val="auto"/>
              </w:rPr>
            </w:pPr>
            <w:r>
              <w:rPr>
                <w:rFonts w:ascii="Arial" w:cs="Arial" w:eastAsia="Arial" w:hAnsi="Arial"/>
                <w:sz w:val="13"/>
                <w:szCs w:val="13"/>
                <w:color w:val="auto"/>
                <w:w w:val="98"/>
              </w:rPr>
              <w:t>31.2*</w:t>
            </w:r>
          </w:p>
        </w:tc>
        <w:tc>
          <w:tcPr>
            <w:tcW w:w="10480" w:type="dxa"/>
            <w:vAlign w:val="bottom"/>
          </w:tcPr>
          <w:p>
            <w:pPr>
              <w:ind w:left="420"/>
              <w:spacing w:after="0"/>
              <w:rPr>
                <w:sz w:val="20"/>
                <w:szCs w:val="20"/>
                <w:color w:val="auto"/>
              </w:rPr>
            </w:pPr>
            <w:r>
              <w:rPr>
                <w:rFonts w:ascii="Arial" w:cs="Arial" w:eastAsia="Arial" w:hAnsi="Arial"/>
                <w:sz w:val="13"/>
                <w:szCs w:val="13"/>
                <w:color w:val="auto"/>
              </w:rPr>
              <w:t>Certification of Chief Financial Officer pursuant to Rule 13a-14 of the Securities Exchange Act of 1934, as amended.</w:t>
            </w:r>
          </w:p>
        </w:tc>
      </w:tr>
      <w:tr>
        <w:trPr>
          <w:trHeight w:val="257"/>
        </w:trPr>
        <w:tc>
          <w:tcPr>
            <w:tcW w:w="720" w:type="dxa"/>
            <w:vAlign w:val="bottom"/>
          </w:tcPr>
          <w:p>
            <w:pPr>
              <w:jc w:val="right"/>
              <w:ind w:right="333"/>
              <w:spacing w:after="0"/>
              <w:rPr>
                <w:sz w:val="20"/>
                <w:szCs w:val="20"/>
                <w:color w:val="auto"/>
              </w:rPr>
            </w:pPr>
            <w:r>
              <w:rPr>
                <w:rFonts w:ascii="Arial" w:cs="Arial" w:eastAsia="Arial" w:hAnsi="Arial"/>
                <w:sz w:val="13"/>
                <w:szCs w:val="13"/>
                <w:color w:val="auto"/>
                <w:w w:val="98"/>
              </w:rPr>
              <w:t>32.1*</w:t>
            </w:r>
          </w:p>
        </w:tc>
        <w:tc>
          <w:tcPr>
            <w:tcW w:w="10480" w:type="dxa"/>
            <w:vAlign w:val="bottom"/>
          </w:tcPr>
          <w:p>
            <w:pPr>
              <w:ind w:left="420"/>
              <w:spacing w:after="0"/>
              <w:rPr>
                <w:sz w:val="20"/>
                <w:szCs w:val="20"/>
                <w:color w:val="auto"/>
              </w:rPr>
            </w:pPr>
            <w:r>
              <w:rPr>
                <w:rFonts w:ascii="Arial" w:cs="Arial" w:eastAsia="Arial" w:hAnsi="Arial"/>
                <w:sz w:val="13"/>
                <w:szCs w:val="13"/>
                <w:color w:val="auto"/>
              </w:rPr>
              <w:t>Certification of Chief Executive Officer pursuant to section 906 of the Sarbanes-Oxley Act of 2002.</w:t>
            </w:r>
          </w:p>
        </w:tc>
      </w:tr>
      <w:tr>
        <w:trPr>
          <w:trHeight w:val="256"/>
        </w:trPr>
        <w:tc>
          <w:tcPr>
            <w:tcW w:w="720" w:type="dxa"/>
            <w:vAlign w:val="bottom"/>
          </w:tcPr>
          <w:p>
            <w:pPr>
              <w:jc w:val="right"/>
              <w:ind w:right="333"/>
              <w:spacing w:after="0"/>
              <w:rPr>
                <w:sz w:val="20"/>
                <w:szCs w:val="20"/>
                <w:color w:val="auto"/>
              </w:rPr>
            </w:pPr>
            <w:r>
              <w:rPr>
                <w:rFonts w:ascii="Arial" w:cs="Arial" w:eastAsia="Arial" w:hAnsi="Arial"/>
                <w:sz w:val="13"/>
                <w:szCs w:val="13"/>
                <w:color w:val="auto"/>
                <w:w w:val="98"/>
              </w:rPr>
              <w:t>32.2*</w:t>
            </w:r>
          </w:p>
        </w:tc>
        <w:tc>
          <w:tcPr>
            <w:tcW w:w="10480" w:type="dxa"/>
            <w:vAlign w:val="bottom"/>
          </w:tcPr>
          <w:p>
            <w:pPr>
              <w:ind w:left="420"/>
              <w:spacing w:after="0"/>
              <w:rPr>
                <w:sz w:val="20"/>
                <w:szCs w:val="20"/>
                <w:color w:val="auto"/>
              </w:rPr>
            </w:pPr>
            <w:r>
              <w:rPr>
                <w:rFonts w:ascii="Arial" w:cs="Arial" w:eastAsia="Arial" w:hAnsi="Arial"/>
                <w:sz w:val="13"/>
                <w:szCs w:val="13"/>
                <w:color w:val="auto"/>
              </w:rPr>
              <w:t>Certification of Chief Financial Officer pursuant to section 906 of the Sarbanes-Oxley Act of 2002.</w:t>
            </w:r>
          </w:p>
        </w:tc>
      </w:tr>
      <w:tr>
        <w:trPr>
          <w:trHeight w:val="233"/>
        </w:trPr>
        <w:tc>
          <w:tcPr>
            <w:tcW w:w="720" w:type="dxa"/>
            <w:vAlign w:val="bottom"/>
          </w:tcPr>
          <w:p>
            <w:pPr>
              <w:jc w:val="right"/>
              <w:ind w:right="413"/>
              <w:spacing w:after="0"/>
              <w:rPr>
                <w:sz w:val="20"/>
                <w:szCs w:val="20"/>
                <w:color w:val="auto"/>
              </w:rPr>
            </w:pPr>
            <w:r>
              <w:rPr>
                <w:rFonts w:ascii="Arial" w:cs="Arial" w:eastAsia="Arial" w:hAnsi="Arial"/>
                <w:sz w:val="13"/>
                <w:szCs w:val="13"/>
                <w:color w:val="auto"/>
                <w:w w:val="86"/>
              </w:rPr>
              <w:t>99.1</w:t>
            </w:r>
          </w:p>
        </w:tc>
        <w:tc>
          <w:tcPr>
            <w:tcW w:w="10480" w:type="dxa"/>
            <w:vAlign w:val="bottom"/>
          </w:tcPr>
          <w:p>
            <w:pPr>
              <w:ind w:left="420"/>
              <w:spacing w:after="0"/>
              <w:rPr>
                <w:sz w:val="20"/>
                <w:szCs w:val="20"/>
                <w:color w:val="auto"/>
              </w:rPr>
            </w:pPr>
            <w:r>
              <w:rPr>
                <w:rFonts w:ascii="Arial" w:cs="Arial" w:eastAsia="Arial" w:hAnsi="Arial"/>
                <w:sz w:val="13"/>
                <w:szCs w:val="13"/>
                <w:color w:val="auto"/>
              </w:rPr>
              <w:t>Privacy Policy of the Registrant. (Incorporated by reference to the Registrant’s Annual Report on Form 10-K</w:t>
            </w:r>
          </w:p>
        </w:tc>
      </w:tr>
      <w:tr>
        <w:trPr>
          <w:trHeight w:val="172"/>
        </w:trPr>
        <w:tc>
          <w:tcPr>
            <w:tcW w:w="720" w:type="dxa"/>
            <w:vAlign w:val="bottom"/>
          </w:tcPr>
          <w:p>
            <w:pPr>
              <w:spacing w:after="0"/>
              <w:rPr>
                <w:sz w:val="14"/>
                <w:szCs w:val="14"/>
                <w:color w:val="auto"/>
              </w:rPr>
            </w:pPr>
          </w:p>
        </w:tc>
        <w:tc>
          <w:tcPr>
            <w:tcW w:w="10480" w:type="dxa"/>
            <w:vAlign w:val="bottom"/>
          </w:tcPr>
          <w:p>
            <w:pPr>
              <w:ind w:left="420"/>
              <w:spacing w:after="0"/>
              <w:rPr>
                <w:sz w:val="20"/>
                <w:szCs w:val="20"/>
                <w:color w:val="auto"/>
              </w:rPr>
            </w:pPr>
            <w:r>
              <w:rPr>
                <w:rFonts w:ascii="Arial" w:cs="Arial" w:eastAsia="Arial" w:hAnsi="Arial"/>
                <w:sz w:val="13"/>
                <w:szCs w:val="13"/>
                <w:color w:val="auto"/>
              </w:rPr>
              <w:t>(File No. 814-00891), filed November 17, 2011).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4998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253" w:lineRule="exact"/>
        <w:rPr>
          <w:sz w:val="20"/>
          <w:szCs w:val="20"/>
          <w:color w:val="auto"/>
        </w:rPr>
      </w:pPr>
    </w:p>
    <w:p>
      <w:pPr>
        <w:ind w:left="220" w:hanging="212"/>
        <w:spacing w:after="0"/>
        <w:tabs>
          <w:tab w:leader="none" w:pos="220" w:val="left"/>
        </w:tabs>
        <w:numPr>
          <w:ilvl w:val="0"/>
          <w:numId w:val="46"/>
        </w:numPr>
        <w:rPr>
          <w:rFonts w:ascii="Arial" w:cs="Arial" w:eastAsia="Arial" w:hAnsi="Arial"/>
          <w:sz w:val="13"/>
          <w:szCs w:val="13"/>
          <w:color w:val="auto"/>
        </w:rPr>
      </w:pPr>
      <w:r>
        <w:rPr>
          <w:rFonts w:ascii="Arial" w:cs="Arial" w:eastAsia="Arial" w:hAnsi="Arial"/>
          <w:sz w:val="13"/>
          <w:szCs w:val="13"/>
          <w:color w:val="auto"/>
        </w:rPr>
        <w:t>Filed herewith</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80</w:t>
      </w:r>
    </w:p>
    <w:p>
      <w:pPr>
        <w:sectPr>
          <w:pgSz w:w="11900" w:h="16838" w:orient="portrait"/>
          <w:cols w:equalWidth="0" w:num="1">
            <w:col w:w="11200"/>
          </w:cols>
          <w:pgMar w:left="320" w:top="459" w:right="3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SIGNATURES</w:t>
      </w:r>
    </w:p>
    <w:p>
      <w:pPr>
        <w:spacing w:after="0" w:line="136" w:lineRule="exact"/>
        <w:rPr>
          <w:sz w:val="20"/>
          <w:szCs w:val="20"/>
          <w:color w:val="auto"/>
        </w:rPr>
      </w:pPr>
    </w:p>
    <w:p>
      <w:pPr>
        <w:ind w:right="200" w:firstLine="562"/>
        <w:spacing w:after="0" w:line="274" w:lineRule="auto"/>
        <w:rPr>
          <w:sz w:val="20"/>
          <w:szCs w:val="20"/>
          <w:color w:val="auto"/>
        </w:rPr>
      </w:pPr>
      <w:r>
        <w:rPr>
          <w:rFonts w:ascii="Arial" w:cs="Arial" w:eastAsia="Arial" w:hAnsi="Arial"/>
          <w:sz w:val="13"/>
          <w:szCs w:val="13"/>
          <w:color w:val="auto"/>
        </w:rPr>
        <w:t>Pursuant to the requirements of Section 13 or 15(d) of the Securities Exchange Act of 1934, the registrant has duly caused this report to be signed on its behalf by the undersigned, thereunto duly authorized.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00" w:type="dxa"/>
            <w:vAlign w:val="bottom"/>
          </w:tcPr>
          <w:p>
            <w:pPr>
              <w:spacing w:after="0"/>
              <w:rPr>
                <w:sz w:val="20"/>
                <w:szCs w:val="20"/>
                <w:color w:val="auto"/>
              </w:rPr>
            </w:pPr>
            <w:r>
              <w:rPr>
                <w:rFonts w:ascii="Arial" w:cs="Arial" w:eastAsia="Arial" w:hAnsi="Arial"/>
                <w:sz w:val="13"/>
                <w:szCs w:val="13"/>
                <w:color w:val="auto"/>
              </w:rPr>
              <w:t>By:</w:t>
            </w:r>
          </w:p>
        </w:tc>
        <w:tc>
          <w:tcPr>
            <w:tcW w:w="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ind w:left="1320"/>
              <w:spacing w:after="0"/>
              <w:rPr>
                <w:sz w:val="20"/>
                <w:szCs w:val="20"/>
                <w:color w:val="auto"/>
              </w:rPr>
            </w:pPr>
            <w:r>
              <w:rPr>
                <w:rFonts w:ascii="Arial" w:cs="Arial" w:eastAsia="Arial" w:hAnsi="Arial"/>
                <w:sz w:val="13"/>
                <w:szCs w:val="13"/>
                <w:color w:val="auto"/>
                <w:w w:val="87"/>
              </w:rPr>
              <w:t>/s/</w:t>
            </w:r>
          </w:p>
        </w:tc>
        <w:tc>
          <w:tcPr>
            <w:tcW w:w="2460" w:type="dxa"/>
            <w:vAlign w:val="bottom"/>
            <w:tcBorders>
              <w:bottom w:val="single" w:sz="8" w:color="auto"/>
            </w:tcBorders>
            <w:gridSpan w:val="2"/>
          </w:tcPr>
          <w:p>
            <w:pPr>
              <w:jc w:val="center"/>
              <w:ind w:right="1173"/>
              <w:spacing w:after="0"/>
              <w:rPr>
                <w:sz w:val="20"/>
                <w:szCs w:val="20"/>
                <w:color w:val="auto"/>
              </w:rPr>
            </w:pPr>
            <w:r>
              <w:rPr>
                <w:rFonts w:ascii="Arial" w:cs="Arial" w:eastAsia="Arial" w:hAnsi="Arial"/>
                <w:sz w:val="13"/>
                <w:szCs w:val="13"/>
                <w:color w:val="auto"/>
                <w:w w:val="98"/>
              </w:rPr>
              <w:t>A</w:t>
            </w:r>
            <w:r>
              <w:rPr>
                <w:rFonts w:ascii="Arial" w:cs="Arial" w:eastAsia="Arial" w:hAnsi="Arial"/>
                <w:sz w:val="11"/>
                <w:szCs w:val="11"/>
                <w:color w:val="auto"/>
                <w:w w:val="98"/>
              </w:rPr>
              <w:t>RTHUR</w:t>
            </w:r>
            <w:r>
              <w:rPr>
                <w:rFonts w:ascii="Arial" w:cs="Arial" w:eastAsia="Arial" w:hAnsi="Arial"/>
                <w:sz w:val="13"/>
                <w:szCs w:val="13"/>
                <w:color w:val="auto"/>
                <w:w w:val="98"/>
              </w:rPr>
              <w:t xml:space="preserve"> H. P</w:t>
            </w:r>
            <w:r>
              <w:rPr>
                <w:rFonts w:ascii="Arial" w:cs="Arial" w:eastAsia="Arial" w:hAnsi="Arial"/>
                <w:sz w:val="11"/>
                <w:szCs w:val="11"/>
                <w:color w:val="auto"/>
                <w:w w:val="98"/>
              </w:rPr>
              <w:t>ENN</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560" w:type="dxa"/>
            <w:vAlign w:val="bottom"/>
            <w:gridSpan w:val="2"/>
          </w:tcPr>
          <w:p>
            <w:pPr>
              <w:spacing w:after="0" w:line="143" w:lineRule="exact"/>
              <w:rPr>
                <w:sz w:val="20"/>
                <w:szCs w:val="20"/>
                <w:color w:val="auto"/>
              </w:rPr>
            </w:pPr>
            <w:r>
              <w:rPr>
                <w:rFonts w:ascii="Arial" w:cs="Arial" w:eastAsia="Arial" w:hAnsi="Arial"/>
                <w:sz w:val="13"/>
                <w:szCs w:val="13"/>
                <w:color w:val="auto"/>
              </w:rPr>
              <w:t>Name:</w:t>
            </w:r>
          </w:p>
        </w:tc>
        <w:tc>
          <w:tcPr>
            <w:tcW w:w="1460" w:type="dxa"/>
            <w:vAlign w:val="bottom"/>
          </w:tcPr>
          <w:p>
            <w:pPr>
              <w:spacing w:after="0"/>
              <w:rPr>
                <w:sz w:val="12"/>
                <w:szCs w:val="12"/>
                <w:color w:val="auto"/>
              </w:rPr>
            </w:pPr>
          </w:p>
        </w:tc>
        <w:tc>
          <w:tcPr>
            <w:tcW w:w="2460" w:type="dxa"/>
            <w:vAlign w:val="bottom"/>
            <w:gridSpan w:val="2"/>
          </w:tcPr>
          <w:p>
            <w:pPr>
              <w:jc w:val="center"/>
              <w:ind w:right="1433"/>
              <w:spacing w:after="0" w:line="143" w:lineRule="exact"/>
              <w:rPr>
                <w:sz w:val="20"/>
                <w:szCs w:val="20"/>
                <w:color w:val="auto"/>
              </w:rPr>
            </w:pPr>
            <w:r>
              <w:rPr>
                <w:rFonts w:ascii="Arial" w:cs="Arial" w:eastAsia="Arial" w:hAnsi="Arial"/>
                <w:sz w:val="13"/>
                <w:szCs w:val="13"/>
                <w:b w:val="1"/>
                <w:bCs w:val="1"/>
                <w:color w:val="auto"/>
              </w:rPr>
              <w:t>Arthur H. Penn</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560" w:type="dxa"/>
            <w:vAlign w:val="bottom"/>
            <w:gridSpan w:val="2"/>
          </w:tcPr>
          <w:p>
            <w:pPr>
              <w:spacing w:after="0"/>
              <w:rPr>
                <w:sz w:val="20"/>
                <w:szCs w:val="20"/>
                <w:color w:val="auto"/>
              </w:rPr>
            </w:pPr>
            <w:r>
              <w:rPr>
                <w:rFonts w:ascii="Arial" w:cs="Arial" w:eastAsia="Arial" w:hAnsi="Arial"/>
                <w:sz w:val="13"/>
                <w:szCs w:val="13"/>
                <w:color w:val="auto"/>
              </w:rPr>
              <w:t>Title:</w:t>
            </w:r>
          </w:p>
        </w:tc>
        <w:tc>
          <w:tcPr>
            <w:tcW w:w="3920" w:type="dxa"/>
            <w:vAlign w:val="bottom"/>
            <w:gridSpan w:val="3"/>
          </w:tcPr>
          <w:p>
            <w:pPr>
              <w:jc w:val="center"/>
              <w:spacing w:after="0"/>
              <w:rPr>
                <w:sz w:val="20"/>
                <w:szCs w:val="20"/>
                <w:color w:val="auto"/>
              </w:rPr>
            </w:pPr>
            <w:r>
              <w:rPr>
                <w:rFonts w:ascii="Arial" w:cs="Arial" w:eastAsia="Arial" w:hAnsi="Arial"/>
                <w:sz w:val="13"/>
                <w:szCs w:val="13"/>
                <w:b w:val="1"/>
                <w:bCs w:val="1"/>
                <w:color w:val="auto"/>
                <w:w w:val="95"/>
              </w:rPr>
              <w:t>Chief Executive Officer and Chairman of the Board</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4"/>
        </w:trPr>
        <w:tc>
          <w:tcPr>
            <w:tcW w:w="560" w:type="dxa"/>
            <w:vAlign w:val="bottom"/>
            <w:gridSpan w:val="2"/>
            <w:vMerge w:val="restart"/>
          </w:tcPr>
          <w:p>
            <w:pPr>
              <w:spacing w:after="0"/>
              <w:rPr>
                <w:sz w:val="20"/>
                <w:szCs w:val="20"/>
                <w:color w:val="auto"/>
              </w:rPr>
            </w:pPr>
            <w:r>
              <w:rPr>
                <w:rFonts w:ascii="Arial" w:cs="Arial" w:eastAsia="Arial" w:hAnsi="Arial"/>
                <w:sz w:val="13"/>
                <w:szCs w:val="13"/>
                <w:color w:val="auto"/>
                <w:w w:val="96"/>
              </w:rPr>
              <w:t>indicated.</w:t>
            </w:r>
          </w:p>
        </w:tc>
        <w:tc>
          <w:tcPr>
            <w:tcW w:w="10680" w:type="dxa"/>
            <w:vAlign w:val="bottom"/>
            <w:gridSpan w:val="8"/>
          </w:tcPr>
          <w:p>
            <w:pPr>
              <w:spacing w:after="0"/>
              <w:rPr>
                <w:sz w:val="20"/>
                <w:szCs w:val="20"/>
                <w:color w:val="auto"/>
              </w:rPr>
            </w:pPr>
            <w:r>
              <w:rPr>
                <w:rFonts w:ascii="Arial" w:cs="Arial" w:eastAsia="Arial" w:hAnsi="Arial"/>
                <w:sz w:val="13"/>
                <w:szCs w:val="13"/>
                <w:color w:val="auto"/>
                <w:w w:val="95"/>
              </w:rPr>
              <w:t>Pursuant to the requirements of the Securities Exchange Act of 1934, this report has been signed below by the following persons on behalf of the registrant and in the capacities and on the dates</w:t>
            </w:r>
          </w:p>
        </w:tc>
        <w:tc>
          <w:tcPr>
            <w:tcW w:w="0" w:type="dxa"/>
            <w:vAlign w:val="bottom"/>
          </w:tcPr>
          <w:p>
            <w:pPr>
              <w:spacing w:after="0"/>
              <w:rPr>
                <w:sz w:val="1"/>
                <w:szCs w:val="1"/>
                <w:color w:val="auto"/>
              </w:rPr>
            </w:pPr>
          </w:p>
        </w:tc>
      </w:tr>
      <w:tr>
        <w:trPr>
          <w:trHeight w:val="148"/>
        </w:trPr>
        <w:tc>
          <w:tcPr>
            <w:tcW w:w="560" w:type="dxa"/>
            <w:vAlign w:val="bottom"/>
            <w:gridSpan w:val="2"/>
            <w:vMerge w:val="continue"/>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jc w:val="center"/>
              <w:ind w:right="1593"/>
              <w:spacing w:after="0"/>
              <w:rPr>
                <w:sz w:val="20"/>
                <w:szCs w:val="20"/>
                <w:color w:val="auto"/>
              </w:rPr>
            </w:pPr>
            <w:r>
              <w:rPr>
                <w:rFonts w:ascii="Arial" w:cs="Arial" w:eastAsia="Arial" w:hAnsi="Arial"/>
                <w:sz w:val="13"/>
                <w:szCs w:val="13"/>
                <w:b w:val="1"/>
                <w:bCs w:val="1"/>
                <w:color w:val="auto"/>
                <w:w w:val="93"/>
              </w:rPr>
              <w:t>Signature</w:t>
            </w:r>
          </w:p>
        </w:tc>
        <w:tc>
          <w:tcPr>
            <w:tcW w:w="5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Title</w:t>
            </w:r>
          </w:p>
        </w:tc>
        <w:tc>
          <w:tcPr>
            <w:tcW w:w="200" w:type="dxa"/>
            <w:vAlign w:val="bottom"/>
          </w:tcPr>
          <w:p>
            <w:pPr>
              <w:spacing w:after="0"/>
              <w:rPr>
                <w:sz w:val="24"/>
                <w:szCs w:val="2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0" w:type="dxa"/>
            <w:vAlign w:val="bottom"/>
          </w:tcPr>
          <w:p>
            <w:pPr>
              <w:spacing w:after="0"/>
              <w:rPr>
                <w:sz w:val="1"/>
                <w:szCs w:val="1"/>
                <w:color w:val="auto"/>
              </w:rPr>
            </w:pPr>
          </w:p>
        </w:tc>
      </w:tr>
      <w:tr>
        <w:trPr>
          <w:trHeight w:val="237"/>
        </w:trPr>
        <w:tc>
          <w:tcPr>
            <w:tcW w:w="5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ind w:left="1320"/>
              <w:spacing w:after="0"/>
              <w:rPr>
                <w:sz w:val="20"/>
                <w:szCs w:val="20"/>
                <w:color w:val="auto"/>
              </w:rPr>
            </w:pPr>
            <w:r>
              <w:rPr>
                <w:rFonts w:ascii="Arial" w:cs="Arial" w:eastAsia="Arial" w:hAnsi="Arial"/>
                <w:sz w:val="13"/>
                <w:szCs w:val="13"/>
                <w:color w:val="auto"/>
                <w:w w:val="87"/>
              </w:rPr>
              <w:t>/s/</w:t>
            </w:r>
          </w:p>
        </w:tc>
        <w:tc>
          <w:tcPr>
            <w:tcW w:w="2460" w:type="dxa"/>
            <w:vAlign w:val="bottom"/>
            <w:tcBorders>
              <w:bottom w:val="single" w:sz="8" w:color="auto"/>
            </w:tcBorders>
            <w:gridSpan w:val="2"/>
          </w:tcPr>
          <w:p>
            <w:pPr>
              <w:jc w:val="center"/>
              <w:ind w:right="1173"/>
              <w:spacing w:after="0"/>
              <w:rPr>
                <w:sz w:val="20"/>
                <w:szCs w:val="20"/>
                <w:color w:val="auto"/>
              </w:rPr>
            </w:pPr>
            <w:r>
              <w:rPr>
                <w:rFonts w:ascii="Arial" w:cs="Arial" w:eastAsia="Arial" w:hAnsi="Arial"/>
                <w:sz w:val="13"/>
                <w:szCs w:val="13"/>
                <w:color w:val="auto"/>
                <w:w w:val="98"/>
              </w:rPr>
              <w:t>A</w:t>
            </w:r>
            <w:r>
              <w:rPr>
                <w:rFonts w:ascii="Arial" w:cs="Arial" w:eastAsia="Arial" w:hAnsi="Arial"/>
                <w:sz w:val="11"/>
                <w:szCs w:val="11"/>
                <w:color w:val="auto"/>
                <w:w w:val="98"/>
              </w:rPr>
              <w:t>RTHUR</w:t>
            </w:r>
            <w:r>
              <w:rPr>
                <w:rFonts w:ascii="Arial" w:cs="Arial" w:eastAsia="Arial" w:hAnsi="Arial"/>
                <w:sz w:val="13"/>
                <w:szCs w:val="13"/>
                <w:color w:val="auto"/>
                <w:w w:val="98"/>
              </w:rPr>
              <w:t xml:space="preserve"> H. P</w:t>
            </w:r>
            <w:r>
              <w:rPr>
                <w:rFonts w:ascii="Arial" w:cs="Arial" w:eastAsia="Arial" w:hAnsi="Arial"/>
                <w:sz w:val="11"/>
                <w:szCs w:val="11"/>
                <w:color w:val="auto"/>
                <w:w w:val="98"/>
              </w:rPr>
              <w:t>ENN</w:t>
            </w: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60" w:type="dxa"/>
            <w:vAlign w:val="bottom"/>
            <w:gridSpan w:val="2"/>
          </w:tcPr>
          <w:p>
            <w:pPr>
              <w:jc w:val="center"/>
              <w:ind w:right="220"/>
              <w:spacing w:after="0"/>
              <w:rPr>
                <w:sz w:val="20"/>
                <w:szCs w:val="20"/>
                <w:color w:val="auto"/>
              </w:rPr>
            </w:pPr>
            <w:r>
              <w:rPr>
                <w:rFonts w:ascii="Arial" w:cs="Arial" w:eastAsia="Arial" w:hAnsi="Arial"/>
                <w:sz w:val="13"/>
                <w:szCs w:val="13"/>
                <w:color w:val="auto"/>
                <w:w w:val="96"/>
              </w:rPr>
              <w:t>Chairman of the Board of Directors and Chief Executive Officer</w:t>
            </w:r>
          </w:p>
        </w:tc>
        <w:tc>
          <w:tcPr>
            <w:tcW w:w="2060" w:type="dxa"/>
            <w:vAlign w:val="bottom"/>
          </w:tcPr>
          <w:p>
            <w:pPr>
              <w:jc w:val="center"/>
              <w:spacing w:after="0"/>
              <w:rPr>
                <w:sz w:val="20"/>
                <w:szCs w:val="20"/>
                <w:color w:val="auto"/>
              </w:rPr>
            </w:pPr>
            <w:r>
              <w:rPr>
                <w:rFonts w:ascii="Arial" w:cs="Arial" w:eastAsia="Arial" w:hAnsi="Arial"/>
                <w:sz w:val="13"/>
                <w:szCs w:val="13"/>
                <w:color w:val="auto"/>
                <w:w w:val="94"/>
              </w:rPr>
              <w:t>November 14, 2012</w:t>
            </w:r>
          </w:p>
        </w:tc>
        <w:tc>
          <w:tcPr>
            <w:tcW w:w="0" w:type="dxa"/>
            <w:vAlign w:val="bottom"/>
          </w:tcPr>
          <w:p>
            <w:pPr>
              <w:spacing w:after="0"/>
              <w:rPr>
                <w:sz w:val="1"/>
                <w:szCs w:val="1"/>
                <w:color w:val="auto"/>
              </w:rPr>
            </w:pPr>
          </w:p>
        </w:tc>
      </w:tr>
      <w:tr>
        <w:trPr>
          <w:trHeight w:val="168"/>
        </w:trPr>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60" w:type="dxa"/>
            <w:vAlign w:val="bottom"/>
            <w:gridSpan w:val="2"/>
          </w:tcPr>
          <w:p>
            <w:pPr>
              <w:jc w:val="center"/>
              <w:ind w:right="1433"/>
              <w:spacing w:after="0"/>
              <w:rPr>
                <w:sz w:val="20"/>
                <w:szCs w:val="20"/>
                <w:color w:val="auto"/>
              </w:rPr>
            </w:pPr>
            <w:r>
              <w:rPr>
                <w:rFonts w:ascii="Arial" w:cs="Arial" w:eastAsia="Arial" w:hAnsi="Arial"/>
                <w:sz w:val="13"/>
                <w:szCs w:val="13"/>
                <w:b w:val="1"/>
                <w:bCs w:val="1"/>
                <w:color w:val="auto"/>
              </w:rPr>
              <w:t>Arthur H. Penn</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60" w:type="dxa"/>
            <w:vAlign w:val="bottom"/>
            <w:gridSpan w:val="2"/>
          </w:tcPr>
          <w:p>
            <w:pPr>
              <w:jc w:val="center"/>
              <w:ind w:right="220"/>
              <w:spacing w:after="0"/>
              <w:rPr>
                <w:sz w:val="20"/>
                <w:szCs w:val="20"/>
                <w:color w:val="auto"/>
              </w:rPr>
            </w:pPr>
            <w:r>
              <w:rPr>
                <w:rFonts w:ascii="Arial" w:cs="Arial" w:eastAsia="Arial" w:hAnsi="Arial"/>
                <w:sz w:val="13"/>
                <w:szCs w:val="13"/>
                <w:color w:val="auto"/>
                <w:w w:val="97"/>
              </w:rPr>
              <w:t>(Principal Executive Officer)</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5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w w:val="87"/>
              </w:rPr>
              <w:t>/s/</w:t>
            </w:r>
          </w:p>
        </w:tc>
        <w:tc>
          <w:tcPr>
            <w:tcW w:w="2300" w:type="dxa"/>
            <w:vAlign w:val="bottom"/>
            <w:tcBorders>
              <w:bottom w:val="single" w:sz="8" w:color="auto"/>
            </w:tcBorders>
          </w:tcPr>
          <w:p>
            <w:pPr>
              <w:jc w:val="center"/>
              <w:ind w:right="1333"/>
              <w:spacing w:after="0"/>
              <w:rPr>
                <w:sz w:val="20"/>
                <w:szCs w:val="20"/>
                <w:color w:val="auto"/>
              </w:rPr>
            </w:pPr>
            <w:r>
              <w:rPr>
                <w:rFonts w:ascii="Arial" w:cs="Arial" w:eastAsia="Arial" w:hAnsi="Arial"/>
                <w:sz w:val="13"/>
                <w:szCs w:val="13"/>
                <w:color w:val="auto"/>
              </w:rPr>
              <w:t>A</w:t>
            </w:r>
            <w:r>
              <w:rPr>
                <w:rFonts w:ascii="Arial" w:cs="Arial" w:eastAsia="Arial" w:hAnsi="Arial"/>
                <w:sz w:val="11"/>
                <w:szCs w:val="11"/>
                <w:color w:val="auto"/>
              </w:rPr>
              <w:t>VIV</w:t>
            </w:r>
            <w:r>
              <w:rPr>
                <w:rFonts w:ascii="Arial" w:cs="Arial" w:eastAsia="Arial" w:hAnsi="Arial"/>
                <w:sz w:val="13"/>
                <w:szCs w:val="13"/>
                <w:color w:val="auto"/>
              </w:rPr>
              <w:t xml:space="preserve"> E</w:t>
            </w:r>
            <w:r>
              <w:rPr>
                <w:rFonts w:ascii="Arial" w:cs="Arial" w:eastAsia="Arial" w:hAnsi="Arial"/>
                <w:sz w:val="11"/>
                <w:szCs w:val="11"/>
                <w:color w:val="auto"/>
              </w:rPr>
              <w:t>FRAT</w:t>
            </w:r>
          </w:p>
        </w:tc>
        <w:tc>
          <w:tcPr>
            <w:tcW w:w="5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060" w:type="dxa"/>
            <w:vAlign w:val="bottom"/>
            <w:gridSpan w:val="2"/>
          </w:tcPr>
          <w:p>
            <w:pPr>
              <w:jc w:val="center"/>
              <w:ind w:right="220"/>
              <w:spacing w:after="0"/>
              <w:rPr>
                <w:sz w:val="20"/>
                <w:szCs w:val="20"/>
                <w:color w:val="auto"/>
              </w:rPr>
            </w:pPr>
            <w:r>
              <w:rPr>
                <w:rFonts w:ascii="Arial" w:cs="Arial" w:eastAsia="Arial" w:hAnsi="Arial"/>
                <w:sz w:val="13"/>
                <w:szCs w:val="13"/>
                <w:color w:val="auto"/>
                <w:w w:val="95"/>
              </w:rPr>
              <w:t>Chief Financial Officer and Treasurer (Principal Financial and</w:t>
            </w:r>
          </w:p>
        </w:tc>
        <w:tc>
          <w:tcPr>
            <w:tcW w:w="2060" w:type="dxa"/>
            <w:vAlign w:val="bottom"/>
          </w:tcPr>
          <w:p>
            <w:pPr>
              <w:jc w:val="center"/>
              <w:spacing w:after="0"/>
              <w:rPr>
                <w:sz w:val="20"/>
                <w:szCs w:val="20"/>
                <w:color w:val="auto"/>
              </w:rPr>
            </w:pPr>
            <w:r>
              <w:rPr>
                <w:rFonts w:ascii="Arial" w:cs="Arial" w:eastAsia="Arial" w:hAnsi="Arial"/>
                <w:sz w:val="13"/>
                <w:szCs w:val="13"/>
                <w:color w:val="auto"/>
                <w:w w:val="94"/>
              </w:rPr>
              <w:t>November 14, 2012</w:t>
            </w:r>
          </w:p>
        </w:tc>
        <w:tc>
          <w:tcPr>
            <w:tcW w:w="0" w:type="dxa"/>
            <w:vAlign w:val="bottom"/>
          </w:tcPr>
          <w:p>
            <w:pPr>
              <w:spacing w:after="0"/>
              <w:rPr>
                <w:sz w:val="1"/>
                <w:szCs w:val="1"/>
                <w:color w:val="auto"/>
              </w:rPr>
            </w:pPr>
          </w:p>
        </w:tc>
      </w:tr>
      <w:tr>
        <w:trPr>
          <w:trHeight w:val="168"/>
        </w:trPr>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tcPr>
          <w:p>
            <w:pPr>
              <w:jc w:val="center"/>
              <w:ind w:right="1593"/>
              <w:spacing w:after="0"/>
              <w:rPr>
                <w:sz w:val="20"/>
                <w:szCs w:val="20"/>
                <w:color w:val="auto"/>
              </w:rPr>
            </w:pPr>
            <w:r>
              <w:rPr>
                <w:rFonts w:ascii="Arial" w:cs="Arial" w:eastAsia="Arial" w:hAnsi="Arial"/>
                <w:sz w:val="13"/>
                <w:szCs w:val="13"/>
                <w:b w:val="1"/>
                <w:bCs w:val="1"/>
                <w:color w:val="auto"/>
                <w:w w:val="98"/>
              </w:rPr>
              <w:t>Aviv Efrat</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60" w:type="dxa"/>
            <w:vAlign w:val="bottom"/>
            <w:gridSpan w:val="2"/>
          </w:tcPr>
          <w:p>
            <w:pPr>
              <w:jc w:val="center"/>
              <w:ind w:right="220"/>
              <w:spacing w:after="0"/>
              <w:rPr>
                <w:sz w:val="20"/>
                <w:szCs w:val="20"/>
                <w:color w:val="auto"/>
              </w:rPr>
            </w:pPr>
            <w:r>
              <w:rPr>
                <w:rFonts w:ascii="Arial" w:cs="Arial" w:eastAsia="Arial" w:hAnsi="Arial"/>
                <w:sz w:val="13"/>
                <w:szCs w:val="13"/>
                <w:color w:val="auto"/>
                <w:w w:val="97"/>
              </w:rPr>
              <w:t>Accounting Officer)</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5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ind w:left="1220"/>
              <w:spacing w:after="0"/>
              <w:rPr>
                <w:sz w:val="20"/>
                <w:szCs w:val="20"/>
                <w:color w:val="auto"/>
              </w:rPr>
            </w:pPr>
            <w:r>
              <w:rPr>
                <w:rFonts w:ascii="Arial" w:cs="Arial" w:eastAsia="Arial" w:hAnsi="Arial"/>
                <w:sz w:val="13"/>
                <w:szCs w:val="13"/>
                <w:color w:val="auto"/>
              </w:rPr>
              <w:t>/s/</w:t>
            </w:r>
          </w:p>
        </w:tc>
        <w:tc>
          <w:tcPr>
            <w:tcW w:w="2460" w:type="dxa"/>
            <w:vAlign w:val="bottom"/>
            <w:tcBorders>
              <w:bottom w:val="single" w:sz="8" w:color="auto"/>
            </w:tcBorders>
            <w:gridSpan w:val="2"/>
          </w:tcPr>
          <w:p>
            <w:pPr>
              <w:jc w:val="center"/>
              <w:ind w:right="1173"/>
              <w:spacing w:after="0"/>
              <w:rPr>
                <w:sz w:val="20"/>
                <w:szCs w:val="20"/>
                <w:color w:val="auto"/>
              </w:rPr>
            </w:pPr>
            <w:r>
              <w:rPr>
                <w:rFonts w:ascii="Arial" w:cs="Arial" w:eastAsia="Arial" w:hAnsi="Arial"/>
                <w:sz w:val="13"/>
                <w:szCs w:val="13"/>
                <w:color w:val="auto"/>
              </w:rPr>
              <w:t>A</w:t>
            </w:r>
            <w:r>
              <w:rPr>
                <w:rFonts w:ascii="Arial" w:cs="Arial" w:eastAsia="Arial" w:hAnsi="Arial"/>
                <w:sz w:val="11"/>
                <w:szCs w:val="11"/>
                <w:color w:val="auto"/>
              </w:rPr>
              <w:t>DAM</w:t>
            </w:r>
            <w:r>
              <w:rPr>
                <w:rFonts w:ascii="Arial" w:cs="Arial" w:eastAsia="Arial" w:hAnsi="Arial"/>
                <w:sz w:val="13"/>
                <w:szCs w:val="13"/>
                <w:color w:val="auto"/>
              </w:rPr>
              <w:t xml:space="preserve"> K. B</w:t>
            </w:r>
            <w:r>
              <w:rPr>
                <w:rFonts w:ascii="Arial" w:cs="Arial" w:eastAsia="Arial" w:hAnsi="Arial"/>
                <w:sz w:val="11"/>
                <w:szCs w:val="11"/>
                <w:color w:val="auto"/>
              </w:rPr>
              <w:t>ERNSTEIN</w:t>
            </w:r>
          </w:p>
        </w:tc>
        <w:tc>
          <w:tcPr>
            <w:tcW w:w="5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060" w:type="dxa"/>
            <w:vAlign w:val="bottom"/>
            <w:gridSpan w:val="2"/>
          </w:tcPr>
          <w:p>
            <w:pPr>
              <w:jc w:val="center"/>
              <w:ind w:right="220"/>
              <w:spacing w:after="0"/>
              <w:rPr>
                <w:sz w:val="20"/>
                <w:szCs w:val="20"/>
                <w:color w:val="auto"/>
              </w:rPr>
            </w:pPr>
            <w:r>
              <w:rPr>
                <w:rFonts w:ascii="Arial" w:cs="Arial" w:eastAsia="Arial" w:hAnsi="Arial"/>
                <w:sz w:val="13"/>
                <w:szCs w:val="13"/>
                <w:color w:val="auto"/>
                <w:w w:val="96"/>
              </w:rPr>
              <w:t>Director</w:t>
            </w:r>
          </w:p>
        </w:tc>
        <w:tc>
          <w:tcPr>
            <w:tcW w:w="2060" w:type="dxa"/>
            <w:vAlign w:val="bottom"/>
          </w:tcPr>
          <w:p>
            <w:pPr>
              <w:jc w:val="center"/>
              <w:spacing w:after="0"/>
              <w:rPr>
                <w:sz w:val="20"/>
                <w:szCs w:val="20"/>
                <w:color w:val="auto"/>
              </w:rPr>
            </w:pPr>
            <w:r>
              <w:rPr>
                <w:rFonts w:ascii="Arial" w:cs="Arial" w:eastAsia="Arial" w:hAnsi="Arial"/>
                <w:sz w:val="13"/>
                <w:szCs w:val="13"/>
                <w:color w:val="auto"/>
                <w:w w:val="94"/>
              </w:rPr>
              <w:t>November 14, 2012</w:t>
            </w:r>
          </w:p>
        </w:tc>
        <w:tc>
          <w:tcPr>
            <w:tcW w:w="0" w:type="dxa"/>
            <w:vAlign w:val="bottom"/>
          </w:tcPr>
          <w:p>
            <w:pPr>
              <w:spacing w:after="0"/>
              <w:rPr>
                <w:sz w:val="1"/>
                <w:szCs w:val="1"/>
                <w:color w:val="auto"/>
              </w:rPr>
            </w:pPr>
          </w:p>
        </w:tc>
      </w:tr>
      <w:tr>
        <w:trPr>
          <w:trHeight w:val="168"/>
        </w:trPr>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920" w:type="dxa"/>
            <w:vAlign w:val="bottom"/>
            <w:gridSpan w:val="3"/>
          </w:tcPr>
          <w:p>
            <w:pPr>
              <w:jc w:val="center"/>
              <w:spacing w:after="0"/>
              <w:rPr>
                <w:sz w:val="20"/>
                <w:szCs w:val="20"/>
                <w:color w:val="auto"/>
              </w:rPr>
            </w:pPr>
            <w:r>
              <w:rPr>
                <w:rFonts w:ascii="Arial" w:cs="Arial" w:eastAsia="Arial" w:hAnsi="Arial"/>
                <w:sz w:val="13"/>
                <w:szCs w:val="13"/>
                <w:b w:val="1"/>
                <w:bCs w:val="1"/>
                <w:color w:val="auto"/>
                <w:w w:val="96"/>
              </w:rPr>
              <w:t>Adam K. Bernstein</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5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2"/>
          </w:tcPr>
          <w:p>
            <w:pPr>
              <w:ind w:left="1400"/>
              <w:spacing w:after="0"/>
              <w:rPr>
                <w:sz w:val="20"/>
                <w:szCs w:val="20"/>
                <w:color w:val="auto"/>
              </w:rPr>
            </w:pPr>
            <w:r>
              <w:rPr>
                <w:rFonts w:ascii="Arial" w:cs="Arial" w:eastAsia="Arial" w:hAnsi="Arial"/>
                <w:sz w:val="13"/>
                <w:szCs w:val="13"/>
                <w:color w:val="auto"/>
              </w:rPr>
              <w:t>/s/</w:t>
            </w:r>
          </w:p>
        </w:tc>
        <w:tc>
          <w:tcPr>
            <w:tcW w:w="2300" w:type="dxa"/>
            <w:vAlign w:val="bottom"/>
            <w:tcBorders>
              <w:bottom w:val="single" w:sz="8" w:color="auto"/>
            </w:tcBorders>
          </w:tcPr>
          <w:p>
            <w:pPr>
              <w:jc w:val="center"/>
              <w:ind w:right="1313"/>
              <w:spacing w:after="0"/>
              <w:rPr>
                <w:sz w:val="20"/>
                <w:szCs w:val="20"/>
                <w:color w:val="auto"/>
              </w:rPr>
            </w:pPr>
            <w:r>
              <w:rPr>
                <w:rFonts w:ascii="Arial" w:cs="Arial" w:eastAsia="Arial" w:hAnsi="Arial"/>
                <w:sz w:val="13"/>
                <w:szCs w:val="13"/>
                <w:color w:val="auto"/>
                <w:w w:val="95"/>
              </w:rPr>
              <w:t>J</w:t>
            </w:r>
            <w:r>
              <w:rPr>
                <w:rFonts w:ascii="Arial" w:cs="Arial" w:eastAsia="Arial" w:hAnsi="Arial"/>
                <w:sz w:val="11"/>
                <w:szCs w:val="11"/>
                <w:color w:val="auto"/>
                <w:w w:val="95"/>
              </w:rPr>
              <w:t>EFFREY</w:t>
            </w:r>
            <w:r>
              <w:rPr>
                <w:rFonts w:ascii="Arial" w:cs="Arial" w:eastAsia="Arial" w:hAnsi="Arial"/>
                <w:sz w:val="13"/>
                <w:szCs w:val="13"/>
                <w:color w:val="auto"/>
                <w:w w:val="95"/>
              </w:rPr>
              <w:t xml:space="preserve"> F</w:t>
            </w:r>
            <w:r>
              <w:rPr>
                <w:rFonts w:ascii="Arial" w:cs="Arial" w:eastAsia="Arial" w:hAnsi="Arial"/>
                <w:sz w:val="11"/>
                <w:szCs w:val="11"/>
                <w:color w:val="auto"/>
                <w:w w:val="95"/>
              </w:rPr>
              <w:t>LUG</w:t>
            </w:r>
          </w:p>
        </w:tc>
        <w:tc>
          <w:tcPr>
            <w:tcW w:w="5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060" w:type="dxa"/>
            <w:vAlign w:val="bottom"/>
            <w:gridSpan w:val="2"/>
          </w:tcPr>
          <w:p>
            <w:pPr>
              <w:jc w:val="center"/>
              <w:ind w:right="220"/>
              <w:spacing w:after="0"/>
              <w:rPr>
                <w:sz w:val="20"/>
                <w:szCs w:val="20"/>
                <w:color w:val="auto"/>
              </w:rPr>
            </w:pPr>
            <w:r>
              <w:rPr>
                <w:rFonts w:ascii="Arial" w:cs="Arial" w:eastAsia="Arial" w:hAnsi="Arial"/>
                <w:sz w:val="13"/>
                <w:szCs w:val="13"/>
                <w:color w:val="auto"/>
                <w:w w:val="96"/>
              </w:rPr>
              <w:t>Director</w:t>
            </w:r>
          </w:p>
        </w:tc>
        <w:tc>
          <w:tcPr>
            <w:tcW w:w="2060" w:type="dxa"/>
            <w:vAlign w:val="bottom"/>
          </w:tcPr>
          <w:p>
            <w:pPr>
              <w:jc w:val="center"/>
              <w:spacing w:after="0"/>
              <w:rPr>
                <w:sz w:val="20"/>
                <w:szCs w:val="20"/>
                <w:color w:val="auto"/>
              </w:rPr>
            </w:pPr>
            <w:r>
              <w:rPr>
                <w:rFonts w:ascii="Arial" w:cs="Arial" w:eastAsia="Arial" w:hAnsi="Arial"/>
                <w:sz w:val="13"/>
                <w:szCs w:val="13"/>
                <w:color w:val="auto"/>
                <w:w w:val="94"/>
              </w:rPr>
              <w:t>November 14, 2012</w:t>
            </w:r>
          </w:p>
        </w:tc>
        <w:tc>
          <w:tcPr>
            <w:tcW w:w="0" w:type="dxa"/>
            <w:vAlign w:val="bottom"/>
          </w:tcPr>
          <w:p>
            <w:pPr>
              <w:spacing w:after="0"/>
              <w:rPr>
                <w:sz w:val="1"/>
                <w:szCs w:val="1"/>
                <w:color w:val="auto"/>
              </w:rPr>
            </w:pPr>
          </w:p>
        </w:tc>
      </w:tr>
      <w:tr>
        <w:trPr>
          <w:trHeight w:val="168"/>
        </w:trPr>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60" w:type="dxa"/>
            <w:vAlign w:val="bottom"/>
            <w:gridSpan w:val="2"/>
          </w:tcPr>
          <w:p>
            <w:pPr>
              <w:jc w:val="center"/>
              <w:ind w:right="1413"/>
              <w:spacing w:after="0"/>
              <w:rPr>
                <w:sz w:val="20"/>
                <w:szCs w:val="20"/>
                <w:color w:val="auto"/>
              </w:rPr>
            </w:pPr>
            <w:r>
              <w:rPr>
                <w:rFonts w:ascii="Arial" w:cs="Arial" w:eastAsia="Arial" w:hAnsi="Arial"/>
                <w:sz w:val="13"/>
                <w:szCs w:val="13"/>
                <w:b w:val="1"/>
                <w:bCs w:val="1"/>
                <w:color w:val="auto"/>
                <w:w w:val="94"/>
              </w:rPr>
              <w:t>Jeffrey Flug</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5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ind w:left="1220"/>
              <w:spacing w:after="0"/>
              <w:rPr>
                <w:sz w:val="20"/>
                <w:szCs w:val="20"/>
                <w:color w:val="auto"/>
              </w:rPr>
            </w:pPr>
            <w:r>
              <w:rPr>
                <w:rFonts w:ascii="Arial" w:cs="Arial" w:eastAsia="Arial" w:hAnsi="Arial"/>
                <w:sz w:val="13"/>
                <w:szCs w:val="13"/>
                <w:color w:val="auto"/>
              </w:rPr>
              <w:t>/s/</w:t>
            </w:r>
          </w:p>
        </w:tc>
        <w:tc>
          <w:tcPr>
            <w:tcW w:w="2460" w:type="dxa"/>
            <w:vAlign w:val="bottom"/>
            <w:tcBorders>
              <w:bottom w:val="single" w:sz="8" w:color="auto"/>
            </w:tcBorders>
            <w:gridSpan w:val="2"/>
          </w:tcPr>
          <w:p>
            <w:pPr>
              <w:jc w:val="center"/>
              <w:ind w:right="1153"/>
              <w:spacing w:after="0"/>
              <w:rPr>
                <w:sz w:val="20"/>
                <w:szCs w:val="20"/>
                <w:color w:val="auto"/>
              </w:rPr>
            </w:pPr>
            <w:r>
              <w:rPr>
                <w:rFonts w:ascii="Arial" w:cs="Arial" w:eastAsia="Arial" w:hAnsi="Arial"/>
                <w:sz w:val="13"/>
                <w:szCs w:val="13"/>
                <w:color w:val="auto"/>
              </w:rPr>
              <w:t>M</w:t>
            </w:r>
            <w:r>
              <w:rPr>
                <w:rFonts w:ascii="Arial" w:cs="Arial" w:eastAsia="Arial" w:hAnsi="Arial"/>
                <w:sz w:val="11"/>
                <w:szCs w:val="11"/>
                <w:color w:val="auto"/>
              </w:rPr>
              <w:t>ARSHALL</w:t>
            </w:r>
            <w:r>
              <w:rPr>
                <w:rFonts w:ascii="Arial" w:cs="Arial" w:eastAsia="Arial" w:hAnsi="Arial"/>
                <w:sz w:val="13"/>
                <w:szCs w:val="13"/>
                <w:color w:val="auto"/>
              </w:rPr>
              <w:t xml:space="preserve"> B</w:t>
            </w:r>
            <w:r>
              <w:rPr>
                <w:rFonts w:ascii="Arial" w:cs="Arial" w:eastAsia="Arial" w:hAnsi="Arial"/>
                <w:sz w:val="11"/>
                <w:szCs w:val="11"/>
                <w:color w:val="auto"/>
              </w:rPr>
              <w:t>ROZOST</w:t>
            </w:r>
          </w:p>
        </w:tc>
        <w:tc>
          <w:tcPr>
            <w:tcW w:w="5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060" w:type="dxa"/>
            <w:vAlign w:val="bottom"/>
            <w:gridSpan w:val="2"/>
          </w:tcPr>
          <w:p>
            <w:pPr>
              <w:jc w:val="center"/>
              <w:ind w:right="220"/>
              <w:spacing w:after="0"/>
              <w:rPr>
                <w:sz w:val="20"/>
                <w:szCs w:val="20"/>
                <w:color w:val="auto"/>
              </w:rPr>
            </w:pPr>
            <w:r>
              <w:rPr>
                <w:rFonts w:ascii="Arial" w:cs="Arial" w:eastAsia="Arial" w:hAnsi="Arial"/>
                <w:sz w:val="13"/>
                <w:szCs w:val="13"/>
                <w:color w:val="auto"/>
                <w:w w:val="96"/>
              </w:rPr>
              <w:t>Director</w:t>
            </w:r>
          </w:p>
        </w:tc>
        <w:tc>
          <w:tcPr>
            <w:tcW w:w="2060" w:type="dxa"/>
            <w:vAlign w:val="bottom"/>
          </w:tcPr>
          <w:p>
            <w:pPr>
              <w:jc w:val="center"/>
              <w:spacing w:after="0"/>
              <w:rPr>
                <w:sz w:val="20"/>
                <w:szCs w:val="20"/>
                <w:color w:val="auto"/>
              </w:rPr>
            </w:pPr>
            <w:r>
              <w:rPr>
                <w:rFonts w:ascii="Arial" w:cs="Arial" w:eastAsia="Arial" w:hAnsi="Arial"/>
                <w:sz w:val="13"/>
                <w:szCs w:val="13"/>
                <w:color w:val="auto"/>
                <w:w w:val="94"/>
              </w:rPr>
              <w:t>November 14, 2012</w:t>
            </w:r>
          </w:p>
        </w:tc>
        <w:tc>
          <w:tcPr>
            <w:tcW w:w="0" w:type="dxa"/>
            <w:vAlign w:val="bottom"/>
          </w:tcPr>
          <w:p>
            <w:pPr>
              <w:spacing w:after="0"/>
              <w:rPr>
                <w:sz w:val="1"/>
                <w:szCs w:val="1"/>
                <w:color w:val="auto"/>
              </w:rPr>
            </w:pPr>
          </w:p>
        </w:tc>
      </w:tr>
      <w:tr>
        <w:trPr>
          <w:trHeight w:val="168"/>
        </w:trPr>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920" w:type="dxa"/>
            <w:vAlign w:val="bottom"/>
            <w:gridSpan w:val="3"/>
          </w:tcPr>
          <w:p>
            <w:pPr>
              <w:jc w:val="center"/>
              <w:spacing w:after="0"/>
              <w:rPr>
                <w:sz w:val="20"/>
                <w:szCs w:val="20"/>
                <w:color w:val="auto"/>
              </w:rPr>
            </w:pPr>
            <w:r>
              <w:rPr>
                <w:rFonts w:ascii="Arial" w:cs="Arial" w:eastAsia="Arial" w:hAnsi="Arial"/>
                <w:sz w:val="13"/>
                <w:szCs w:val="13"/>
                <w:b w:val="1"/>
                <w:bCs w:val="1"/>
                <w:color w:val="auto"/>
                <w:w w:val="95"/>
              </w:rPr>
              <w:t>Marshall Brozost</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5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ind w:left="1340"/>
              <w:spacing w:after="0"/>
              <w:rPr>
                <w:sz w:val="20"/>
                <w:szCs w:val="20"/>
                <w:color w:val="auto"/>
              </w:rPr>
            </w:pPr>
            <w:r>
              <w:rPr>
                <w:rFonts w:ascii="Arial" w:cs="Arial" w:eastAsia="Arial" w:hAnsi="Arial"/>
                <w:sz w:val="13"/>
                <w:szCs w:val="13"/>
                <w:color w:val="auto"/>
                <w:w w:val="72"/>
              </w:rPr>
              <w:t>/s/</w:t>
            </w:r>
          </w:p>
        </w:tc>
        <w:tc>
          <w:tcPr>
            <w:tcW w:w="2460" w:type="dxa"/>
            <w:vAlign w:val="bottom"/>
            <w:tcBorders>
              <w:bottom w:val="single" w:sz="8" w:color="auto"/>
            </w:tcBorders>
            <w:gridSpan w:val="2"/>
          </w:tcPr>
          <w:p>
            <w:pPr>
              <w:jc w:val="center"/>
              <w:ind w:right="1153"/>
              <w:spacing w:after="0"/>
              <w:rPr>
                <w:sz w:val="20"/>
                <w:szCs w:val="20"/>
                <w:color w:val="auto"/>
              </w:rPr>
            </w:pPr>
            <w:r>
              <w:rPr>
                <w:rFonts w:ascii="Arial" w:cs="Arial" w:eastAsia="Arial" w:hAnsi="Arial"/>
                <w:sz w:val="13"/>
                <w:szCs w:val="13"/>
                <w:color w:val="auto"/>
              </w:rPr>
              <w:t>S</w:t>
            </w:r>
            <w:r>
              <w:rPr>
                <w:rFonts w:ascii="Arial" w:cs="Arial" w:eastAsia="Arial" w:hAnsi="Arial"/>
                <w:sz w:val="11"/>
                <w:szCs w:val="11"/>
                <w:color w:val="auto"/>
              </w:rPr>
              <w:t>AMUEL</w:t>
            </w:r>
            <w:r>
              <w:rPr>
                <w:rFonts w:ascii="Arial" w:cs="Arial" w:eastAsia="Arial" w:hAnsi="Arial"/>
                <w:sz w:val="13"/>
                <w:szCs w:val="13"/>
                <w:color w:val="auto"/>
              </w:rPr>
              <w:t xml:space="preserve"> L. K</w:t>
            </w:r>
            <w:r>
              <w:rPr>
                <w:rFonts w:ascii="Arial" w:cs="Arial" w:eastAsia="Arial" w:hAnsi="Arial"/>
                <w:sz w:val="11"/>
                <w:szCs w:val="11"/>
                <w:color w:val="auto"/>
              </w:rPr>
              <w:t>ATZ</w:t>
            </w:r>
          </w:p>
        </w:tc>
        <w:tc>
          <w:tcPr>
            <w:tcW w:w="5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060" w:type="dxa"/>
            <w:vAlign w:val="bottom"/>
            <w:gridSpan w:val="2"/>
          </w:tcPr>
          <w:p>
            <w:pPr>
              <w:jc w:val="center"/>
              <w:ind w:right="220"/>
              <w:spacing w:after="0"/>
              <w:rPr>
                <w:sz w:val="20"/>
                <w:szCs w:val="20"/>
                <w:color w:val="auto"/>
              </w:rPr>
            </w:pPr>
            <w:r>
              <w:rPr>
                <w:rFonts w:ascii="Arial" w:cs="Arial" w:eastAsia="Arial" w:hAnsi="Arial"/>
                <w:sz w:val="13"/>
                <w:szCs w:val="13"/>
                <w:color w:val="auto"/>
                <w:w w:val="96"/>
              </w:rPr>
              <w:t>Director</w:t>
            </w:r>
          </w:p>
        </w:tc>
        <w:tc>
          <w:tcPr>
            <w:tcW w:w="2060" w:type="dxa"/>
            <w:vAlign w:val="bottom"/>
          </w:tcPr>
          <w:p>
            <w:pPr>
              <w:jc w:val="center"/>
              <w:spacing w:after="0"/>
              <w:rPr>
                <w:sz w:val="20"/>
                <w:szCs w:val="20"/>
                <w:color w:val="auto"/>
              </w:rPr>
            </w:pPr>
            <w:r>
              <w:rPr>
                <w:rFonts w:ascii="Arial" w:cs="Arial" w:eastAsia="Arial" w:hAnsi="Arial"/>
                <w:sz w:val="13"/>
                <w:szCs w:val="13"/>
                <w:color w:val="auto"/>
                <w:w w:val="94"/>
              </w:rPr>
              <w:t>November 14, 2012</w:t>
            </w:r>
          </w:p>
        </w:tc>
        <w:tc>
          <w:tcPr>
            <w:tcW w:w="0" w:type="dxa"/>
            <w:vAlign w:val="bottom"/>
          </w:tcPr>
          <w:p>
            <w:pPr>
              <w:spacing w:after="0"/>
              <w:rPr>
                <w:sz w:val="1"/>
                <w:szCs w:val="1"/>
                <w:color w:val="auto"/>
              </w:rPr>
            </w:pPr>
          </w:p>
        </w:tc>
      </w:tr>
      <w:tr>
        <w:trPr>
          <w:trHeight w:val="168"/>
        </w:trPr>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60" w:type="dxa"/>
            <w:vAlign w:val="bottom"/>
            <w:gridSpan w:val="2"/>
          </w:tcPr>
          <w:p>
            <w:pPr>
              <w:jc w:val="center"/>
              <w:ind w:right="1413"/>
              <w:spacing w:after="0"/>
              <w:rPr>
                <w:sz w:val="20"/>
                <w:szCs w:val="20"/>
                <w:color w:val="auto"/>
              </w:rPr>
            </w:pPr>
            <w:r>
              <w:rPr>
                <w:rFonts w:ascii="Arial" w:cs="Arial" w:eastAsia="Arial" w:hAnsi="Arial"/>
                <w:sz w:val="13"/>
                <w:szCs w:val="13"/>
                <w:b w:val="1"/>
                <w:bCs w:val="1"/>
                <w:color w:val="auto"/>
                <w:w w:val="97"/>
              </w:rPr>
              <w:t>Samuel L. Katz</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500" w:type="dxa"/>
            <w:vAlign w:val="bottom"/>
            <w:gridSpan w:val="3"/>
          </w:tcPr>
          <w:p>
            <w:pPr>
              <w:jc w:val="right"/>
              <w:ind w:right="3213"/>
              <w:spacing w:after="0"/>
              <w:rPr>
                <w:sz w:val="20"/>
                <w:szCs w:val="20"/>
                <w:color w:val="auto"/>
              </w:rPr>
            </w:pPr>
            <w:r>
              <w:rPr>
                <w:rFonts w:ascii="Arial" w:cs="Arial" w:eastAsia="Arial" w:hAnsi="Arial"/>
                <w:sz w:val="13"/>
                <w:szCs w:val="13"/>
                <w:color w:val="auto"/>
              </w:rPr>
              <w:t>81</w:t>
            </w:r>
          </w:p>
        </w:tc>
        <w:tc>
          <w:tcPr>
            <w:tcW w:w="2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14.1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CODE OF ETHICS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ADVISERS, LLC</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I Statement of General Fiduciary Principles</w:t>
      </w:r>
    </w:p>
    <w:p>
      <w:pPr>
        <w:spacing w:after="0" w:line="96" w:lineRule="exact"/>
        <w:rPr>
          <w:sz w:val="20"/>
          <w:szCs w:val="20"/>
          <w:color w:val="auto"/>
        </w:rPr>
      </w:pPr>
    </w:p>
    <w:p>
      <w:pPr>
        <w:ind w:firstLine="898"/>
        <w:spacing w:after="0" w:line="288" w:lineRule="auto"/>
        <w:rPr>
          <w:sz w:val="20"/>
          <w:szCs w:val="20"/>
          <w:color w:val="auto"/>
        </w:rPr>
      </w:pPr>
      <w:r>
        <w:rPr>
          <w:rFonts w:ascii="Arial" w:cs="Arial" w:eastAsia="Arial" w:hAnsi="Arial"/>
          <w:sz w:val="16"/>
          <w:szCs w:val="16"/>
          <w:color w:val="auto"/>
        </w:rPr>
        <w:t>This Joint Code of Ethics (the “Code”) has been adopted by each of PennantPark Investment Corporation, PennantPark Floating Rate Capital, Ltd. (each individually, the “Corporation”), and PennantPark Investment Advisers, LLC, the Corporations’ investment adviser (the “Adviser”), in compliance with Rule 17j-1 under the Investment Company Act of 1940 (the “Act”) and Section 204A of the Investment Advisers Act of 1940 (the “Advisers Act”). The purpose of the Code is to establish standards and procedures for the detection and prevention of activities by which persons having knowledge of the investments and investment intentions of the Corporations may abuse their fiduciary duty to the Corporations, and otherwise to deal with the types of conflict of interest situations to which Rule 17j-1 is addressed. As it relates to Section 204A of the Advisers Act, the purpose of this Code is to establish procedures that, taking into consideration the nature of the Adviser’s business, are reasonably designed to prevent misuse of material non-public information in violation of the federal securities laws by persons associated with the Adviser.</w:t>
      </w:r>
    </w:p>
    <w:p>
      <w:pPr>
        <w:spacing w:after="0" w:line="124" w:lineRule="exact"/>
        <w:rPr>
          <w:sz w:val="20"/>
          <w:szCs w:val="20"/>
          <w:color w:val="auto"/>
        </w:rPr>
      </w:pPr>
    </w:p>
    <w:p>
      <w:pPr>
        <w:ind w:right="220" w:firstLine="898"/>
        <w:spacing w:after="0" w:line="253" w:lineRule="auto"/>
        <w:rPr>
          <w:sz w:val="20"/>
          <w:szCs w:val="20"/>
          <w:color w:val="auto"/>
        </w:rPr>
      </w:pPr>
      <w:r>
        <w:rPr>
          <w:rFonts w:ascii="Arial" w:cs="Arial" w:eastAsia="Arial" w:hAnsi="Arial"/>
          <w:sz w:val="18"/>
          <w:szCs w:val="18"/>
          <w:color w:val="auto"/>
        </w:rPr>
        <w:t>The Code is based on the principle that the directors and officers of the Corporations, and the managers, partners, officers and employees of the Adviser, who provide services to the Corporations, owe a fiduciary duty to the Corporations to conduct their personal securities transactions in a manner that does not interfere with the Corporations’ transactions or otherwise take unfair advantage of their relationship with the Corporations. All directors, managers, partners, officers and employees of the Corporations, and the Adviser (“Covered Personnel”) are expected to adhere to this general principle as well as to comply with all of the specific provisions of this Code that are applicable to them. Any Covered Personnel who is affiliated with another entity that is a registered investment adviser is, in addition, expected to comply with the provisions of the code of ethics that has been adopted by such other investment adviser.</w:t>
      </w:r>
    </w:p>
    <w:p>
      <w:pPr>
        <w:spacing w:after="0" w:line="147" w:lineRule="exact"/>
        <w:rPr>
          <w:sz w:val="20"/>
          <w:szCs w:val="20"/>
          <w:color w:val="auto"/>
        </w:rPr>
      </w:pPr>
    </w:p>
    <w:p>
      <w:pPr>
        <w:ind w:right="60" w:firstLine="898"/>
        <w:spacing w:after="0" w:line="256" w:lineRule="auto"/>
        <w:rPr>
          <w:sz w:val="20"/>
          <w:szCs w:val="20"/>
          <w:color w:val="auto"/>
        </w:rPr>
      </w:pPr>
      <w:r>
        <w:rPr>
          <w:rFonts w:ascii="Arial" w:cs="Arial" w:eastAsia="Arial" w:hAnsi="Arial"/>
          <w:sz w:val="18"/>
          <w:szCs w:val="18"/>
          <w:color w:val="auto"/>
        </w:rPr>
        <w:t>Technical compliance with the Code will not automatically insulate any Covered Personnel from scrutiny of transactions that show a pattern of compromise or abuse of the individual’s fiduciary duty to the Corporation. Accordingly, all Covered Personnel must seek to avoid any actual or potential conflicts between their personal interests and the interests of the Corporation and its shareholders. In sum, all Covered Personnel shall place the interests of the Corporation before their own personal interests.</w:t>
      </w:r>
    </w:p>
    <w:p>
      <w:pPr>
        <w:spacing w:after="0" w:line="14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All Covered Personnel must read and retain this Code.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II Definitions</w:t>
      </w:r>
    </w:p>
    <w:p>
      <w:pPr>
        <w:spacing w:after="0" w:line="96" w:lineRule="exact"/>
        <w:rPr>
          <w:sz w:val="20"/>
          <w:szCs w:val="20"/>
          <w:color w:val="auto"/>
        </w:rPr>
      </w:pPr>
    </w:p>
    <w:p>
      <w:pPr>
        <w:ind w:left="900" w:hanging="447"/>
        <w:spacing w:after="0"/>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“Access Person” means any director, officer, general partner or Advisory Person (as defined below) of the Corporations or the Adviser.</w:t>
      </w:r>
    </w:p>
    <w:p>
      <w:pPr>
        <w:spacing w:after="0" w:line="113" w:lineRule="exact"/>
        <w:rPr>
          <w:rFonts w:ascii="Arial" w:cs="Arial" w:eastAsia="Arial" w:hAnsi="Arial"/>
          <w:sz w:val="16"/>
          <w:szCs w:val="16"/>
          <w:color w:val="auto"/>
        </w:rPr>
      </w:pPr>
    </w:p>
    <w:p>
      <w:pPr>
        <w:ind w:left="900" w:right="60" w:hanging="447"/>
        <w:spacing w:after="0" w:line="291"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An “Advisory Person” of the Corporation or the Adviser means: (i) any employee of the Corporation or the Adviser, or any company in a Control (as defined below) relationship to the Corporation or the Adviser, who in connection with his or her regular functions or duties makes, participates in, or obtains information regarding the purchase or sale of any Covered Security (as defined below) by the Corporation, or whose functions relate to the making of any recommendation with respect to such purchases or sales; and (ii) any natural person in a Control relationship to the Corporation or the Adviser, who obtains information concerning recommendations made to the Corporation with regard to the purchase or sale of any Covered Security by the Corporation.</w:t>
      </w:r>
    </w:p>
    <w:p>
      <w:pPr>
        <w:spacing w:after="0" w:line="38" w:lineRule="exact"/>
        <w:rPr>
          <w:rFonts w:ascii="Arial" w:cs="Arial" w:eastAsia="Arial" w:hAnsi="Arial"/>
          <w:sz w:val="16"/>
          <w:szCs w:val="16"/>
          <w:color w:val="auto"/>
        </w:rPr>
      </w:pPr>
    </w:p>
    <w:p>
      <w:pPr>
        <w:ind w:left="900" w:right="220" w:hanging="447"/>
        <w:spacing w:after="0" w:line="259"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“Beneficial Ownership” is interpreted in the same manner as it would be under Rule 16a-1(a)(2) under the Securities Exchange Act of 1934 (the “1934 Act”) in determining whether a person is a beneficial owner of a security for purposes of Section 16 of the 1934 Act and the rules and regulations thereunder.</w:t>
      </w:r>
    </w:p>
    <w:p>
      <w:pPr>
        <w:spacing w:after="0" w:line="58" w:lineRule="exact"/>
        <w:rPr>
          <w:rFonts w:ascii="Arial" w:cs="Arial" w:eastAsia="Arial" w:hAnsi="Arial"/>
          <w:sz w:val="18"/>
          <w:szCs w:val="18"/>
          <w:color w:val="auto"/>
        </w:rPr>
      </w:pPr>
    </w:p>
    <w:p>
      <w:pPr>
        <w:ind w:left="900" w:right="40" w:hanging="447"/>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“Chief Compliance Officer” means the Chief Compliance Officer of the Corporation (who also may serve as the compliance officer of the Adviser and/or one or more affiliates of the Adviser).</w:t>
      </w:r>
    </w:p>
    <w:p>
      <w:pPr>
        <w:sectPr>
          <w:pgSz w:w="11900" w:h="16838" w:orient="portrait"/>
          <w:cols w:equalWidth="0" w:num="1">
            <w:col w:w="11240"/>
          </w:cols>
          <w:pgMar w:left="320" w:top="125" w:right="339" w:bottom="1440" w:gutter="0" w:footer="0" w:header="0"/>
        </w:sectPr>
      </w:pPr>
    </w:p>
    <w:bookmarkStart w:id="84" w:name="page85"/>
    <w:bookmarkEnd w:id="84"/>
    <w:p>
      <w:pPr>
        <w:ind w:left="900" w:hanging="447"/>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“Control” shall have the same meaning as that set forth in Section 2(a)(9) of the Act.</w:t>
      </w:r>
    </w:p>
    <w:p>
      <w:pPr>
        <w:spacing w:after="0" w:line="90" w:lineRule="exact"/>
        <w:rPr>
          <w:rFonts w:ascii="Arial" w:cs="Arial" w:eastAsia="Arial" w:hAnsi="Arial"/>
          <w:sz w:val="18"/>
          <w:szCs w:val="18"/>
          <w:color w:val="auto"/>
        </w:rPr>
      </w:pPr>
    </w:p>
    <w:p>
      <w:pPr>
        <w:ind w:left="900" w:right="40" w:hanging="447"/>
        <w:spacing w:after="0" w:line="288" w:lineRule="auto"/>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“Covered Security” means a security as defined in Section 2(a)(36) of the Act, which includes: any note, stock, treasury stock, security future, bond, debenture, evidence of indebtedness, certificate of interest or participation in any profit-sharing agreement, collateral-trust certificate, pre-organization certificate or subscription, transferable share, investment contract, voting-trust certificate, certificate of deposit for a security, fractional undivided interest in oil, gas, or other mineral rights, any put, call, straddle, option, or privilege on any security (including a certificate of deposit) or on any group or index of securities (including any interest therein or based on the value thereof), or any put, call, straddle, option, or privilege entered into on a national securities exchange relating to foreign currency, or, in general, any interest or instrument commonly known as a “security,” or any certificate of interest or participation in, temporary or interim certificate for, receipt for, guarantee of, or warrant or right to subscribe to or purchase, any of the foregoing.</w:t>
      </w:r>
    </w:p>
    <w:p>
      <w:pPr>
        <w:spacing w:after="0" w:line="42" w:lineRule="exact"/>
        <w:rPr>
          <w:rFonts w:ascii="Arial" w:cs="Arial" w:eastAsia="Arial" w:hAnsi="Arial"/>
          <w:sz w:val="16"/>
          <w:szCs w:val="16"/>
          <w:color w:val="auto"/>
        </w:rPr>
      </w:pPr>
    </w:p>
    <w:p>
      <w:pPr>
        <w:ind w:left="900"/>
        <w:spacing w:after="0" w:line="288" w:lineRule="auto"/>
        <w:rPr>
          <w:rFonts w:ascii="Arial" w:cs="Arial" w:eastAsia="Arial" w:hAnsi="Arial"/>
          <w:sz w:val="16"/>
          <w:szCs w:val="16"/>
          <w:color w:val="auto"/>
        </w:rPr>
      </w:pPr>
      <w:r>
        <w:rPr>
          <w:rFonts w:ascii="Arial" w:cs="Arial" w:eastAsia="Arial" w:hAnsi="Arial"/>
          <w:sz w:val="16"/>
          <w:szCs w:val="16"/>
          <w:color w:val="auto"/>
        </w:rPr>
        <w:t>Except that “Covered Security” does not include: (i) direct obligations of the Government of the United States; (ii) bankers’ acceptances, bank certificates of deposit, commercial paper and high quality short-term debt instruments, including repurchase agreements; and (iii) shares issued by open-end investment companies registered under the Act. References to a Covered Security in this Code (e.g., a prohibition or requirement applicable to the purchase or sale of a Covered Security) shall be deemed to refer to and to include any warrant for, option in, or security immediately convertible into that Covered Security, and shall also include any instrument that has an investment return or value that is based, in whole or in part, on that Covered Security (collectively, “Derivatives”). Therefore, except as otherwise specifically provided by this Code: (i) any prohibition or requirement of this Code applicable to the purchase or sale of a Covered Security shall also be applicable to the purchase or sale of a Derivative relating to that Covered Security; and (ii) any prohibition or requirement of this Code applicable to the purchase or sale of a Derivative shall also be applicable to the purchase or sale of a Covered Security relating to that Derivative.</w:t>
      </w:r>
    </w:p>
    <w:p>
      <w:pPr>
        <w:spacing w:after="0" w:line="37" w:lineRule="exact"/>
        <w:rPr>
          <w:rFonts w:ascii="Arial" w:cs="Arial" w:eastAsia="Arial" w:hAnsi="Arial"/>
          <w:sz w:val="16"/>
          <w:szCs w:val="16"/>
          <w:color w:val="auto"/>
        </w:rPr>
      </w:pPr>
    </w:p>
    <w:p>
      <w:pPr>
        <w:ind w:left="900" w:right="820" w:hanging="447"/>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“Independent Director” means a director of the Corporation who is not an “interested person” of the Corporation within the meaning of Section 2(a)(19) of the Act.</w:t>
      </w:r>
    </w:p>
    <w:p>
      <w:pPr>
        <w:spacing w:after="0" w:line="50" w:lineRule="exact"/>
        <w:rPr>
          <w:rFonts w:ascii="Arial" w:cs="Arial" w:eastAsia="Arial" w:hAnsi="Arial"/>
          <w:sz w:val="18"/>
          <w:szCs w:val="18"/>
          <w:color w:val="auto"/>
        </w:rPr>
      </w:pPr>
    </w:p>
    <w:p>
      <w:pPr>
        <w:ind w:left="900" w:right="660" w:hanging="447"/>
        <w:spacing w:after="0" w:line="331" w:lineRule="auto"/>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“Initial Public Offering” means an offering of securities registered under the Securities Act of 1933 (the “1933 Act”), the issuer of which, immediately before the registration, was not subject to the reporting requirements of Sections 13 or 15(d) of the 1934 Act.</w:t>
      </w:r>
    </w:p>
    <w:p>
      <w:pPr>
        <w:spacing w:after="0" w:line="5" w:lineRule="exact"/>
        <w:rPr>
          <w:rFonts w:ascii="Arial" w:cs="Arial" w:eastAsia="Arial" w:hAnsi="Arial"/>
          <w:sz w:val="16"/>
          <w:szCs w:val="16"/>
          <w:color w:val="auto"/>
        </w:rPr>
      </w:pPr>
    </w:p>
    <w:p>
      <w:pPr>
        <w:ind w:left="900" w:right="440" w:hanging="447"/>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“Limited Offering” means an offering that is exempt from registration under the 1933 Act pursuant to Section 4(2) or Section 4(6) thereof or pursuant to Rule 504, Rule 505, or Rule 506 thereunder.</w:t>
      </w:r>
    </w:p>
    <w:p>
      <w:pPr>
        <w:spacing w:after="0" w:line="50" w:lineRule="exact"/>
        <w:rPr>
          <w:rFonts w:ascii="Arial" w:cs="Arial" w:eastAsia="Arial" w:hAnsi="Arial"/>
          <w:sz w:val="18"/>
          <w:szCs w:val="18"/>
          <w:color w:val="auto"/>
        </w:rPr>
      </w:pPr>
    </w:p>
    <w:p>
      <w:pPr>
        <w:ind w:left="900" w:right="420" w:hanging="447"/>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“Restricted List” means the “Pipeline” report of potential investments combined with the current holdings of the clients. PennantPark Access Persons are restricted from trading any security on the Restricted List.</w:t>
      </w:r>
    </w:p>
    <w:p>
      <w:pPr>
        <w:spacing w:after="0" w:line="51" w:lineRule="exact"/>
        <w:rPr>
          <w:sz w:val="20"/>
          <w:szCs w:val="20"/>
          <w:color w:val="auto"/>
        </w:rPr>
      </w:pPr>
    </w:p>
    <w:p>
      <w:pPr>
        <w:ind w:left="900" w:right="180" w:hanging="439"/>
        <w:spacing w:after="0" w:line="306" w:lineRule="auto"/>
        <w:tabs>
          <w:tab w:leader="none" w:pos="880" w:val="left"/>
        </w:tabs>
        <w:rPr>
          <w:sz w:val="20"/>
          <w:szCs w:val="20"/>
          <w:color w:val="auto"/>
        </w:rPr>
      </w:pPr>
      <w:r>
        <w:rPr>
          <w:rFonts w:ascii="Arial" w:cs="Arial" w:eastAsia="Arial" w:hAnsi="Arial"/>
          <w:sz w:val="16"/>
          <w:szCs w:val="16"/>
          <w:color w:val="auto"/>
        </w:rPr>
        <w:t>(KJ)</w:t>
        <w:tab/>
        <w:t>“Security Held or to be Acquired” by the Corporation means: (i) any Covered Security which, within the most recent 15 days: (A) is or has been held by the Corporation; or (B) is being or has been considered by the Corporation or the Adviser for purchase by the Corporation; and (ii) any option to purchase or sell, and any security convertible into or exchangeable for, a Covered Security described in Section II (K)(i).</w:t>
      </w:r>
    </w:p>
    <w:p>
      <w:pPr>
        <w:spacing w:after="0" w:line="25" w:lineRule="exact"/>
        <w:rPr>
          <w:sz w:val="20"/>
          <w:szCs w:val="20"/>
          <w:color w:val="auto"/>
        </w:rPr>
      </w:pPr>
    </w:p>
    <w:p>
      <w:pPr>
        <w:ind w:left="900" w:hanging="447"/>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“17j-1 Organization” means the Corporation or the Adviser, as the context requires.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III Objective and General Prohibitions</w:t>
      </w:r>
    </w:p>
    <w:p>
      <w:pPr>
        <w:spacing w:after="0" w:line="96" w:lineRule="exact"/>
        <w:rPr>
          <w:sz w:val="20"/>
          <w:szCs w:val="20"/>
          <w:color w:val="auto"/>
        </w:rPr>
      </w:pPr>
    </w:p>
    <w:p>
      <w:pPr>
        <w:ind w:right="20" w:firstLine="898"/>
        <w:spacing w:after="0" w:line="256" w:lineRule="auto"/>
        <w:rPr>
          <w:sz w:val="20"/>
          <w:szCs w:val="20"/>
          <w:color w:val="auto"/>
        </w:rPr>
      </w:pPr>
      <w:r>
        <w:rPr>
          <w:rFonts w:ascii="Arial" w:cs="Arial" w:eastAsia="Arial" w:hAnsi="Arial"/>
          <w:sz w:val="18"/>
          <w:szCs w:val="18"/>
          <w:color w:val="auto"/>
        </w:rPr>
        <w:t>Covered Personnel may not engage in any investment transaction under circumstances in which the Covered Personnel benefits from or interferes with the purchase or sale of investments by the Corporation. In addition, Covered Personnel may not use information concerning the investments or investment intentions of the Corporation, or their ability to influence such investment intentions, for personal gain or in a manner detrimental to the interests of the Corporation.</w:t>
      </w:r>
    </w:p>
    <w:p>
      <w:pPr>
        <w:spacing w:after="0" w:line="143" w:lineRule="exact"/>
        <w:rPr>
          <w:sz w:val="20"/>
          <w:szCs w:val="20"/>
          <w:color w:val="auto"/>
        </w:rPr>
      </w:pPr>
    </w:p>
    <w:p>
      <w:pPr>
        <w:ind w:right="140" w:firstLine="898"/>
        <w:spacing w:after="0" w:line="298" w:lineRule="auto"/>
        <w:rPr>
          <w:sz w:val="20"/>
          <w:szCs w:val="20"/>
          <w:color w:val="auto"/>
        </w:rPr>
      </w:pPr>
      <w:r>
        <w:rPr>
          <w:rFonts w:ascii="Arial" w:cs="Arial" w:eastAsia="Arial" w:hAnsi="Arial"/>
          <w:sz w:val="16"/>
          <w:szCs w:val="16"/>
          <w:color w:val="auto"/>
        </w:rPr>
        <w:t>Covered Personnel may not engage in conduct that is deceitful, fraudulent or manipulative, or that involves false or misleading statements, in connection with the purchase or sale of investments by the Corporation. In this regard, Covered Personnel should recognize that Rule 17j-1 makes it unlawful for any affiliated person of the Corporation, or any affiliated person of an investment adviser for the Corporation, in connection with the purchase or sale, directly or indirectly, by the person of a Security Held or to be Acquired by the Corporation to:</w:t>
      </w:r>
    </w:p>
    <w:p>
      <w:pPr>
        <w:spacing w:after="0" w:line="31" w:lineRule="exact"/>
        <w:rPr>
          <w:sz w:val="20"/>
          <w:szCs w:val="20"/>
          <w:color w:val="auto"/>
        </w:rPr>
      </w:pPr>
    </w:p>
    <w:p>
      <w:pPr>
        <w:ind w:left="1460" w:hanging="561"/>
        <w:spacing w:after="0"/>
        <w:tabs>
          <w:tab w:leader="none" w:pos="1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employ any device, scheme or artifice to defraud the Corporation;</w:t>
      </w:r>
    </w:p>
    <w:p>
      <w:pPr>
        <w:sectPr>
          <w:pgSz w:w="11900" w:h="16838" w:orient="portrait"/>
          <w:cols w:equalWidth="0" w:num="1">
            <w:col w:w="11220"/>
          </w:cols>
          <w:pgMar w:left="320" w:top="280" w:right="359" w:bottom="1440" w:gutter="0" w:footer="0" w:header="0"/>
        </w:sectPr>
      </w:pPr>
    </w:p>
    <w:bookmarkStart w:id="85" w:name="page86"/>
    <w:bookmarkEnd w:id="85"/>
    <w:p>
      <w:pPr>
        <w:ind w:left="1460" w:right="340" w:hanging="561"/>
        <w:spacing w:after="0" w:line="331" w:lineRule="auto"/>
        <w:tabs>
          <w:tab w:leader="none" w:pos="1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make any untrue statement of a material fact to the Corporation or omit to state to the Corporation a material fact necessary in order to make the statements made, in light of the circumstances under which they are made, not misleading;</w:t>
      </w:r>
    </w:p>
    <w:p>
      <w:pPr>
        <w:spacing w:after="0" w:line="5" w:lineRule="exact"/>
        <w:rPr>
          <w:rFonts w:ascii="Arial" w:cs="Arial" w:eastAsia="Arial" w:hAnsi="Arial"/>
          <w:sz w:val="16"/>
          <w:szCs w:val="16"/>
          <w:color w:val="auto"/>
        </w:rPr>
      </w:pPr>
    </w:p>
    <w:p>
      <w:pPr>
        <w:ind w:left="1460" w:hanging="561"/>
        <w:spacing w:after="0"/>
        <w:tabs>
          <w:tab w:leader="none" w:pos="1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engage in any act, practice or course of business that operates or would operate as a fraud or deceit upon the Corporation; or</w:t>
      </w:r>
    </w:p>
    <w:p>
      <w:pPr>
        <w:spacing w:after="0" w:line="113" w:lineRule="exact"/>
        <w:rPr>
          <w:rFonts w:ascii="Arial" w:cs="Arial" w:eastAsia="Arial" w:hAnsi="Arial"/>
          <w:sz w:val="16"/>
          <w:szCs w:val="16"/>
          <w:color w:val="auto"/>
        </w:rPr>
      </w:pPr>
    </w:p>
    <w:p>
      <w:pPr>
        <w:ind w:left="1460" w:hanging="561"/>
        <w:spacing w:after="0"/>
        <w:tabs>
          <w:tab w:leader="none" w:pos="1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engage in any manipulative practice with respect to the Corporation.</w:t>
      </w:r>
    </w:p>
    <w:p>
      <w:pPr>
        <w:spacing w:after="0" w:line="171" w:lineRule="exact"/>
        <w:rPr>
          <w:sz w:val="20"/>
          <w:szCs w:val="20"/>
          <w:color w:val="auto"/>
        </w:rPr>
      </w:pPr>
    </w:p>
    <w:p>
      <w:pPr>
        <w:ind w:right="200" w:firstLine="898"/>
        <w:spacing w:after="0" w:line="268" w:lineRule="auto"/>
        <w:rPr>
          <w:sz w:val="20"/>
          <w:szCs w:val="20"/>
          <w:color w:val="auto"/>
        </w:rPr>
      </w:pPr>
      <w:r>
        <w:rPr>
          <w:rFonts w:ascii="Arial" w:cs="Arial" w:eastAsia="Arial" w:hAnsi="Arial"/>
          <w:sz w:val="18"/>
          <w:szCs w:val="18"/>
          <w:color w:val="auto"/>
        </w:rPr>
        <w:t>Covered Personnel should also recognize that a violation of this Code or of Rule 17j-1 may result in the imposition of: (1) sanctions as provided by Section VIII below; or (2) administrative, civil and, in certain cases, criminal fines, sanctions or penalties.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IV Pre-Clearance of Transactions in Personal Account</w:t>
      </w:r>
    </w:p>
    <w:p>
      <w:pPr>
        <w:spacing w:after="0" w:line="96" w:lineRule="exact"/>
        <w:rPr>
          <w:sz w:val="20"/>
          <w:szCs w:val="20"/>
          <w:color w:val="auto"/>
        </w:rPr>
      </w:pPr>
    </w:p>
    <w:p>
      <w:pPr>
        <w:ind w:right="20" w:firstLine="898"/>
        <w:spacing w:after="0" w:line="294" w:lineRule="auto"/>
        <w:rPr>
          <w:sz w:val="20"/>
          <w:szCs w:val="20"/>
          <w:color w:val="auto"/>
        </w:rPr>
      </w:pPr>
      <w:r>
        <w:rPr>
          <w:rFonts w:ascii="Arial" w:cs="Arial" w:eastAsia="Arial" w:hAnsi="Arial"/>
          <w:sz w:val="16"/>
          <w:szCs w:val="16"/>
          <w:color w:val="auto"/>
        </w:rPr>
        <w:t>An Access Person must obtain the prior written approval of the Managing Member (or such person as the Managing Member may designate) (“Approving Officer”) before engaging in any transaction in his or her Personal Account. The Approving Officer may approve the transaction if he concludes that the transaction would comply with the provisions of this Code of Ethics and is not likely to have any adverse economic impact on clients. A request for preclearance must be made by email, with a copy to the Compliance Officer, in advance of the contemplated transaction. No particular form is required, but the email must include sufficient detail for the Approving Officer to decide if a trade is permissible.</w:t>
      </w:r>
    </w:p>
    <w:p>
      <w:pPr>
        <w:spacing w:after="0" w:line="1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Any approval given under this paragraph will be provided by email and will remain in effect for 72 hours.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V Prohibited Transactions</w:t>
      </w:r>
    </w:p>
    <w:p>
      <w:pPr>
        <w:spacing w:after="0" w:line="96" w:lineRule="exact"/>
        <w:rPr>
          <w:sz w:val="20"/>
          <w:szCs w:val="20"/>
          <w:color w:val="auto"/>
        </w:rPr>
      </w:pPr>
    </w:p>
    <w:p>
      <w:pPr>
        <w:ind w:left="900" w:right="40" w:hanging="447"/>
        <w:spacing w:after="0" w:line="291" w:lineRule="auto"/>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An Access Person may not purchase or otherwise acquire direct or indirect Beneficial Ownership of any Covered Security on the Restricted List, and may not sell or otherwise dispose of any Covered Security on the Restricted List in which he or she has direct or indirect Beneficial Ownership, if he or she knows or should know at the time of entering into the transaction that: (1) the Corporation has purchased or sold the Covered Security within the last 15 calendar days, or is purchasing or selling or intends to purchase or sell the Covered Security in the next 15 calendar days; or (2) the Adviser has within the last 15 calendar days considered purchasing or selling the Covered Security for the Corporation or within the next 15 calendar days intend to consider purchasing or selling the Covered Security for the Corporation.</w:t>
      </w:r>
    </w:p>
    <w:p>
      <w:pPr>
        <w:spacing w:after="0" w:line="38" w:lineRule="exact"/>
        <w:rPr>
          <w:rFonts w:ascii="Arial" w:cs="Arial" w:eastAsia="Arial" w:hAnsi="Arial"/>
          <w:sz w:val="16"/>
          <w:szCs w:val="16"/>
          <w:color w:val="auto"/>
        </w:rPr>
      </w:pPr>
    </w:p>
    <w:p>
      <w:pPr>
        <w:ind w:left="900" w:hanging="447"/>
        <w:spacing w:after="0" w:line="256"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Every Advisory Person of the Corporation or the Adviser must obtain approval from the Corporation or the Adviser, as the case may be, before directly or indirectly acquiring Beneficial Ownership in any securities in an Initial Public Offering or in a Limited Offering. Such approval must be obtained from the Chief Compliance Officer, unless he is the person seeking such approval, in which case it must be obtained from the President of the 17j-1 Organization.</w:t>
      </w:r>
    </w:p>
    <w:p>
      <w:pPr>
        <w:spacing w:after="0" w:line="61" w:lineRule="exact"/>
        <w:rPr>
          <w:rFonts w:ascii="Arial" w:cs="Arial" w:eastAsia="Arial" w:hAnsi="Arial"/>
          <w:sz w:val="18"/>
          <w:szCs w:val="18"/>
          <w:color w:val="auto"/>
        </w:rPr>
      </w:pPr>
    </w:p>
    <w:p>
      <w:pPr>
        <w:ind w:left="900" w:right="120" w:hanging="447"/>
        <w:spacing w:after="0" w:line="254"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 Access Person shall recommend any transaction in any Covered Securities by the Corporation without having disclosed to the Chief Compliance Officer his or her interest, if any, in such Covered Securities or the issuer thereof, including: the Access Person’s Beneficial Ownership of any Covered Securities of such issuer; any contemplated transaction by the Access Person in such Covered Securities; any position the Access Person has with such issuer; and any present or proposed business relationship between such issuer and the Access Person (or a party which the Access Person has a significant interest).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VI Reports by Access Persons</w:t>
      </w:r>
    </w:p>
    <w:p>
      <w:pPr>
        <w:spacing w:after="0" w:line="96" w:lineRule="exact"/>
        <w:rPr>
          <w:sz w:val="20"/>
          <w:szCs w:val="20"/>
          <w:color w:val="auto"/>
        </w:rPr>
      </w:pPr>
    </w:p>
    <w:p>
      <w:pPr>
        <w:ind w:left="900" w:hanging="447"/>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Personal Securities Holdings Reports.</w:t>
      </w:r>
    </w:p>
    <w:p>
      <w:pPr>
        <w:spacing w:after="0" w:line="90" w:lineRule="exact"/>
        <w:rPr>
          <w:sz w:val="20"/>
          <w:szCs w:val="20"/>
          <w:color w:val="auto"/>
        </w:rPr>
      </w:pPr>
    </w:p>
    <w:p>
      <w:pPr>
        <w:ind w:right="20" w:firstLine="898"/>
        <w:spacing w:after="0" w:line="290" w:lineRule="auto"/>
        <w:rPr>
          <w:sz w:val="20"/>
          <w:szCs w:val="20"/>
          <w:color w:val="auto"/>
        </w:rPr>
      </w:pPr>
      <w:r>
        <w:rPr>
          <w:rFonts w:ascii="Arial" w:cs="Arial" w:eastAsia="Arial" w:hAnsi="Arial"/>
          <w:sz w:val="16"/>
          <w:szCs w:val="16"/>
          <w:color w:val="auto"/>
        </w:rPr>
        <w:t>All Access Persons shall within 10 days of the date on which they become Access Persons, and thereafter, within 30 days after the end of each calendar year, disclose the title, number of shares and principal amount of all Covered Securities in which they have a Beneficial Ownership as of the date the person became an Access Person, in the case of such person’s initial report, and as of the last day of the year, as to annual reports. A form of such report, which is hereinafter called a “Personal Securities Holdings Report,” is attached as Schedule A. Each Personal Securities Holdings Report must also disclose the name of any broker, dealer or bank with whom the Access Person maintained an account in which any securities were held for the direct or indirect benefit of the Access Person as of the date the person became an Access Person or as of the last day of the year, as the case may be. Each Personal Securities Holdings Report shall state the date it is being submitted.</w:t>
      </w:r>
    </w:p>
    <w:p>
      <w:pPr>
        <w:sectPr>
          <w:pgSz w:w="11900" w:h="16838" w:orient="portrait"/>
          <w:cols w:equalWidth="0" w:num="1">
            <w:col w:w="11220"/>
          </w:cols>
          <w:pgMar w:left="320" w:top="280" w:right="359" w:bottom="1440" w:gutter="0" w:footer="0" w:header="0"/>
        </w:sectPr>
      </w:pPr>
    </w:p>
    <w:bookmarkStart w:id="86" w:name="page87"/>
    <w:bookmarkEnd w:id="86"/>
    <w:p>
      <w:pPr>
        <w:ind w:left="900" w:hanging="447"/>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Quarterly Transaction Reports.</w:t>
      </w:r>
    </w:p>
    <w:p>
      <w:pPr>
        <w:spacing w:after="0" w:line="90" w:lineRule="exact"/>
        <w:rPr>
          <w:sz w:val="20"/>
          <w:szCs w:val="20"/>
          <w:color w:val="auto"/>
        </w:rPr>
      </w:pPr>
    </w:p>
    <w:p>
      <w:pPr>
        <w:ind w:right="40" w:firstLine="898"/>
        <w:spacing w:after="0" w:line="259" w:lineRule="auto"/>
        <w:rPr>
          <w:sz w:val="20"/>
          <w:szCs w:val="20"/>
          <w:color w:val="auto"/>
        </w:rPr>
      </w:pPr>
      <w:r>
        <w:rPr>
          <w:rFonts w:ascii="Arial" w:cs="Arial" w:eastAsia="Arial" w:hAnsi="Arial"/>
          <w:sz w:val="18"/>
          <w:szCs w:val="18"/>
          <w:color w:val="auto"/>
        </w:rPr>
        <w:t>Within 30 days after the end of each calendar quarter, each Access Person shall make a written report to the Chief Compliance Officer of all transactions occurring in the quarter in a Covered Security in which he or she had any Beneficial Ownership. A form of such report, which is hereinafter called a “Quarterly Securities Transaction Report,” is attached as Schedule B.</w:t>
      </w:r>
    </w:p>
    <w:p>
      <w:pPr>
        <w:spacing w:after="0" w:line="140" w:lineRule="exact"/>
        <w:rPr>
          <w:sz w:val="20"/>
          <w:szCs w:val="20"/>
          <w:color w:val="auto"/>
        </w:rPr>
      </w:pPr>
    </w:p>
    <w:p>
      <w:pPr>
        <w:ind w:right="220" w:firstLine="898"/>
        <w:spacing w:after="0" w:line="268" w:lineRule="auto"/>
        <w:rPr>
          <w:sz w:val="20"/>
          <w:szCs w:val="20"/>
          <w:color w:val="auto"/>
        </w:rPr>
      </w:pPr>
      <w:r>
        <w:rPr>
          <w:rFonts w:ascii="Arial" w:cs="Arial" w:eastAsia="Arial" w:hAnsi="Arial"/>
          <w:sz w:val="18"/>
          <w:szCs w:val="18"/>
          <w:color w:val="auto"/>
        </w:rPr>
        <w:t>A Quarterly Securities Transaction Report shall be in the form of Schedule B or such other form approved by the Chief Compliance Officer and must contain the following information with respect to each reportable transaction:</w:t>
      </w:r>
    </w:p>
    <w:p>
      <w:pPr>
        <w:spacing w:after="0" w:line="51" w:lineRule="exact"/>
        <w:rPr>
          <w:sz w:val="20"/>
          <w:szCs w:val="20"/>
          <w:color w:val="auto"/>
        </w:rPr>
      </w:pPr>
    </w:p>
    <w:p>
      <w:pPr>
        <w:ind w:left="1160" w:hanging="254"/>
        <w:spacing w:after="0"/>
        <w:tabs>
          <w:tab w:leader="none" w:pos="11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Date and nature of the transaction (purchase, sale or any other type of acquisition or disposition);</w:t>
      </w:r>
    </w:p>
    <w:p>
      <w:pPr>
        <w:spacing w:after="0" w:line="171" w:lineRule="exact"/>
        <w:rPr>
          <w:rFonts w:ascii="Arial" w:cs="Arial" w:eastAsia="Arial" w:hAnsi="Arial"/>
          <w:sz w:val="18"/>
          <w:szCs w:val="18"/>
          <w:color w:val="auto"/>
        </w:rPr>
      </w:pPr>
    </w:p>
    <w:p>
      <w:pPr>
        <w:ind w:right="60" w:firstLine="906"/>
        <w:spacing w:after="0" w:line="268" w:lineRule="auto"/>
        <w:tabs>
          <w:tab w:leader="none" w:pos="1147" w:val="left"/>
        </w:tabs>
        <w:numPr>
          <w:ilvl w:val="1"/>
          <w:numId w:val="55"/>
        </w:numPr>
        <w:rPr>
          <w:rFonts w:ascii="Arial" w:cs="Arial" w:eastAsia="Arial" w:hAnsi="Arial"/>
          <w:sz w:val="18"/>
          <w:szCs w:val="18"/>
          <w:color w:val="auto"/>
        </w:rPr>
      </w:pPr>
      <w:r>
        <w:rPr>
          <w:rFonts w:ascii="Arial" w:cs="Arial" w:eastAsia="Arial" w:hAnsi="Arial"/>
          <w:sz w:val="18"/>
          <w:szCs w:val="18"/>
          <w:color w:val="auto"/>
        </w:rPr>
        <w:t>Title, interest rate and maturity date (if applicable), number of shares and principal amount of each Covered Security involved and the price of the Covered Security at which the transaction was effected;</w:t>
      </w:r>
    </w:p>
    <w:p>
      <w:pPr>
        <w:spacing w:after="0" w:line="131" w:lineRule="exact"/>
        <w:rPr>
          <w:rFonts w:ascii="Arial" w:cs="Arial" w:eastAsia="Arial" w:hAnsi="Arial"/>
          <w:sz w:val="18"/>
          <w:szCs w:val="18"/>
          <w:color w:val="auto"/>
        </w:rPr>
      </w:pPr>
    </w:p>
    <w:p>
      <w:pPr>
        <w:ind w:left="1160" w:hanging="254"/>
        <w:spacing w:after="0"/>
        <w:tabs>
          <w:tab w:leader="none" w:pos="11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Name of the broker, dealer or bank with or through whom the transaction was effected; and</w:t>
      </w:r>
    </w:p>
    <w:p>
      <w:pPr>
        <w:spacing w:after="0" w:line="171" w:lineRule="exact"/>
        <w:rPr>
          <w:rFonts w:ascii="Arial" w:cs="Arial" w:eastAsia="Arial" w:hAnsi="Arial"/>
          <w:sz w:val="18"/>
          <w:szCs w:val="18"/>
          <w:color w:val="auto"/>
        </w:rPr>
      </w:pPr>
    </w:p>
    <w:p>
      <w:pPr>
        <w:ind w:left="1160" w:hanging="254"/>
        <w:spacing w:after="0"/>
        <w:tabs>
          <w:tab w:leader="none" w:pos="11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date the report is submitted by the Access Person.</w:t>
      </w:r>
    </w:p>
    <w:p>
      <w:pPr>
        <w:spacing w:after="0" w:line="211" w:lineRule="exact"/>
        <w:rPr>
          <w:rFonts w:ascii="Arial" w:cs="Arial" w:eastAsia="Arial" w:hAnsi="Arial"/>
          <w:sz w:val="18"/>
          <w:szCs w:val="18"/>
          <w:color w:val="auto"/>
        </w:rPr>
      </w:pPr>
    </w:p>
    <w:p>
      <w:pPr>
        <w:ind w:left="900" w:hanging="447"/>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Independent Directors.</w:t>
      </w:r>
    </w:p>
    <w:p>
      <w:pPr>
        <w:spacing w:after="0" w:line="90"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6"/>
          <w:szCs w:val="16"/>
          <w:color w:val="auto"/>
        </w:rPr>
        <w:t>Notwithstanding the reporting requirements set forth in this Section V, an Independent Director who would be required to make a report under this</w:t>
      </w:r>
    </w:p>
    <w:p>
      <w:pPr>
        <w:spacing w:after="0" w:line="38"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Section V solely by reason of being a director of the Corporation is not required to file a Personal Securities Holding Report upon becoming a director of the Corporation or an annual Personal Securities Holding Report. Such an Independent Director also need not file a Quarterly Securities Transaction Report unless such director knew or, in the ordinary course of fulfilling his or her official duties as a director of the Corporation, should have known that during the 15-day period immediately preceding or after the date of the transaction in a Covered Security by the director such Covered Security is or was purchased or sold by the Corporation or the Corporation or the Adviser considered purchasing or selling such Covered Security.</w:t>
      </w:r>
    </w:p>
    <w:p>
      <w:pPr>
        <w:spacing w:after="0" w:line="157" w:lineRule="exact"/>
        <w:rPr>
          <w:sz w:val="20"/>
          <w:szCs w:val="20"/>
          <w:color w:val="auto"/>
        </w:rPr>
      </w:pPr>
    </w:p>
    <w:p>
      <w:pPr>
        <w:ind w:left="900" w:hanging="447"/>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Access Persons of the Adviser.</w:t>
      </w:r>
    </w:p>
    <w:p>
      <w:pPr>
        <w:spacing w:after="0" w:line="90" w:lineRule="exact"/>
        <w:rPr>
          <w:sz w:val="20"/>
          <w:szCs w:val="20"/>
          <w:color w:val="auto"/>
        </w:rPr>
      </w:pPr>
    </w:p>
    <w:p>
      <w:pPr>
        <w:ind w:right="60" w:firstLine="898"/>
        <w:spacing w:after="0" w:line="331" w:lineRule="auto"/>
        <w:rPr>
          <w:sz w:val="20"/>
          <w:szCs w:val="20"/>
          <w:color w:val="auto"/>
        </w:rPr>
      </w:pPr>
      <w:r>
        <w:rPr>
          <w:rFonts w:ascii="Arial" w:cs="Arial" w:eastAsia="Arial" w:hAnsi="Arial"/>
          <w:sz w:val="16"/>
          <w:szCs w:val="16"/>
          <w:color w:val="auto"/>
        </w:rPr>
        <w:t>An Access Person of the Adviser need not make a Quarterly Transaction Report if all of the information in the report would duplicate information required to be recorded pursuant to Rules 204-2(a)(12) or (13) under the Investment Advisers Act of 1940, as amended.</w:t>
      </w:r>
    </w:p>
    <w:p>
      <w:pPr>
        <w:spacing w:after="0" w:line="127" w:lineRule="exact"/>
        <w:rPr>
          <w:sz w:val="20"/>
          <w:szCs w:val="20"/>
          <w:color w:val="auto"/>
        </w:rPr>
      </w:pPr>
    </w:p>
    <w:p>
      <w:pPr>
        <w:ind w:left="900" w:hanging="447"/>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Brokerage Accounts and Statements.</w:t>
      </w:r>
    </w:p>
    <w:p>
      <w:pPr>
        <w:spacing w:after="0" w:line="90"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Access Persons, except Independent Directors, shall:</w:t>
      </w:r>
    </w:p>
    <w:p>
      <w:pPr>
        <w:spacing w:after="0" w:line="90" w:lineRule="exact"/>
        <w:rPr>
          <w:rFonts w:ascii="Arial" w:cs="Arial" w:eastAsia="Arial" w:hAnsi="Arial"/>
          <w:sz w:val="18"/>
          <w:szCs w:val="18"/>
          <w:color w:val="auto"/>
        </w:rPr>
      </w:pPr>
    </w:p>
    <w:p>
      <w:pPr>
        <w:ind w:right="40" w:firstLine="906"/>
        <w:spacing w:after="0" w:line="306" w:lineRule="auto"/>
        <w:tabs>
          <w:tab w:leader="none" w:pos="1147" w:val="left"/>
        </w:tabs>
        <w:numPr>
          <w:ilvl w:val="1"/>
          <w:numId w:val="58"/>
        </w:numPr>
        <w:rPr>
          <w:rFonts w:ascii="Arial" w:cs="Arial" w:eastAsia="Arial" w:hAnsi="Arial"/>
          <w:sz w:val="16"/>
          <w:szCs w:val="16"/>
          <w:color w:val="auto"/>
        </w:rPr>
      </w:pPr>
      <w:r>
        <w:rPr>
          <w:rFonts w:ascii="Arial" w:cs="Arial" w:eastAsia="Arial" w:hAnsi="Arial"/>
          <w:sz w:val="16"/>
          <w:szCs w:val="16"/>
          <w:color w:val="auto"/>
        </w:rPr>
        <w:t>within 10 days after the end of each calendar quarter, identify the name of the broker, dealer or bank with whom the Access Person established an account in which any securities were held during the quarter for the direct or indirect benefit of the Access Person and identify any new account(s) and the date the account(s) were established. This information shall be included on the appropriate Quarterly Securities Transaction Report.</w:t>
      </w:r>
    </w:p>
    <w:p>
      <w:pPr>
        <w:spacing w:after="0" w:line="106" w:lineRule="exact"/>
        <w:rPr>
          <w:rFonts w:ascii="Arial" w:cs="Arial" w:eastAsia="Arial" w:hAnsi="Arial"/>
          <w:sz w:val="16"/>
          <w:szCs w:val="16"/>
          <w:color w:val="auto"/>
        </w:rPr>
      </w:pPr>
    </w:p>
    <w:p>
      <w:pPr>
        <w:ind w:right="780" w:firstLine="906"/>
        <w:spacing w:after="0" w:line="268" w:lineRule="auto"/>
        <w:tabs>
          <w:tab w:leader="none" w:pos="1147" w:val="left"/>
        </w:tabs>
        <w:numPr>
          <w:ilvl w:val="1"/>
          <w:numId w:val="58"/>
        </w:numPr>
        <w:rPr>
          <w:rFonts w:ascii="Arial" w:cs="Arial" w:eastAsia="Arial" w:hAnsi="Arial"/>
          <w:sz w:val="18"/>
          <w:szCs w:val="18"/>
          <w:color w:val="auto"/>
        </w:rPr>
      </w:pPr>
      <w:r>
        <w:rPr>
          <w:rFonts w:ascii="Arial" w:cs="Arial" w:eastAsia="Arial" w:hAnsi="Arial"/>
          <w:sz w:val="18"/>
          <w:szCs w:val="18"/>
          <w:color w:val="auto"/>
        </w:rPr>
        <w:t>instruct the brokers, dealers or banks with whom they maintain such an account to provide duplicate account statements to the Chief Compliance Officer.</w:t>
      </w:r>
    </w:p>
    <w:p>
      <w:pPr>
        <w:spacing w:after="0" w:line="131" w:lineRule="exact"/>
        <w:rPr>
          <w:rFonts w:ascii="Arial" w:cs="Arial" w:eastAsia="Arial" w:hAnsi="Arial"/>
          <w:sz w:val="18"/>
          <w:szCs w:val="18"/>
          <w:color w:val="auto"/>
        </w:rPr>
      </w:pPr>
    </w:p>
    <w:p>
      <w:pPr>
        <w:ind w:left="1160" w:hanging="254"/>
        <w:spacing w:after="0"/>
        <w:tabs>
          <w:tab w:leader="none" w:pos="11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on an annual basis, certify that they have complied with the requirements of (1) and (2) above.</w:t>
      </w:r>
    </w:p>
    <w:p>
      <w:pPr>
        <w:spacing w:after="0" w:line="211" w:lineRule="exact"/>
        <w:rPr>
          <w:rFonts w:ascii="Arial" w:cs="Arial" w:eastAsia="Arial" w:hAnsi="Arial"/>
          <w:sz w:val="18"/>
          <w:szCs w:val="18"/>
          <w:color w:val="auto"/>
        </w:rPr>
      </w:pPr>
    </w:p>
    <w:p>
      <w:pPr>
        <w:ind w:left="900" w:hanging="447"/>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Form of Reports.</w:t>
      </w:r>
    </w:p>
    <w:p>
      <w:pPr>
        <w:spacing w:after="0" w:line="90" w:lineRule="exact"/>
        <w:rPr>
          <w:sz w:val="20"/>
          <w:szCs w:val="20"/>
          <w:color w:val="auto"/>
        </w:rPr>
      </w:pPr>
    </w:p>
    <w:p>
      <w:pPr>
        <w:ind w:right="60" w:firstLine="898"/>
        <w:spacing w:after="0" w:line="369" w:lineRule="auto"/>
        <w:rPr>
          <w:sz w:val="20"/>
          <w:szCs w:val="20"/>
          <w:color w:val="auto"/>
        </w:rPr>
      </w:pPr>
      <w:r>
        <w:rPr>
          <w:rFonts w:ascii="Arial" w:cs="Arial" w:eastAsia="Arial" w:hAnsi="Arial"/>
          <w:sz w:val="15"/>
          <w:szCs w:val="15"/>
          <w:color w:val="auto"/>
        </w:rPr>
        <w:t>A Quarterly Securities Transaction Report may consist of broker statements or other statements that provide a list of all personal Covered Securities holdings and transactions in the time period covered by the report and contain the information required in a Quarterly Securities Transaction Report.</w:t>
      </w:r>
    </w:p>
    <w:p>
      <w:pPr>
        <w:spacing w:after="0" w:line="104" w:lineRule="exact"/>
        <w:rPr>
          <w:sz w:val="20"/>
          <w:szCs w:val="20"/>
          <w:color w:val="auto"/>
        </w:rPr>
      </w:pPr>
    </w:p>
    <w:p>
      <w:pPr>
        <w:ind w:left="900" w:hanging="447"/>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Responsibility to Report.</w:t>
      </w:r>
    </w:p>
    <w:p>
      <w:pPr>
        <w:spacing w:after="0" w:line="90" w:lineRule="exact"/>
        <w:rPr>
          <w:sz w:val="20"/>
          <w:szCs w:val="20"/>
          <w:color w:val="auto"/>
        </w:rPr>
      </w:pPr>
    </w:p>
    <w:p>
      <w:pPr>
        <w:ind w:right="100" w:firstLine="898"/>
        <w:spacing w:after="0" w:line="256" w:lineRule="auto"/>
        <w:rPr>
          <w:sz w:val="20"/>
          <w:szCs w:val="20"/>
          <w:color w:val="auto"/>
        </w:rPr>
      </w:pPr>
      <w:r>
        <w:rPr>
          <w:rFonts w:ascii="Arial" w:cs="Arial" w:eastAsia="Arial" w:hAnsi="Arial"/>
          <w:sz w:val="18"/>
          <w:szCs w:val="18"/>
          <w:color w:val="auto"/>
        </w:rPr>
        <w:t>It is the responsibility of each Access Person to take the initiative to comply with the requirements of this Section V. Any effort by the Corporation, or by the Adviser and its affiliates, to facilitate the reporting process does not change or alter that responsibility. A person need not make a report hereunder with respect to transactions effected for, and Covered Securities held in, any account over which the person has no direct or indirect influence or control.</w:t>
      </w:r>
    </w:p>
    <w:p>
      <w:pPr>
        <w:sectPr>
          <w:pgSz w:w="11900" w:h="16838" w:orient="portrait"/>
          <w:cols w:equalWidth="0" w:num="1">
            <w:col w:w="11220"/>
          </w:cols>
          <w:pgMar w:left="320" w:top="280" w:right="359" w:bottom="1440" w:gutter="0" w:footer="0" w:header="0"/>
        </w:sectPr>
      </w:pPr>
    </w:p>
    <w:bookmarkStart w:id="87" w:name="page88"/>
    <w:bookmarkEnd w:id="87"/>
    <w:p>
      <w:pPr>
        <w:ind w:left="900" w:hanging="447"/>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Where to File Reports.</w:t>
      </w:r>
    </w:p>
    <w:p>
      <w:pPr>
        <w:spacing w:after="0" w:line="90"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6"/>
          <w:szCs w:val="16"/>
          <w:color w:val="auto"/>
        </w:rPr>
        <w:t>All Quarterly Securities Transaction Reports and Personal Securities Holdings Reports must be filed with the Chief Compliance Officer.</w:t>
      </w:r>
    </w:p>
    <w:p>
      <w:pPr>
        <w:spacing w:after="0" w:line="234" w:lineRule="exact"/>
        <w:rPr>
          <w:rFonts w:ascii="Arial" w:cs="Arial" w:eastAsia="Arial" w:hAnsi="Arial"/>
          <w:sz w:val="18"/>
          <w:szCs w:val="18"/>
          <w:color w:val="auto"/>
        </w:rPr>
      </w:pPr>
    </w:p>
    <w:p>
      <w:pPr>
        <w:ind w:left="900" w:hanging="447"/>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Disclaimers.</w:t>
      </w:r>
    </w:p>
    <w:p>
      <w:pPr>
        <w:spacing w:after="0" w:line="90" w:lineRule="exact"/>
        <w:rPr>
          <w:sz w:val="20"/>
          <w:szCs w:val="20"/>
          <w:color w:val="auto"/>
        </w:rPr>
      </w:pPr>
    </w:p>
    <w:p>
      <w:pPr>
        <w:ind w:right="280" w:firstLine="898"/>
        <w:spacing w:after="0" w:line="268" w:lineRule="auto"/>
        <w:rPr>
          <w:sz w:val="20"/>
          <w:szCs w:val="20"/>
          <w:color w:val="auto"/>
        </w:rPr>
      </w:pPr>
      <w:r>
        <w:rPr>
          <w:rFonts w:ascii="Arial" w:cs="Arial" w:eastAsia="Arial" w:hAnsi="Arial"/>
          <w:sz w:val="18"/>
          <w:szCs w:val="18"/>
          <w:color w:val="auto"/>
        </w:rPr>
        <w:t>Any report required by this Section V may contain a statement that the report will not be construed as an admission that the person making the report has any direct or indirect Beneficial Ownership in the Covered, Security to which the report relates.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VII Additional Prohibitions</w:t>
      </w:r>
    </w:p>
    <w:p>
      <w:pPr>
        <w:spacing w:after="0" w:line="96" w:lineRule="exact"/>
        <w:rPr>
          <w:sz w:val="20"/>
          <w:szCs w:val="20"/>
          <w:color w:val="auto"/>
        </w:rPr>
      </w:pPr>
    </w:p>
    <w:p>
      <w:pPr>
        <w:ind w:left="900" w:hanging="447"/>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Confidentiality of the Corporation’s Transactions.</w:t>
      </w:r>
    </w:p>
    <w:p>
      <w:pPr>
        <w:spacing w:after="0" w:line="90" w:lineRule="exact"/>
        <w:rPr>
          <w:sz w:val="20"/>
          <w:szCs w:val="20"/>
          <w:color w:val="auto"/>
        </w:rPr>
      </w:pPr>
    </w:p>
    <w:p>
      <w:pPr>
        <w:ind w:right="100" w:firstLine="898"/>
        <w:spacing w:after="0" w:line="256" w:lineRule="auto"/>
        <w:rPr>
          <w:sz w:val="20"/>
          <w:szCs w:val="20"/>
          <w:color w:val="auto"/>
        </w:rPr>
      </w:pPr>
      <w:r>
        <w:rPr>
          <w:rFonts w:ascii="Arial" w:cs="Arial" w:eastAsia="Arial" w:hAnsi="Arial"/>
          <w:sz w:val="18"/>
          <w:szCs w:val="18"/>
          <w:color w:val="auto"/>
        </w:rPr>
        <w:t>Until disclosed in a public report to shareholders or to the Securities and Exchange Commission in the normal course, all information concerning the securities “being considered for purchase or sale” by the Corporation shall be kept confidential by all Covered Personnel and disclosed by them only on a “need to know” basis. It shall be the responsibility of the Chief Compliance Officer to report any inadequacy found in this regard to the directors of the Corporation.</w:t>
      </w:r>
    </w:p>
    <w:p>
      <w:pPr>
        <w:spacing w:after="0" w:line="183" w:lineRule="exact"/>
        <w:rPr>
          <w:sz w:val="20"/>
          <w:szCs w:val="20"/>
          <w:color w:val="auto"/>
        </w:rPr>
      </w:pPr>
    </w:p>
    <w:p>
      <w:pPr>
        <w:ind w:left="900" w:hanging="447"/>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Outside Business Activities and Directorships.</w:t>
      </w:r>
    </w:p>
    <w:p>
      <w:pPr>
        <w:spacing w:after="0" w:line="90" w:lineRule="exact"/>
        <w:rPr>
          <w:sz w:val="20"/>
          <w:szCs w:val="20"/>
          <w:color w:val="auto"/>
        </w:rPr>
      </w:pPr>
    </w:p>
    <w:p>
      <w:pPr>
        <w:jc w:val="both"/>
        <w:ind w:firstLine="898"/>
        <w:spacing w:after="0" w:line="259" w:lineRule="auto"/>
        <w:rPr>
          <w:sz w:val="20"/>
          <w:szCs w:val="20"/>
          <w:color w:val="auto"/>
        </w:rPr>
      </w:pPr>
      <w:r>
        <w:rPr>
          <w:rFonts w:ascii="Arial" w:cs="Arial" w:eastAsia="Arial" w:hAnsi="Arial"/>
          <w:sz w:val="18"/>
          <w:szCs w:val="18"/>
          <w:color w:val="auto"/>
        </w:rPr>
        <w:t>Access Persons may not engage in any outside business activities that may give rise to conflicts of interest or jeopardize the integrity or reputation of the Corporation. Similarly, no such outside business activities may be inconsistent with the interests of the Corporation. All directorships of public or private companies held by Access Persons shall be reported to the Chief Compliance Officer.</w:t>
      </w:r>
    </w:p>
    <w:p>
      <w:pPr>
        <w:spacing w:after="0" w:line="180" w:lineRule="exact"/>
        <w:rPr>
          <w:sz w:val="20"/>
          <w:szCs w:val="20"/>
          <w:color w:val="auto"/>
        </w:rPr>
      </w:pPr>
    </w:p>
    <w:p>
      <w:pPr>
        <w:ind w:left="900" w:hanging="447"/>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Gratuities.</w:t>
      </w:r>
    </w:p>
    <w:p>
      <w:pPr>
        <w:spacing w:after="0" w:line="90" w:lineRule="exact"/>
        <w:rPr>
          <w:sz w:val="20"/>
          <w:szCs w:val="20"/>
          <w:color w:val="auto"/>
        </w:rPr>
      </w:pPr>
    </w:p>
    <w:p>
      <w:pPr>
        <w:ind w:firstLine="898"/>
        <w:spacing w:after="0" w:line="259" w:lineRule="auto"/>
        <w:rPr>
          <w:sz w:val="20"/>
          <w:szCs w:val="20"/>
          <w:color w:val="auto"/>
        </w:rPr>
      </w:pPr>
      <w:r>
        <w:rPr>
          <w:rFonts w:ascii="Arial" w:cs="Arial" w:eastAsia="Arial" w:hAnsi="Arial"/>
          <w:sz w:val="18"/>
          <w:szCs w:val="18"/>
          <w:color w:val="auto"/>
        </w:rPr>
        <w:t>Covered Personnel shall not, directly or indirectly, take, accept or receive gifts or other consideration in merchandise, services or otherwise of more than nominal value from any person, firm, corporation, association or other entity other than such person’s employer that does business, or proposes to do business, with the Corporation.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VIII Prohibition Against Insider Trading</w:t>
      </w:r>
    </w:p>
    <w:p>
      <w:pPr>
        <w:spacing w:after="0" w:line="96" w:lineRule="exact"/>
        <w:rPr>
          <w:sz w:val="20"/>
          <w:szCs w:val="20"/>
          <w:color w:val="auto"/>
        </w:rPr>
      </w:pPr>
    </w:p>
    <w:p>
      <w:pPr>
        <w:ind w:firstLine="898"/>
        <w:spacing w:after="0" w:line="291" w:lineRule="auto"/>
        <w:rPr>
          <w:sz w:val="20"/>
          <w:szCs w:val="20"/>
          <w:color w:val="auto"/>
        </w:rPr>
      </w:pPr>
      <w:r>
        <w:rPr>
          <w:rFonts w:ascii="Arial" w:cs="Arial" w:eastAsia="Arial" w:hAnsi="Arial"/>
          <w:sz w:val="16"/>
          <w:szCs w:val="16"/>
          <w:color w:val="auto"/>
        </w:rPr>
        <w:t>This Section is intended to satisfy the requirements of Section 204A of the Advisers Act, which is applicable to the Adviser and requires that the Adviser establish and enforce procedures designed to prevent the misuse of material, non-public information by its associated persons. It applies to all Advisory Persons. Trading securities while in possession of material, non-public information, or improperly communicating that information to others, may expose an Advisory Person to severe penalties. Criminal sanctions may include a fine of up to $1,000,000 and/or ten years imprisonment. The SEC can recover the profits gained or losses avoided through the violative trading, a penalty of up to three times the illicit windfall, and an order permanently barring an Advisory Person from the securities industry. Finally, an Advisory Person may be sued by investors seeking to recover damages for insider trading violations.</w:t>
      </w:r>
    </w:p>
    <w:p>
      <w:pPr>
        <w:spacing w:after="0" w:line="39" w:lineRule="exact"/>
        <w:rPr>
          <w:sz w:val="20"/>
          <w:szCs w:val="20"/>
          <w:color w:val="auto"/>
        </w:rPr>
      </w:pPr>
    </w:p>
    <w:p>
      <w:pPr>
        <w:ind w:left="900" w:hanging="447"/>
        <w:spacing w:after="0" w:line="259"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 Advisory Person may trade a security, either personally or on behalf of any other person or account (including any fund), while in possession of material, non-public information concerning that security or the issuer thereof, nor may any Advisory Person communicate material, non-public information to others in violation of the law.</w:t>
      </w:r>
    </w:p>
    <w:p>
      <w:pPr>
        <w:spacing w:after="0" w:line="58" w:lineRule="exact"/>
        <w:rPr>
          <w:rFonts w:ascii="Arial" w:cs="Arial" w:eastAsia="Arial" w:hAnsi="Arial"/>
          <w:sz w:val="18"/>
          <w:szCs w:val="18"/>
          <w:color w:val="auto"/>
        </w:rPr>
      </w:pPr>
    </w:p>
    <w:p>
      <w:pPr>
        <w:ind w:left="900" w:right="100" w:hanging="447"/>
        <w:spacing w:after="0" w:line="310" w:lineRule="auto"/>
        <w:tabs>
          <w:tab w:leader="none" w:pos="900" w:val="left"/>
        </w:tabs>
        <w:numPr>
          <w:ilvl w:val="0"/>
          <w:numId w:val="64"/>
        </w:numPr>
        <w:rPr>
          <w:rFonts w:ascii="Arial" w:cs="Arial" w:eastAsia="Arial" w:hAnsi="Arial"/>
          <w:sz w:val="15"/>
          <w:szCs w:val="15"/>
          <w:color w:val="auto"/>
        </w:rPr>
      </w:pPr>
      <w:r>
        <w:rPr>
          <w:rFonts w:ascii="Arial" w:cs="Arial" w:eastAsia="Arial" w:hAnsi="Arial"/>
          <w:sz w:val="15"/>
          <w:szCs w:val="15"/>
          <w:color w:val="auto"/>
        </w:rPr>
        <w:t>Information is “material” where there is a substantial likelihood that a reasonable investor would consider it important in making his or her investment decisions. Generally, this includes any information the disclosure of which will have a substantial effect on the price of a security. No simple test exists to determine when information is material; assessments of materiality involve a highly fact specific inquiry. For this reason, an Advisory Person should direct any questions about whether information is material to the Chief Compliance Officer. Material information often relates to a company’s results and operations, including, for example, dividend changes, earnings results, changes in previously released earnings estimates, significant merger or acquisition proposals or agreements, major litigation, liquidation problems, and extraordinary management developments. Material information may also relate to the market for a company’s securities. Information about a significant order to purchase or sell Securities may, in some contexts, be material. Pre-publication information regarding reports in the financial press may also be material.</w:t>
      </w:r>
    </w:p>
    <w:p>
      <w:pPr>
        <w:sectPr>
          <w:pgSz w:w="11900" w:h="16838" w:orient="portrait"/>
          <w:cols w:equalWidth="0" w:num="1">
            <w:col w:w="11200"/>
          </w:cols>
          <w:pgMar w:left="320" w:top="280" w:right="379" w:bottom="1440" w:gutter="0" w:footer="0" w:header="0"/>
        </w:sectPr>
      </w:pPr>
    </w:p>
    <w:bookmarkStart w:id="88" w:name="page89"/>
    <w:bookmarkEnd w:id="88"/>
    <w:p>
      <w:pPr>
        <w:ind w:left="900" w:right="140" w:hanging="447"/>
        <w:spacing w:after="0" w:line="256"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Information is “public” when it has been disseminated broadly to investors in the marketplace. For example, information is public after it has become available to the general public through a public filing with the SEC or some other government agency, the Dow Jones “tape” or </w:t>
      </w:r>
      <w:r>
        <w:rPr>
          <w:rFonts w:ascii="Arial" w:cs="Arial" w:eastAsia="Arial" w:hAnsi="Arial"/>
          <w:sz w:val="18"/>
          <w:szCs w:val="18"/>
          <w:i w:val="1"/>
          <w:iCs w:val="1"/>
          <w:color w:val="auto"/>
        </w:rPr>
        <w:t>The Wall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Street Journal </w:t>
      </w:r>
      <w:r>
        <w:rPr>
          <w:rFonts w:ascii="Arial" w:cs="Arial" w:eastAsia="Arial" w:hAnsi="Arial"/>
          <w:sz w:val="18"/>
          <w:szCs w:val="18"/>
          <w:color w:val="auto"/>
        </w:rPr>
        <w:t>or some other publication of general circulation, and after sufficient time has passed so that the information has been disseminated</w:t>
      </w:r>
      <w:r>
        <w:rPr>
          <w:rFonts w:ascii="Arial" w:cs="Arial" w:eastAsia="Arial" w:hAnsi="Arial"/>
          <w:sz w:val="18"/>
          <w:szCs w:val="18"/>
          <w:i w:val="1"/>
          <w:iCs w:val="1"/>
          <w:color w:val="auto"/>
        </w:rPr>
        <w:t xml:space="preserve"> </w:t>
      </w:r>
      <w:r>
        <w:rPr>
          <w:rFonts w:ascii="Arial" w:cs="Arial" w:eastAsia="Arial" w:hAnsi="Arial"/>
          <w:sz w:val="18"/>
          <w:szCs w:val="18"/>
          <w:color w:val="auto"/>
        </w:rPr>
        <w:t>widely.</w:t>
      </w:r>
    </w:p>
    <w:p>
      <w:pPr>
        <w:spacing w:after="0" w:line="61" w:lineRule="exact"/>
        <w:rPr>
          <w:rFonts w:ascii="Arial" w:cs="Arial" w:eastAsia="Arial" w:hAnsi="Arial"/>
          <w:sz w:val="18"/>
          <w:szCs w:val="18"/>
          <w:color w:val="auto"/>
        </w:rPr>
      </w:pPr>
    </w:p>
    <w:p>
      <w:pPr>
        <w:ind w:left="900" w:right="60" w:hanging="447"/>
        <w:spacing w:after="0" w:line="256"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Advisory Person, before executing any trade for himself or herself, or others, including the Corporation or other accounts managed by the Adviser or by a stockholder of the Adviser, or any affiliate of the stockholder (“Client Accounts”), must determine whether he or she has material, non-public information. Any Advisory Person who believes he or she is in possession of material, non-public information must take the following steps:</w:t>
      </w:r>
    </w:p>
    <w:p>
      <w:pPr>
        <w:spacing w:after="0" w:line="61" w:lineRule="exact"/>
        <w:rPr>
          <w:rFonts w:ascii="Arial" w:cs="Arial" w:eastAsia="Arial" w:hAnsi="Arial"/>
          <w:sz w:val="18"/>
          <w:szCs w:val="18"/>
          <w:color w:val="auto"/>
        </w:rPr>
      </w:pPr>
    </w:p>
    <w:p>
      <w:pPr>
        <w:ind w:left="1160" w:hanging="254"/>
        <w:spacing w:after="0"/>
        <w:tabs>
          <w:tab w:leader="none" w:pos="11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Report the information and proposed trade immediately to the Chief Compliance Officer.</w:t>
      </w:r>
    </w:p>
    <w:p>
      <w:pPr>
        <w:spacing w:after="0" w:line="171" w:lineRule="exact"/>
        <w:rPr>
          <w:rFonts w:ascii="Arial" w:cs="Arial" w:eastAsia="Arial" w:hAnsi="Arial"/>
          <w:sz w:val="18"/>
          <w:szCs w:val="18"/>
          <w:color w:val="auto"/>
        </w:rPr>
      </w:pPr>
    </w:p>
    <w:p>
      <w:pPr>
        <w:ind w:left="1160" w:hanging="254"/>
        <w:spacing w:after="0"/>
        <w:tabs>
          <w:tab w:leader="none" w:pos="11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Do not purchase or sell the securities on behalf of anyone, including Client Accounts.</w:t>
      </w:r>
    </w:p>
    <w:p>
      <w:pPr>
        <w:spacing w:after="0" w:line="171" w:lineRule="exact"/>
        <w:rPr>
          <w:rFonts w:ascii="Arial" w:cs="Arial" w:eastAsia="Arial" w:hAnsi="Arial"/>
          <w:sz w:val="18"/>
          <w:szCs w:val="18"/>
          <w:color w:val="auto"/>
        </w:rPr>
      </w:pPr>
    </w:p>
    <w:p>
      <w:pPr>
        <w:ind w:left="1160" w:hanging="254"/>
        <w:spacing w:after="0"/>
        <w:tabs>
          <w:tab w:leader="none" w:pos="11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Do not communicate the information to any person, other than to the Chief Compliance Officer.</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After the Chief Compliance Officer has reviewed the issue, the Chief Compliance Officer will determine whether the information is material and non-public and, if so, what action the Advisory Person should take. An Advisory Person must consult with the Chief Compliance Officer before taking any further action. This degree of caution will protect the Advisory Person and the Adviser.</w:t>
      </w:r>
    </w:p>
    <w:p>
      <w:pPr>
        <w:spacing w:after="0" w:line="180" w:lineRule="exact"/>
        <w:rPr>
          <w:sz w:val="20"/>
          <w:szCs w:val="20"/>
          <w:color w:val="auto"/>
        </w:rPr>
      </w:pPr>
    </w:p>
    <w:p>
      <w:pPr>
        <w:ind w:left="900" w:right="120" w:hanging="447"/>
        <w:spacing w:after="0" w:line="288" w:lineRule="auto"/>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To prevent and detect insider trading from occurring, the Chief Compliance Officer shall prepare and maintain a “Restricted List” in order to monitor and prevent the occurrence of insider trading in certain securities that Access Persons are prohibited or restricted from trading. The Chief Compliance Officer manages, maintains and updates the Restricted List to actually restrict trading (no buying, no selling, no shorting, no trading, etc.) in the securities of specific issuers for personal accounts and on behalf Adviser’s clients. Before executing any trade for himself or herself, Advisory Persons are required to determine whether the transaction involves a security on the Restricted List. Advisory Persons are prohibited from trading any security which appears on the Restricted List, except that, with prior approval, an Advisory Person may sell securities which were not on the Restricted List when acquired (or which were acquired at a time when the Advisory Person was not subject to such restrictions). The Restricted List must be maintained strictly confidential and not disclosed to anyone outside of the Adviser and the Corporation.</w:t>
      </w:r>
    </w:p>
    <w:p>
      <w:pPr>
        <w:spacing w:after="0" w:line="42" w:lineRule="exact"/>
        <w:rPr>
          <w:rFonts w:ascii="Arial" w:cs="Arial" w:eastAsia="Arial" w:hAnsi="Arial"/>
          <w:sz w:val="16"/>
          <w:szCs w:val="16"/>
          <w:color w:val="auto"/>
        </w:rPr>
      </w:pPr>
    </w:p>
    <w:p>
      <w:pPr>
        <w:ind w:left="900" w:hanging="447"/>
        <w:spacing w:after="0" w:line="290" w:lineRule="auto"/>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Contacts with public companies will sometimes be a part of an Adviser’s research efforts. Persons providing investment advisory services to the Corporation may make investment decisions on the basis of conclusions formed through such contacts and analysis of publicly available information. Difficult legal issues arise, however, when, in the course of these contacts, an Advisory Person becomes aware of material, non-public information. This could happen, for example, if a company’s chief financial officer prematurely discloses quarterly results to an analyst, or an investor relations representative makes selective disclosure of adverse news to a handful of investors. In such situations, the Adviser must make a judgment as to its further conduct. To protect yourself, clients and the Adviser, you should contact the Chief Compliance Officer immediately if you believe that you may have received material, non-public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IX Annual Certification</w:t>
      </w:r>
    </w:p>
    <w:p>
      <w:pPr>
        <w:spacing w:after="0" w:line="96" w:lineRule="exact"/>
        <w:rPr>
          <w:sz w:val="20"/>
          <w:szCs w:val="20"/>
          <w:color w:val="auto"/>
        </w:rPr>
      </w:pPr>
    </w:p>
    <w:p>
      <w:pPr>
        <w:ind w:left="900" w:hanging="447"/>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Access Persons.</w:t>
      </w:r>
    </w:p>
    <w:p>
      <w:pPr>
        <w:spacing w:after="0" w:line="90" w:lineRule="exact"/>
        <w:rPr>
          <w:sz w:val="20"/>
          <w:szCs w:val="20"/>
          <w:color w:val="auto"/>
        </w:rPr>
      </w:pPr>
    </w:p>
    <w:p>
      <w:pPr>
        <w:ind w:right="40" w:firstLine="898"/>
        <w:spacing w:after="0" w:line="259" w:lineRule="auto"/>
        <w:rPr>
          <w:sz w:val="20"/>
          <w:szCs w:val="20"/>
          <w:color w:val="auto"/>
        </w:rPr>
      </w:pPr>
      <w:r>
        <w:rPr>
          <w:rFonts w:ascii="Arial" w:cs="Arial" w:eastAsia="Arial" w:hAnsi="Arial"/>
          <w:sz w:val="18"/>
          <w:szCs w:val="18"/>
          <w:color w:val="auto"/>
        </w:rPr>
        <w:t>Access Persons who are directors, managers, officers or employees of the Corporation or the Adviser shall be required to certify annually that they have read this Code and that they understand it and recognize that they are subject to it. Further, such Access Persons shall be required to certify annually that they have complied with the requirements of this Code.</w:t>
      </w:r>
    </w:p>
    <w:p>
      <w:pPr>
        <w:spacing w:after="0" w:line="180" w:lineRule="exact"/>
        <w:rPr>
          <w:sz w:val="20"/>
          <w:szCs w:val="20"/>
          <w:color w:val="auto"/>
        </w:rPr>
      </w:pPr>
    </w:p>
    <w:p>
      <w:pPr>
        <w:ind w:left="900" w:hanging="447"/>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Board Review.</w:t>
      </w:r>
    </w:p>
    <w:p>
      <w:pPr>
        <w:spacing w:after="0" w:line="90" w:lineRule="exact"/>
        <w:rPr>
          <w:sz w:val="20"/>
          <w:szCs w:val="20"/>
          <w:color w:val="auto"/>
        </w:rPr>
      </w:pPr>
    </w:p>
    <w:p>
      <w:pPr>
        <w:ind w:right="40" w:firstLine="898"/>
        <w:spacing w:after="0" w:line="298" w:lineRule="auto"/>
        <w:rPr>
          <w:sz w:val="20"/>
          <w:szCs w:val="20"/>
          <w:color w:val="auto"/>
        </w:rPr>
      </w:pPr>
      <w:r>
        <w:rPr>
          <w:rFonts w:ascii="Arial" w:cs="Arial" w:eastAsia="Arial" w:hAnsi="Arial"/>
          <w:sz w:val="16"/>
          <w:szCs w:val="16"/>
          <w:color w:val="auto"/>
        </w:rPr>
        <w:t>No less frequently than annually, the Corporation and the Adviser must furnish to the Corporation’s board of directors, and the board must consider, a written report that: (A) describes any issues arising under this Code or procedures since the last report to the board, including, but not limited to, information about material violations of the Code or procedures and sanctions imposed in response to material violations; and (B) certifies that the Corporation or the Adviser, as applicable, has adopted procedures reasonably necessary to prevent Access Persons from violating the Code.</w:t>
      </w:r>
    </w:p>
    <w:p>
      <w:pPr>
        <w:sectPr>
          <w:pgSz w:w="11900" w:h="16838" w:orient="portrait"/>
          <w:cols w:equalWidth="0" w:num="1">
            <w:col w:w="11240"/>
          </w:cols>
          <w:pgMar w:left="320" w:top="280"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X Sanctions</w:t>
      </w:r>
    </w:p>
    <w:p>
      <w:pPr>
        <w:spacing w:after="0" w:line="96" w:lineRule="exact"/>
        <w:rPr>
          <w:sz w:val="20"/>
          <w:szCs w:val="20"/>
          <w:color w:val="auto"/>
        </w:rPr>
      </w:pPr>
    </w:p>
    <w:p>
      <w:pPr>
        <w:ind w:right="140" w:firstLine="449"/>
        <w:spacing w:after="0" w:line="291" w:lineRule="auto"/>
        <w:rPr>
          <w:sz w:val="20"/>
          <w:szCs w:val="20"/>
          <w:color w:val="auto"/>
        </w:rPr>
      </w:pPr>
      <w:r>
        <w:rPr>
          <w:rFonts w:ascii="Arial" w:cs="Arial" w:eastAsia="Arial" w:hAnsi="Arial"/>
          <w:sz w:val="16"/>
          <w:szCs w:val="16"/>
          <w:color w:val="auto"/>
        </w:rPr>
        <w:t>Any violation of this Code shall be subject to the imposition of such sanctions by the 17j-1 Organization as may be deemed appropriate under the circumstances to achieve the purposes of Rule 17j-1 and this Code. The sanctions to be imposed shall be determined by the board of directors, including a majority of the Independent Directors, provided, however, that with respect to violations by persons who are directors, managers, officers or employees of the Adviser (or of a company that controls the Adviser), the sanctions to be imposed shall be determined by the Adviser (or the controlling person thereof). Sanctions may include, but are not limited to, suspension or termination of employment, a letter of censure and/or restitution of an amount equal to the difference between the price paid or received by the Corporation and the more advantageous price paid or received by the offending person.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XI Administration and Construction</w:t>
      </w:r>
    </w:p>
    <w:p>
      <w:pPr>
        <w:spacing w:after="0" w:line="96" w:lineRule="exact"/>
        <w:rPr>
          <w:sz w:val="20"/>
          <w:szCs w:val="20"/>
          <w:color w:val="auto"/>
        </w:rPr>
      </w:pPr>
    </w:p>
    <w:p>
      <w:pPr>
        <w:ind w:left="900" w:hanging="447"/>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administration of this Code shall be the responsibility of the Chief Compliance Officer.</w:t>
      </w:r>
    </w:p>
    <w:p>
      <w:pPr>
        <w:spacing w:after="0" w:line="211" w:lineRule="exact"/>
        <w:rPr>
          <w:rFonts w:ascii="Arial" w:cs="Arial" w:eastAsia="Arial" w:hAnsi="Arial"/>
          <w:sz w:val="18"/>
          <w:szCs w:val="18"/>
          <w:color w:val="auto"/>
        </w:rPr>
      </w:pPr>
    </w:p>
    <w:p>
      <w:pPr>
        <w:ind w:left="900" w:hanging="447"/>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duties of the Chief Compliance Officer are as follows:</w:t>
      </w:r>
    </w:p>
    <w:p>
      <w:pPr>
        <w:spacing w:after="0" w:line="90" w:lineRule="exact"/>
        <w:rPr>
          <w:rFonts w:ascii="Arial" w:cs="Arial" w:eastAsia="Arial" w:hAnsi="Arial"/>
          <w:sz w:val="18"/>
          <w:szCs w:val="18"/>
          <w:color w:val="auto"/>
        </w:rPr>
      </w:pPr>
    </w:p>
    <w:p>
      <w:pPr>
        <w:ind w:firstLine="906"/>
        <w:spacing w:after="0" w:line="259" w:lineRule="auto"/>
        <w:tabs>
          <w:tab w:leader="none" w:pos="1147" w:val="left"/>
        </w:tabs>
        <w:numPr>
          <w:ilvl w:val="1"/>
          <w:numId w:val="69"/>
        </w:numPr>
        <w:rPr>
          <w:rFonts w:ascii="Arial" w:cs="Arial" w:eastAsia="Arial" w:hAnsi="Arial"/>
          <w:sz w:val="18"/>
          <w:szCs w:val="18"/>
          <w:color w:val="auto"/>
        </w:rPr>
      </w:pPr>
      <w:r>
        <w:rPr>
          <w:rFonts w:ascii="Arial" w:cs="Arial" w:eastAsia="Arial" w:hAnsi="Arial"/>
          <w:sz w:val="18"/>
          <w:szCs w:val="18"/>
          <w:color w:val="auto"/>
        </w:rPr>
        <w:t>Continuous maintenance of a current list of the names of all Access Persons with an appropriate description of their title or employment, including a notation of any directorships held by Access Persons who are officers or employees of the Adviser or of any company that controls the Adviser, and informing all Access Persons of their reporting obligations hereunder;</w:t>
      </w:r>
    </w:p>
    <w:p>
      <w:pPr>
        <w:spacing w:after="0" w:line="139" w:lineRule="exact"/>
        <w:rPr>
          <w:rFonts w:ascii="Arial" w:cs="Arial" w:eastAsia="Arial" w:hAnsi="Arial"/>
          <w:sz w:val="18"/>
          <w:szCs w:val="18"/>
          <w:color w:val="auto"/>
        </w:rPr>
      </w:pPr>
    </w:p>
    <w:p>
      <w:pPr>
        <w:ind w:right="100" w:firstLine="906"/>
        <w:spacing w:after="0" w:line="268" w:lineRule="auto"/>
        <w:tabs>
          <w:tab w:leader="none" w:pos="1147" w:val="left"/>
        </w:tabs>
        <w:numPr>
          <w:ilvl w:val="1"/>
          <w:numId w:val="69"/>
        </w:numPr>
        <w:rPr>
          <w:rFonts w:ascii="Arial" w:cs="Arial" w:eastAsia="Arial" w:hAnsi="Arial"/>
          <w:sz w:val="18"/>
          <w:szCs w:val="18"/>
          <w:color w:val="auto"/>
        </w:rPr>
      </w:pPr>
      <w:r>
        <w:rPr>
          <w:rFonts w:ascii="Arial" w:cs="Arial" w:eastAsia="Arial" w:hAnsi="Arial"/>
          <w:sz w:val="18"/>
          <w:szCs w:val="18"/>
          <w:color w:val="auto"/>
        </w:rPr>
        <w:t>On an annual basis, providing all Covered Personnel a copy of this Code and informing such persons of their duties and obligations hereunder including any supplemental training that may be required from time to time;</w:t>
      </w:r>
    </w:p>
    <w:p>
      <w:pPr>
        <w:spacing w:after="0" w:line="131" w:lineRule="exact"/>
        <w:rPr>
          <w:rFonts w:ascii="Arial" w:cs="Arial" w:eastAsia="Arial" w:hAnsi="Arial"/>
          <w:sz w:val="18"/>
          <w:szCs w:val="18"/>
          <w:color w:val="auto"/>
        </w:rPr>
      </w:pPr>
    </w:p>
    <w:p>
      <w:pPr>
        <w:ind w:left="1160" w:hanging="254"/>
        <w:spacing w:after="0"/>
        <w:tabs>
          <w:tab w:leader="none" w:pos="11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Maintaining or supervising the maintenance of all records and reports required by this Code;</w:t>
      </w:r>
    </w:p>
    <w:p>
      <w:pPr>
        <w:spacing w:after="0" w:line="171" w:lineRule="exact"/>
        <w:rPr>
          <w:rFonts w:ascii="Arial" w:cs="Arial" w:eastAsia="Arial" w:hAnsi="Arial"/>
          <w:sz w:val="18"/>
          <w:szCs w:val="18"/>
          <w:color w:val="auto"/>
        </w:rPr>
      </w:pPr>
    </w:p>
    <w:p>
      <w:pPr>
        <w:ind w:right="360" w:firstLine="906"/>
        <w:spacing w:after="0" w:line="268" w:lineRule="auto"/>
        <w:tabs>
          <w:tab w:leader="none" w:pos="1147" w:val="left"/>
        </w:tabs>
        <w:numPr>
          <w:ilvl w:val="1"/>
          <w:numId w:val="69"/>
        </w:numPr>
        <w:rPr>
          <w:rFonts w:ascii="Arial" w:cs="Arial" w:eastAsia="Arial" w:hAnsi="Arial"/>
          <w:sz w:val="18"/>
          <w:szCs w:val="18"/>
          <w:color w:val="auto"/>
        </w:rPr>
      </w:pPr>
      <w:r>
        <w:rPr>
          <w:rFonts w:ascii="Arial" w:cs="Arial" w:eastAsia="Arial" w:hAnsi="Arial"/>
          <w:sz w:val="18"/>
          <w:szCs w:val="18"/>
          <w:color w:val="auto"/>
        </w:rPr>
        <w:t>Preparing listings of all transactions effected by Access Persons who are subject to the requirement to file Quarterly Securities Transaction Reports and reviewing such transactions against a listing of all transactions effected by the Corporation;</w:t>
      </w:r>
    </w:p>
    <w:p>
      <w:pPr>
        <w:spacing w:after="0" w:line="131" w:lineRule="exact"/>
        <w:rPr>
          <w:rFonts w:ascii="Arial" w:cs="Arial" w:eastAsia="Arial" w:hAnsi="Arial"/>
          <w:sz w:val="18"/>
          <w:szCs w:val="18"/>
          <w:color w:val="auto"/>
        </w:rPr>
      </w:pPr>
    </w:p>
    <w:p>
      <w:pPr>
        <w:ind w:right="20" w:firstLine="906"/>
        <w:spacing w:after="0" w:line="268" w:lineRule="auto"/>
        <w:tabs>
          <w:tab w:leader="none" w:pos="1147" w:val="left"/>
        </w:tabs>
        <w:numPr>
          <w:ilvl w:val="1"/>
          <w:numId w:val="69"/>
        </w:numPr>
        <w:rPr>
          <w:rFonts w:ascii="Arial" w:cs="Arial" w:eastAsia="Arial" w:hAnsi="Arial"/>
          <w:sz w:val="18"/>
          <w:szCs w:val="18"/>
          <w:color w:val="auto"/>
        </w:rPr>
      </w:pPr>
      <w:r>
        <w:rPr>
          <w:rFonts w:ascii="Arial" w:cs="Arial" w:eastAsia="Arial" w:hAnsi="Arial"/>
          <w:sz w:val="18"/>
          <w:szCs w:val="18"/>
          <w:color w:val="auto"/>
        </w:rPr>
        <w:t>Issuance either personally or with the assistance of counsel as may be appropriate, of any interpretation of this Code that may appear consistent with the objectives of Rule 17j-1 and this Code;</w:t>
      </w:r>
    </w:p>
    <w:p>
      <w:pPr>
        <w:spacing w:after="0" w:line="131" w:lineRule="exact"/>
        <w:rPr>
          <w:rFonts w:ascii="Arial" w:cs="Arial" w:eastAsia="Arial" w:hAnsi="Arial"/>
          <w:sz w:val="18"/>
          <w:szCs w:val="18"/>
          <w:color w:val="auto"/>
        </w:rPr>
      </w:pPr>
    </w:p>
    <w:p>
      <w:pPr>
        <w:ind w:right="60" w:firstLine="906"/>
        <w:spacing w:after="0" w:line="268" w:lineRule="auto"/>
        <w:tabs>
          <w:tab w:leader="none" w:pos="1147" w:val="left"/>
        </w:tabs>
        <w:numPr>
          <w:ilvl w:val="1"/>
          <w:numId w:val="69"/>
        </w:numPr>
        <w:rPr>
          <w:rFonts w:ascii="Arial" w:cs="Arial" w:eastAsia="Arial" w:hAnsi="Arial"/>
          <w:sz w:val="18"/>
          <w:szCs w:val="18"/>
          <w:color w:val="auto"/>
        </w:rPr>
      </w:pPr>
      <w:r>
        <w:rPr>
          <w:rFonts w:ascii="Arial" w:cs="Arial" w:eastAsia="Arial" w:hAnsi="Arial"/>
          <w:sz w:val="18"/>
          <w:szCs w:val="18"/>
          <w:color w:val="auto"/>
        </w:rPr>
        <w:t>Conduct such inspections or investigations as shall reasonably be required to detect and report, with recommendations, any apparent violations of this Code to the board of directors of the Corporation;</w:t>
      </w:r>
    </w:p>
    <w:p>
      <w:pPr>
        <w:spacing w:after="0" w:line="131" w:lineRule="exact"/>
        <w:rPr>
          <w:rFonts w:ascii="Arial" w:cs="Arial" w:eastAsia="Arial" w:hAnsi="Arial"/>
          <w:sz w:val="18"/>
          <w:szCs w:val="18"/>
          <w:color w:val="auto"/>
        </w:rPr>
      </w:pPr>
    </w:p>
    <w:p>
      <w:pPr>
        <w:ind w:right="160" w:firstLine="906"/>
        <w:spacing w:after="0" w:line="331" w:lineRule="auto"/>
        <w:tabs>
          <w:tab w:leader="none" w:pos="1147" w:val="left"/>
        </w:tabs>
        <w:numPr>
          <w:ilvl w:val="1"/>
          <w:numId w:val="69"/>
        </w:numPr>
        <w:rPr>
          <w:rFonts w:ascii="Arial" w:cs="Arial" w:eastAsia="Arial" w:hAnsi="Arial"/>
          <w:sz w:val="16"/>
          <w:szCs w:val="16"/>
          <w:color w:val="auto"/>
        </w:rPr>
      </w:pPr>
      <w:r>
        <w:rPr>
          <w:rFonts w:ascii="Arial" w:cs="Arial" w:eastAsia="Arial" w:hAnsi="Arial"/>
          <w:sz w:val="16"/>
          <w:szCs w:val="16"/>
          <w:color w:val="auto"/>
        </w:rPr>
        <w:t>Submission of a report to the board of directors of the Corporation, no less frequently than annually, a written report that describes any issues arising under the Code since the last such report, including but not limited to the information described in Section VII (B); and</w:t>
      </w:r>
    </w:p>
    <w:p>
      <w:pPr>
        <w:spacing w:after="0" w:line="127" w:lineRule="exact"/>
        <w:rPr>
          <w:rFonts w:ascii="Arial" w:cs="Arial" w:eastAsia="Arial" w:hAnsi="Arial"/>
          <w:sz w:val="16"/>
          <w:szCs w:val="16"/>
          <w:color w:val="auto"/>
        </w:rPr>
      </w:pPr>
    </w:p>
    <w:p>
      <w:pPr>
        <w:ind w:left="900" w:right="200" w:hanging="447"/>
        <w:spacing w:after="0" w:line="268"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Chief Financial Officer shall maintain and cause to be maintained in an easily accessible place at the principal place of business of the 17j-1 Organization, the following records:</w:t>
      </w:r>
    </w:p>
    <w:p>
      <w:pPr>
        <w:spacing w:after="0" w:line="50" w:lineRule="exact"/>
        <w:rPr>
          <w:rFonts w:ascii="Arial" w:cs="Arial" w:eastAsia="Arial" w:hAnsi="Arial"/>
          <w:sz w:val="18"/>
          <w:szCs w:val="18"/>
          <w:color w:val="auto"/>
        </w:rPr>
      </w:pPr>
    </w:p>
    <w:p>
      <w:pPr>
        <w:ind w:right="160" w:firstLine="906"/>
        <w:spacing w:after="0" w:line="268" w:lineRule="auto"/>
        <w:tabs>
          <w:tab w:leader="none" w:pos="1147" w:val="left"/>
        </w:tabs>
        <w:numPr>
          <w:ilvl w:val="1"/>
          <w:numId w:val="69"/>
        </w:numPr>
        <w:rPr>
          <w:rFonts w:ascii="Arial" w:cs="Arial" w:eastAsia="Arial" w:hAnsi="Arial"/>
          <w:sz w:val="18"/>
          <w:szCs w:val="18"/>
          <w:color w:val="auto"/>
        </w:rPr>
      </w:pPr>
      <w:r>
        <w:rPr>
          <w:rFonts w:ascii="Arial" w:cs="Arial" w:eastAsia="Arial" w:hAnsi="Arial"/>
          <w:sz w:val="18"/>
          <w:szCs w:val="18"/>
          <w:color w:val="auto"/>
        </w:rPr>
        <w:t>A copy of all codes of ethics adopted by the Corporation or the Adviser and its affiliates, as the case may be, pursuant to Rule 17j-1 that have been in effect at any time during the past five (5) years;</w:t>
      </w:r>
    </w:p>
    <w:p>
      <w:pPr>
        <w:spacing w:after="0" w:line="131" w:lineRule="exact"/>
        <w:rPr>
          <w:rFonts w:ascii="Arial" w:cs="Arial" w:eastAsia="Arial" w:hAnsi="Arial"/>
          <w:sz w:val="18"/>
          <w:szCs w:val="18"/>
          <w:color w:val="auto"/>
        </w:rPr>
      </w:pPr>
    </w:p>
    <w:p>
      <w:pPr>
        <w:ind w:right="80" w:firstLine="906"/>
        <w:spacing w:after="0" w:line="268" w:lineRule="auto"/>
        <w:tabs>
          <w:tab w:leader="none" w:pos="1147" w:val="left"/>
        </w:tabs>
        <w:numPr>
          <w:ilvl w:val="1"/>
          <w:numId w:val="69"/>
        </w:numPr>
        <w:rPr>
          <w:rFonts w:ascii="Arial" w:cs="Arial" w:eastAsia="Arial" w:hAnsi="Arial"/>
          <w:sz w:val="18"/>
          <w:szCs w:val="18"/>
          <w:color w:val="auto"/>
        </w:rPr>
      </w:pPr>
      <w:r>
        <w:rPr>
          <w:rFonts w:ascii="Arial" w:cs="Arial" w:eastAsia="Arial" w:hAnsi="Arial"/>
          <w:sz w:val="18"/>
          <w:szCs w:val="18"/>
          <w:color w:val="auto"/>
        </w:rPr>
        <w:t>A record of each violation of such codes of ethics and of any action taken as a result of such violation for at least five (5) years after the end of the fiscal year in which the violation occurs;</w:t>
      </w:r>
    </w:p>
    <w:p>
      <w:pPr>
        <w:spacing w:after="0" w:line="131" w:lineRule="exact"/>
        <w:rPr>
          <w:rFonts w:ascii="Arial" w:cs="Arial" w:eastAsia="Arial" w:hAnsi="Arial"/>
          <w:sz w:val="18"/>
          <w:szCs w:val="18"/>
          <w:color w:val="auto"/>
        </w:rPr>
      </w:pPr>
    </w:p>
    <w:p>
      <w:pPr>
        <w:ind w:right="200" w:firstLine="906"/>
        <w:spacing w:after="0" w:line="268" w:lineRule="auto"/>
        <w:tabs>
          <w:tab w:leader="none" w:pos="1147" w:val="left"/>
        </w:tabs>
        <w:numPr>
          <w:ilvl w:val="1"/>
          <w:numId w:val="69"/>
        </w:numPr>
        <w:rPr>
          <w:rFonts w:ascii="Arial" w:cs="Arial" w:eastAsia="Arial" w:hAnsi="Arial"/>
          <w:sz w:val="18"/>
          <w:szCs w:val="18"/>
          <w:color w:val="auto"/>
        </w:rPr>
      </w:pPr>
      <w:r>
        <w:rPr>
          <w:rFonts w:ascii="Arial" w:cs="Arial" w:eastAsia="Arial" w:hAnsi="Arial"/>
          <w:sz w:val="18"/>
          <w:szCs w:val="18"/>
          <w:color w:val="auto"/>
        </w:rPr>
        <w:t>A copy of each report made by an Access Person for at least two (2) years after the end of the fiscal year in which the report is made, and for an additional three (3) years in a place that need not be easily accessible;</w:t>
      </w:r>
    </w:p>
    <w:p>
      <w:pPr>
        <w:spacing w:after="0" w:line="131" w:lineRule="exact"/>
        <w:rPr>
          <w:rFonts w:ascii="Arial" w:cs="Arial" w:eastAsia="Arial" w:hAnsi="Arial"/>
          <w:sz w:val="18"/>
          <w:szCs w:val="18"/>
          <w:color w:val="auto"/>
        </w:rPr>
      </w:pPr>
    </w:p>
    <w:p>
      <w:pPr>
        <w:ind w:right="240" w:firstLine="906"/>
        <w:spacing w:after="0" w:line="331" w:lineRule="auto"/>
        <w:tabs>
          <w:tab w:leader="none" w:pos="1147" w:val="left"/>
        </w:tabs>
        <w:numPr>
          <w:ilvl w:val="1"/>
          <w:numId w:val="69"/>
        </w:numPr>
        <w:rPr>
          <w:rFonts w:ascii="Arial" w:cs="Arial" w:eastAsia="Arial" w:hAnsi="Arial"/>
          <w:sz w:val="16"/>
          <w:szCs w:val="16"/>
          <w:color w:val="auto"/>
        </w:rPr>
      </w:pPr>
      <w:r>
        <w:rPr>
          <w:rFonts w:ascii="Arial" w:cs="Arial" w:eastAsia="Arial" w:hAnsi="Arial"/>
          <w:sz w:val="16"/>
          <w:szCs w:val="16"/>
          <w:color w:val="auto"/>
        </w:rPr>
        <w:t>A copy of each report made by the Chief Compliance Officer to the board of directors for two (2) years from the end of the fiscal year of the Corporation in which such report is made or issued and for an additional three (3) years in a place that need not be easily accessible;</w:t>
      </w:r>
    </w:p>
    <w:p>
      <w:pPr>
        <w:spacing w:after="0" w:line="86" w:lineRule="exact"/>
        <w:rPr>
          <w:rFonts w:ascii="Arial" w:cs="Arial" w:eastAsia="Arial" w:hAnsi="Arial"/>
          <w:sz w:val="16"/>
          <w:szCs w:val="16"/>
          <w:color w:val="auto"/>
        </w:rPr>
      </w:pPr>
    </w:p>
    <w:p>
      <w:pPr>
        <w:ind w:right="60" w:firstLine="906"/>
        <w:spacing w:after="0" w:line="268" w:lineRule="auto"/>
        <w:tabs>
          <w:tab w:leader="none" w:pos="1147" w:val="left"/>
        </w:tabs>
        <w:numPr>
          <w:ilvl w:val="1"/>
          <w:numId w:val="69"/>
        </w:numPr>
        <w:rPr>
          <w:rFonts w:ascii="Arial" w:cs="Arial" w:eastAsia="Arial" w:hAnsi="Arial"/>
          <w:sz w:val="18"/>
          <w:szCs w:val="18"/>
          <w:color w:val="auto"/>
        </w:rPr>
      </w:pPr>
      <w:r>
        <w:rPr>
          <w:rFonts w:ascii="Arial" w:cs="Arial" w:eastAsia="Arial" w:hAnsi="Arial"/>
          <w:sz w:val="18"/>
          <w:szCs w:val="18"/>
          <w:color w:val="auto"/>
        </w:rPr>
        <w:t>A list of all persons who are, or within the past five (5) years have been, required to make reports pursuant to the Rule and this Code of Ethics, or who are or were responsible for reviewing such reports;</w:t>
      </w:r>
    </w:p>
    <w:p>
      <w:pPr>
        <w:sectPr>
          <w:pgSz w:w="11900" w:h="16838" w:orient="portrait"/>
          <w:cols w:equalWidth="0" w:num="1">
            <w:col w:w="11240"/>
          </w:cols>
          <w:pgMar w:left="320" w:top="274" w:right="339" w:bottom="1440" w:gutter="0" w:footer="0" w:header="0"/>
        </w:sectPr>
      </w:pPr>
    </w:p>
    <w:bookmarkStart w:id="90" w:name="page91"/>
    <w:bookmarkEnd w:id="90"/>
    <w:p>
      <w:pPr>
        <w:ind w:right="500" w:firstLine="906"/>
        <w:spacing w:after="0" w:line="268" w:lineRule="auto"/>
        <w:tabs>
          <w:tab w:leader="none" w:pos="1147" w:val="left"/>
        </w:tabs>
        <w:numPr>
          <w:ilvl w:val="1"/>
          <w:numId w:val="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copy of each report required by Section VII (B) for at least two (2) years after the end of the fiscal year in which it is made, and for an additional three (3) years in a place that need not be easily accessible; and</w:t>
      </w:r>
    </w:p>
    <w:p>
      <w:pPr>
        <w:spacing w:after="0" w:line="131" w:lineRule="exact"/>
        <w:rPr>
          <w:rFonts w:ascii="Arial" w:cs="Arial" w:eastAsia="Arial" w:hAnsi="Arial"/>
          <w:sz w:val="18"/>
          <w:szCs w:val="18"/>
          <w:color w:val="auto"/>
        </w:rPr>
      </w:pPr>
    </w:p>
    <w:p>
      <w:pPr>
        <w:ind w:right="200" w:firstLine="906"/>
        <w:spacing w:after="0" w:line="331" w:lineRule="auto"/>
        <w:tabs>
          <w:tab w:leader="none" w:pos="1147" w:val="left"/>
        </w:tabs>
        <w:numPr>
          <w:ilvl w:val="1"/>
          <w:numId w:val="70"/>
        </w:numPr>
        <w:rPr>
          <w:rFonts w:ascii="Arial" w:cs="Arial" w:eastAsia="Arial" w:hAnsi="Arial"/>
          <w:sz w:val="16"/>
          <w:szCs w:val="16"/>
          <w:color w:val="auto"/>
        </w:rPr>
      </w:pPr>
      <w:r>
        <w:rPr>
          <w:rFonts w:ascii="Arial" w:cs="Arial" w:eastAsia="Arial" w:hAnsi="Arial"/>
          <w:sz w:val="16"/>
          <w:szCs w:val="16"/>
          <w:color w:val="auto"/>
        </w:rPr>
        <w:t>A record of any decision, and the reasons supporting the decision, to approve the acquisition by an Advisory Person of securities in an Initial Public Offering or Limited Offering for at least five (5) years after the end of the fiscal year in which the approval is granted.</w:t>
      </w:r>
    </w:p>
    <w:p>
      <w:pPr>
        <w:spacing w:after="0" w:line="127" w:lineRule="exact"/>
        <w:rPr>
          <w:rFonts w:ascii="Arial" w:cs="Arial" w:eastAsia="Arial" w:hAnsi="Arial"/>
          <w:sz w:val="16"/>
          <w:szCs w:val="16"/>
          <w:color w:val="auto"/>
        </w:rPr>
      </w:pPr>
    </w:p>
    <w:p>
      <w:pPr>
        <w:ind w:left="900" w:hanging="447"/>
        <w:spacing w:after="0" w:line="391" w:lineRule="auto"/>
        <w:tabs>
          <w:tab w:leader="none" w:pos="893"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This Code may not be amended or modified except in a written form that is specifically approved by majority vote of the Independent Directors. This Joint Code of Ethics, originally adopted December 12, 2007, is annually reviewed and approved by the Board of Directors of the Corporation,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including a majority of the Independent Directors.</w:t>
      </w:r>
    </w:p>
    <w:p>
      <w:pPr>
        <w:sectPr>
          <w:pgSz w:w="11900" w:h="16838" w:orient="portrait"/>
          <w:cols w:equalWidth="0" w:num="1">
            <w:col w:w="11240"/>
          </w:cols>
          <w:pgMar w:left="320" w:top="280"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420" w:type="dxa"/>
            <w:vAlign w:val="bottom"/>
          </w:tcPr>
          <w:p>
            <w:pPr>
              <w:spacing w:after="0"/>
              <w:rPr>
                <w:sz w:val="19"/>
                <w:szCs w:val="19"/>
                <w:color w:val="auto"/>
              </w:rPr>
            </w:pPr>
          </w:p>
        </w:tc>
        <w:tc>
          <w:tcPr>
            <w:tcW w:w="7960" w:type="dxa"/>
            <w:vAlign w:val="bottom"/>
          </w:tcPr>
          <w:p>
            <w:pPr>
              <w:ind w:left="680"/>
              <w:spacing w:after="0"/>
              <w:rPr>
                <w:sz w:val="20"/>
                <w:szCs w:val="20"/>
                <w:color w:val="auto"/>
              </w:rPr>
            </w:pPr>
            <w:r>
              <w:rPr>
                <w:rFonts w:ascii="Arial" w:cs="Arial" w:eastAsia="Arial" w:hAnsi="Arial"/>
                <w:sz w:val="18"/>
                <w:szCs w:val="18"/>
                <w:b w:val="1"/>
                <w:bCs w:val="1"/>
                <w:color w:val="auto"/>
              </w:rPr>
              <w:t>Persons controlled by or under common control with the Registrant</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10380" w:type="dxa"/>
            <w:vAlign w:val="bottom"/>
            <w:gridSpan w:val="2"/>
          </w:tcPr>
          <w:p>
            <w:pPr>
              <w:spacing w:after="0"/>
              <w:rPr>
                <w:sz w:val="20"/>
                <w:szCs w:val="20"/>
                <w:color w:val="auto"/>
              </w:rPr>
            </w:pPr>
            <w:r>
              <w:rPr>
                <w:rFonts w:ascii="Arial" w:cs="Arial" w:eastAsia="Arial" w:hAnsi="Arial"/>
                <w:sz w:val="18"/>
                <w:szCs w:val="18"/>
                <w:color w:val="auto"/>
              </w:rPr>
              <w:t>The following lists sets forth each of the companies considered to be controlled by us as defined by the 1940 Act.</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420" w:type="dxa"/>
            <w:vAlign w:val="bottom"/>
          </w:tcPr>
          <w:p>
            <w:pPr>
              <w:spacing w:after="0"/>
              <w:rPr>
                <w:sz w:val="19"/>
                <w:szCs w:val="19"/>
                <w:color w:val="auto"/>
              </w:rPr>
            </w:pPr>
          </w:p>
        </w:tc>
        <w:tc>
          <w:tcPr>
            <w:tcW w:w="7960" w:type="dxa"/>
            <w:vAlign w:val="bottom"/>
          </w:tcPr>
          <w:p>
            <w:pPr>
              <w:spacing w:after="0"/>
              <w:rPr>
                <w:sz w:val="19"/>
                <w:szCs w:val="19"/>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3"/>
              </w:rPr>
              <w:t>Voting</w:t>
            </w: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Securities</w:t>
            </w:r>
          </w:p>
        </w:tc>
        <w:tc>
          <w:tcPr>
            <w:tcW w:w="0" w:type="dxa"/>
            <w:vAlign w:val="bottom"/>
          </w:tcPr>
          <w:p>
            <w:pPr>
              <w:spacing w:after="0"/>
              <w:rPr>
                <w:sz w:val="1"/>
                <w:szCs w:val="1"/>
                <w:color w:val="auto"/>
              </w:rPr>
            </w:pPr>
          </w:p>
        </w:tc>
      </w:tr>
      <w:tr>
        <w:trPr>
          <w:trHeight w:val="148"/>
        </w:trPr>
        <w:tc>
          <w:tcPr>
            <w:tcW w:w="2420" w:type="dxa"/>
            <w:vAlign w:val="bottom"/>
            <w:vMerge w:val="restart"/>
          </w:tcPr>
          <w:p>
            <w:pPr>
              <w:spacing w:after="0"/>
              <w:rPr>
                <w:sz w:val="20"/>
                <w:szCs w:val="20"/>
                <w:color w:val="auto"/>
              </w:rPr>
            </w:pPr>
            <w:r>
              <w:rPr>
                <w:rFonts w:ascii="Arial" w:cs="Arial" w:eastAsia="Arial" w:hAnsi="Arial"/>
                <w:sz w:val="13"/>
                <w:szCs w:val="13"/>
                <w:b w:val="1"/>
                <w:bCs w:val="1"/>
                <w:color w:val="auto"/>
                <w:w w:val="98"/>
              </w:rPr>
              <w:t>Name of entity and place of jurisdiction</w:t>
            </w:r>
          </w:p>
        </w:tc>
        <w:tc>
          <w:tcPr>
            <w:tcW w:w="7960" w:type="dxa"/>
            <w:vAlign w:val="bottom"/>
            <w:vMerge w:val="restart"/>
          </w:tcPr>
          <w:p>
            <w:pPr>
              <w:spacing w:after="0"/>
              <w:rPr>
                <w:sz w:val="12"/>
                <w:szCs w:val="12"/>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Owned</w:t>
            </w:r>
          </w:p>
        </w:tc>
        <w:tc>
          <w:tcPr>
            <w:tcW w:w="0" w:type="dxa"/>
            <w:vAlign w:val="bottom"/>
          </w:tcPr>
          <w:p>
            <w:pPr>
              <w:spacing w:after="0"/>
              <w:rPr>
                <w:sz w:val="1"/>
                <w:szCs w:val="1"/>
                <w:color w:val="auto"/>
              </w:rPr>
            </w:pPr>
          </w:p>
        </w:tc>
      </w:tr>
      <w:tr>
        <w:trPr>
          <w:trHeight w:val="153"/>
        </w:trPr>
        <w:tc>
          <w:tcPr>
            <w:tcW w:w="2420" w:type="dxa"/>
            <w:vAlign w:val="bottom"/>
            <w:tcBorders>
              <w:bottom w:val="single" w:sz="8" w:color="auto"/>
            </w:tcBorders>
            <w:vMerge w:val="continue"/>
          </w:tcPr>
          <w:p>
            <w:pPr>
              <w:spacing w:after="0"/>
              <w:rPr>
                <w:sz w:val="12"/>
                <w:szCs w:val="12"/>
                <w:color w:val="auto"/>
              </w:rPr>
            </w:pPr>
          </w:p>
        </w:tc>
        <w:tc>
          <w:tcPr>
            <w:tcW w:w="7960" w:type="dxa"/>
            <w:vAlign w:val="bottom"/>
            <w:vMerge w:val="continue"/>
          </w:tcPr>
          <w:p>
            <w:pPr>
              <w:spacing w:after="0"/>
              <w:rPr>
                <w:sz w:val="12"/>
                <w:szCs w:val="12"/>
                <w:color w:val="auto"/>
              </w:rPr>
            </w:pP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3"/>
                <w:szCs w:val="13"/>
                <w:b w:val="1"/>
                <w:bCs w:val="1"/>
                <w:color w:val="auto"/>
                <w:w w:val="91"/>
              </w:rPr>
              <w:t>Percentage</w:t>
            </w:r>
          </w:p>
        </w:tc>
        <w:tc>
          <w:tcPr>
            <w:tcW w:w="0" w:type="dxa"/>
            <w:vAlign w:val="bottom"/>
          </w:tcPr>
          <w:p>
            <w:pPr>
              <w:spacing w:after="0"/>
              <w:rPr>
                <w:sz w:val="1"/>
                <w:szCs w:val="1"/>
                <w:color w:val="auto"/>
              </w:rPr>
            </w:pPr>
          </w:p>
        </w:tc>
      </w:tr>
      <w:tr>
        <w:trPr>
          <w:trHeight w:val="20"/>
        </w:trPr>
        <w:tc>
          <w:tcPr>
            <w:tcW w:w="103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PennantPark Floating Rate Funding I, LLC (Delaware)</w:t>
            </w: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380" w:type="dxa"/>
            <w:vAlign w:val="bottom"/>
            <w:gridSpan w:val="2"/>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92" w:name="page93"/>
    <w:bookmarkEnd w:id="92"/>
    <w:p>
      <w:pPr>
        <w:ind w:left="9720"/>
        <w:spacing w:after="0"/>
        <w:rPr>
          <w:sz w:val="20"/>
          <w:szCs w:val="20"/>
          <w:color w:val="auto"/>
        </w:rPr>
      </w:pPr>
      <w:r>
        <w:rPr>
          <w:rFonts w:ascii="Arial" w:cs="Arial" w:eastAsia="Arial" w:hAnsi="Arial"/>
          <w:sz w:val="13"/>
          <w:szCs w:val="13"/>
          <w:b w:val="1"/>
          <w:bCs w:val="1"/>
          <w:color w:val="auto"/>
        </w:rPr>
        <w:t>EXHIBIT 31.1</w:t>
      </w:r>
    </w:p>
    <w:p>
      <w:pPr>
        <w:spacing w:after="0" w:line="134"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CERTIFICATION PURSUANT TO SECTION 302</w:t>
      </w:r>
    </w:p>
    <w:p>
      <w:pPr>
        <w:spacing w:after="0" w:line="13" w:lineRule="exact"/>
        <w:rPr>
          <w:sz w:val="20"/>
          <w:szCs w:val="20"/>
          <w:color w:val="auto"/>
        </w:rPr>
      </w:pPr>
    </w:p>
    <w:p>
      <w:pPr>
        <w:ind w:left="4120"/>
        <w:spacing w:after="0"/>
        <w:rPr>
          <w:sz w:val="20"/>
          <w:szCs w:val="20"/>
          <w:color w:val="auto"/>
        </w:rPr>
      </w:pPr>
      <w:r>
        <w:rPr>
          <w:rFonts w:ascii="Arial" w:cs="Arial" w:eastAsia="Arial" w:hAnsi="Arial"/>
          <w:sz w:val="13"/>
          <w:szCs w:val="13"/>
          <w:b w:val="1"/>
          <w:bCs w:val="1"/>
          <w:color w:val="auto"/>
        </w:rPr>
        <w:t>CHIEF EXECUTIVE OFFICER CERTIFICATION</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color w:val="auto"/>
        </w:rPr>
        <w:t>I, Arthur H. Penn, Chairman of the Board and Chief Executive Officer of PennantPark Floating Rate Capital Ltd., certify that:</w:t>
      </w:r>
    </w:p>
    <w:p>
      <w:pPr>
        <w:spacing w:after="0" w:line="53" w:lineRule="exact"/>
        <w:rPr>
          <w:sz w:val="20"/>
          <w:szCs w:val="20"/>
          <w:color w:val="auto"/>
        </w:rPr>
      </w:pPr>
    </w:p>
    <w:p>
      <w:pPr>
        <w:ind w:left="700" w:hanging="130"/>
        <w:spacing w:after="0"/>
        <w:tabs>
          <w:tab w:leader="none" w:pos="700" w:val="left"/>
        </w:tabs>
        <w:numPr>
          <w:ilvl w:val="0"/>
          <w:numId w:val="72"/>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PennantPark Floating Rate Capital Ltd.;</w:t>
      </w:r>
    </w:p>
    <w:p>
      <w:pPr>
        <w:spacing w:after="0" w:line="134" w:lineRule="exact"/>
        <w:rPr>
          <w:rFonts w:ascii="Arial" w:cs="Arial" w:eastAsia="Arial" w:hAnsi="Arial"/>
          <w:sz w:val="13"/>
          <w:szCs w:val="13"/>
          <w:color w:val="auto"/>
        </w:rPr>
      </w:pPr>
    </w:p>
    <w:p>
      <w:pPr>
        <w:ind w:left="560" w:right="140" w:firstLine="10"/>
        <w:spacing w:after="0" w:line="274" w:lineRule="auto"/>
        <w:tabs>
          <w:tab w:leader="none" w:pos="695" w:val="left"/>
        </w:tabs>
        <w:numPr>
          <w:ilvl w:val="0"/>
          <w:numId w:val="72"/>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0" w:lineRule="exact"/>
        <w:rPr>
          <w:rFonts w:ascii="Arial" w:cs="Arial" w:eastAsia="Arial" w:hAnsi="Arial"/>
          <w:sz w:val="13"/>
          <w:szCs w:val="13"/>
          <w:color w:val="auto"/>
        </w:rPr>
      </w:pPr>
    </w:p>
    <w:p>
      <w:pPr>
        <w:ind w:left="560" w:right="200" w:firstLine="10"/>
        <w:spacing w:after="0" w:line="274" w:lineRule="auto"/>
        <w:tabs>
          <w:tab w:leader="none" w:pos="695" w:val="left"/>
        </w:tabs>
        <w:numPr>
          <w:ilvl w:val="0"/>
          <w:numId w:val="72"/>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0" w:lineRule="exact"/>
        <w:rPr>
          <w:rFonts w:ascii="Arial" w:cs="Arial" w:eastAsia="Arial" w:hAnsi="Arial"/>
          <w:sz w:val="13"/>
          <w:szCs w:val="13"/>
          <w:color w:val="auto"/>
        </w:rPr>
      </w:pPr>
    </w:p>
    <w:p>
      <w:pPr>
        <w:ind w:left="560" w:right="40" w:firstLine="10"/>
        <w:spacing w:after="0" w:line="274" w:lineRule="auto"/>
        <w:tabs>
          <w:tab w:leader="none" w:pos="695" w:val="left"/>
        </w:tabs>
        <w:numPr>
          <w:ilvl w:val="0"/>
          <w:numId w:val="72"/>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 w:lineRule="exact"/>
        <w:rPr>
          <w:rFonts w:ascii="Arial" w:cs="Arial" w:eastAsia="Arial" w:hAnsi="Arial"/>
          <w:sz w:val="13"/>
          <w:szCs w:val="13"/>
          <w:color w:val="auto"/>
        </w:rPr>
      </w:pPr>
    </w:p>
    <w:p>
      <w:pPr>
        <w:ind w:left="1020" w:right="40" w:hanging="1"/>
        <w:spacing w:after="0" w:line="305" w:lineRule="auto"/>
        <w:tabs>
          <w:tab w:leader="none" w:pos="1159" w:val="left"/>
        </w:tabs>
        <w:numPr>
          <w:ilvl w:val="1"/>
          <w:numId w:val="72"/>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ind w:left="1020" w:right="240" w:hanging="1"/>
        <w:spacing w:after="0" w:line="305" w:lineRule="auto"/>
        <w:tabs>
          <w:tab w:leader="none" w:pos="1166" w:val="left"/>
        </w:tabs>
        <w:numPr>
          <w:ilvl w:val="1"/>
          <w:numId w:val="72"/>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ind w:left="1020" w:right="420" w:hanging="1"/>
        <w:spacing w:after="0" w:line="274" w:lineRule="auto"/>
        <w:tabs>
          <w:tab w:leader="none" w:pos="1159" w:val="left"/>
        </w:tabs>
        <w:numPr>
          <w:ilvl w:val="1"/>
          <w:numId w:val="72"/>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 w:lineRule="exact"/>
        <w:rPr>
          <w:rFonts w:ascii="Arial" w:cs="Arial" w:eastAsia="Arial" w:hAnsi="Arial"/>
          <w:sz w:val="13"/>
          <w:szCs w:val="13"/>
          <w:color w:val="auto"/>
        </w:rPr>
      </w:pPr>
    </w:p>
    <w:p>
      <w:pPr>
        <w:ind w:left="1020" w:right="80" w:hanging="1"/>
        <w:spacing w:after="0" w:line="317" w:lineRule="auto"/>
        <w:tabs>
          <w:tab w:leader="none" w:pos="1166" w:val="left"/>
        </w:tabs>
        <w:numPr>
          <w:ilvl w:val="1"/>
          <w:numId w:val="72"/>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Arial" w:cs="Arial" w:eastAsia="Arial" w:hAnsi="Arial"/>
          <w:sz w:val="12"/>
          <w:szCs w:val="12"/>
          <w:color w:val="auto"/>
        </w:rPr>
      </w:pPr>
    </w:p>
    <w:p>
      <w:pPr>
        <w:ind w:left="560" w:firstLine="10"/>
        <w:spacing w:after="0" w:line="274" w:lineRule="auto"/>
        <w:tabs>
          <w:tab w:leader="none" w:pos="695" w:val="left"/>
        </w:tabs>
        <w:numPr>
          <w:ilvl w:val="0"/>
          <w:numId w:val="72"/>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 w:lineRule="exact"/>
        <w:rPr>
          <w:rFonts w:ascii="Arial" w:cs="Arial" w:eastAsia="Arial" w:hAnsi="Arial"/>
          <w:sz w:val="13"/>
          <w:szCs w:val="13"/>
          <w:color w:val="auto"/>
        </w:rPr>
      </w:pPr>
    </w:p>
    <w:p>
      <w:pPr>
        <w:ind w:left="1020" w:right="120" w:hanging="1"/>
        <w:spacing w:after="0" w:line="274" w:lineRule="auto"/>
        <w:tabs>
          <w:tab w:leader="none" w:pos="1159" w:val="left"/>
        </w:tabs>
        <w:numPr>
          <w:ilvl w:val="1"/>
          <w:numId w:val="72"/>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 w:lineRule="exact"/>
        <w:rPr>
          <w:rFonts w:ascii="Arial" w:cs="Arial" w:eastAsia="Arial" w:hAnsi="Arial"/>
          <w:sz w:val="13"/>
          <w:szCs w:val="13"/>
          <w:color w:val="auto"/>
        </w:rPr>
      </w:pPr>
    </w:p>
    <w:p>
      <w:pPr>
        <w:ind w:left="1160" w:hanging="141"/>
        <w:spacing w:after="0"/>
        <w:tabs>
          <w:tab w:leader="none" w:pos="1160" w:val="left"/>
        </w:tabs>
        <w:numPr>
          <w:ilvl w:val="1"/>
          <w:numId w:val="72"/>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color w:val="auto"/>
        </w:rPr>
        <w:t>Date: November 14, 2012</w:t>
      </w:r>
    </w:p>
    <w:p>
      <w:pPr>
        <w:spacing w:after="0" w:line="148" w:lineRule="exact"/>
        <w:rPr>
          <w:sz w:val="20"/>
          <w:szCs w:val="20"/>
          <w:color w:val="auto"/>
        </w:rPr>
      </w:pPr>
    </w:p>
    <w:p>
      <w:pPr>
        <w:spacing w:after="0"/>
        <w:tabs>
          <w:tab w:leader="none" w:pos="1660" w:val="left"/>
          <w:tab w:leader="none" w:pos="192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w:t>
      </w:r>
      <w:r>
        <w:rPr>
          <w:sz w:val="20"/>
          <w:szCs w:val="20"/>
          <w:color w:val="auto"/>
        </w:rPr>
        <w:tab/>
      </w:r>
      <w:r>
        <w:rPr>
          <w:rFonts w:ascii="Arial" w:cs="Arial" w:eastAsia="Arial" w:hAnsi="Arial"/>
          <w:sz w:val="12"/>
          <w:szCs w:val="12"/>
          <w:color w:val="auto"/>
        </w:rPr>
        <w:t>A</w:t>
      </w:r>
      <w:r>
        <w:rPr>
          <w:rFonts w:ascii="Arial" w:cs="Arial" w:eastAsia="Arial" w:hAnsi="Arial"/>
          <w:sz w:val="10"/>
          <w:szCs w:val="10"/>
          <w:color w:val="auto"/>
        </w:rPr>
        <w:t>RTHUR</w:t>
      </w:r>
      <w:r>
        <w:rPr>
          <w:rFonts w:ascii="Arial" w:cs="Arial" w:eastAsia="Arial" w:hAnsi="Arial"/>
          <w:sz w:val="12"/>
          <w:szCs w:val="12"/>
          <w:color w:val="auto"/>
        </w:rPr>
        <w:t xml:space="preserve"> H. P</w:t>
      </w:r>
      <w:r>
        <w:rPr>
          <w:rFonts w:ascii="Arial" w:cs="Arial" w:eastAsia="Arial" w:hAnsi="Arial"/>
          <w:sz w:val="10"/>
          <w:szCs w:val="10"/>
          <w:color w:val="auto"/>
        </w:rPr>
        <w:t>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6350</wp:posOffset>
            </wp:positionV>
            <wp:extent cx="264033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640330" cy="8890"/>
                    </a:xfrm>
                    <a:prstGeom prst="rect">
                      <a:avLst/>
                    </a:prstGeom>
                    <a:noFill/>
                  </pic:spPr>
                </pic:pic>
              </a:graphicData>
            </a:graphic>
          </wp:anchor>
        </w:drawing>
      </w:r>
    </w:p>
    <w:p>
      <w:pPr>
        <w:spacing w:after="0" w:line="4" w:lineRule="exact"/>
        <w:rPr>
          <w:sz w:val="20"/>
          <w:szCs w:val="20"/>
          <w:color w:val="auto"/>
        </w:rPr>
      </w:pPr>
    </w:p>
    <w:p>
      <w:pPr>
        <w:jc w:val="center"/>
        <w:ind w:right="6400"/>
        <w:spacing w:after="0"/>
        <w:rPr>
          <w:sz w:val="20"/>
          <w:szCs w:val="20"/>
          <w:color w:val="auto"/>
        </w:rPr>
      </w:pPr>
      <w:r>
        <w:rPr>
          <w:rFonts w:ascii="Arial" w:cs="Arial" w:eastAsia="Arial" w:hAnsi="Arial"/>
          <w:sz w:val="13"/>
          <w:szCs w:val="13"/>
          <w:b w:val="1"/>
          <w:bCs w:val="1"/>
          <w:color w:val="auto"/>
        </w:rPr>
        <w:t>Arthur H. Penn</w:t>
      </w:r>
    </w:p>
    <w:p>
      <w:pPr>
        <w:spacing w:after="0" w:line="12" w:lineRule="exact"/>
        <w:rPr>
          <w:sz w:val="20"/>
          <w:szCs w:val="20"/>
          <w:color w:val="auto"/>
        </w:rPr>
      </w:pPr>
    </w:p>
    <w:p>
      <w:pPr>
        <w:jc w:val="center"/>
        <w:ind w:right="6400"/>
        <w:spacing w:after="0"/>
        <w:rPr>
          <w:sz w:val="20"/>
          <w:szCs w:val="20"/>
          <w:color w:val="auto"/>
        </w:rPr>
      </w:pPr>
      <w:r>
        <w:rPr>
          <w:rFonts w:ascii="Arial" w:cs="Arial" w:eastAsia="Arial" w:hAnsi="Arial"/>
          <w:sz w:val="13"/>
          <w:szCs w:val="13"/>
          <w:b w:val="1"/>
          <w:bCs w:val="1"/>
          <w:color w:val="auto"/>
        </w:rPr>
        <w:t>Chairman of the Board and</w:t>
      </w:r>
    </w:p>
    <w:p>
      <w:pPr>
        <w:jc w:val="center"/>
        <w:ind w:right="6400"/>
        <w:spacing w:after="0"/>
        <w:rPr>
          <w:sz w:val="20"/>
          <w:szCs w:val="20"/>
          <w:color w:val="auto"/>
        </w:rPr>
      </w:pPr>
      <w:r>
        <w:rPr>
          <w:rFonts w:ascii="Arial" w:cs="Arial" w:eastAsia="Arial" w:hAnsi="Arial"/>
          <w:sz w:val="13"/>
          <w:szCs w:val="13"/>
          <w:b w:val="1"/>
          <w:bCs w:val="1"/>
          <w:color w:val="auto"/>
        </w:rPr>
        <w:t>Chief Executive Officer</w:t>
      </w:r>
    </w:p>
    <w:p>
      <w:pPr>
        <w:sectPr>
          <w:pgSz w:w="11900" w:h="16838" w:orient="portrait"/>
          <w:cols w:equalWidth="0" w:num="1">
            <w:col w:w="11220"/>
          </w:cols>
          <w:pgMar w:left="320" w:top="127" w:right="359" w:bottom="1440" w:gutter="0" w:footer="0" w:header="0"/>
        </w:sectPr>
      </w:pPr>
    </w:p>
    <w:bookmarkStart w:id="93" w:name="page94"/>
    <w:bookmarkEnd w:id="93"/>
    <w:p>
      <w:pPr>
        <w:ind w:left="9720"/>
        <w:spacing w:after="0"/>
        <w:rPr>
          <w:sz w:val="20"/>
          <w:szCs w:val="20"/>
          <w:color w:val="auto"/>
        </w:rPr>
      </w:pPr>
      <w:r>
        <w:rPr>
          <w:rFonts w:ascii="Arial" w:cs="Arial" w:eastAsia="Arial" w:hAnsi="Arial"/>
          <w:sz w:val="13"/>
          <w:szCs w:val="13"/>
          <w:b w:val="1"/>
          <w:bCs w:val="1"/>
          <w:color w:val="auto"/>
        </w:rPr>
        <w:t>EXHIBIT 31.2</w:t>
      </w:r>
    </w:p>
    <w:p>
      <w:pPr>
        <w:spacing w:after="0" w:line="134"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CERTIFICATION PURSUANT TO SECTION 302</w:t>
      </w:r>
    </w:p>
    <w:p>
      <w:pPr>
        <w:spacing w:after="0" w:line="13" w:lineRule="exact"/>
        <w:rPr>
          <w:sz w:val="20"/>
          <w:szCs w:val="20"/>
          <w:color w:val="auto"/>
        </w:rPr>
      </w:pPr>
    </w:p>
    <w:p>
      <w:pPr>
        <w:ind w:left="4120"/>
        <w:spacing w:after="0"/>
        <w:rPr>
          <w:sz w:val="20"/>
          <w:szCs w:val="20"/>
          <w:color w:val="auto"/>
        </w:rPr>
      </w:pPr>
      <w:r>
        <w:rPr>
          <w:rFonts w:ascii="Arial" w:cs="Arial" w:eastAsia="Arial" w:hAnsi="Arial"/>
          <w:sz w:val="13"/>
          <w:szCs w:val="13"/>
          <w:b w:val="1"/>
          <w:bCs w:val="1"/>
          <w:color w:val="auto"/>
        </w:rPr>
        <w:t>CHIEF FINANCIAL OFFICER CERTIFICATION</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color w:val="auto"/>
        </w:rPr>
        <w:t>I, Aviv Efrat, Chief Financial Officer of PennantPark Floating Rate Capital Ltd., certify that:</w:t>
      </w:r>
    </w:p>
    <w:p>
      <w:pPr>
        <w:spacing w:after="0" w:line="53" w:lineRule="exact"/>
        <w:rPr>
          <w:sz w:val="20"/>
          <w:szCs w:val="20"/>
          <w:color w:val="auto"/>
        </w:rPr>
      </w:pPr>
    </w:p>
    <w:p>
      <w:pPr>
        <w:ind w:left="700" w:hanging="130"/>
        <w:spacing w:after="0"/>
        <w:tabs>
          <w:tab w:leader="none" w:pos="700" w:val="left"/>
        </w:tabs>
        <w:numPr>
          <w:ilvl w:val="0"/>
          <w:numId w:val="73"/>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PennantPark Floating Rate Capital Ltd.;</w:t>
      </w:r>
    </w:p>
    <w:p>
      <w:pPr>
        <w:spacing w:after="0" w:line="134" w:lineRule="exact"/>
        <w:rPr>
          <w:rFonts w:ascii="Arial" w:cs="Arial" w:eastAsia="Arial" w:hAnsi="Arial"/>
          <w:sz w:val="13"/>
          <w:szCs w:val="13"/>
          <w:color w:val="auto"/>
        </w:rPr>
      </w:pPr>
    </w:p>
    <w:p>
      <w:pPr>
        <w:ind w:left="560" w:right="140" w:firstLine="10"/>
        <w:spacing w:after="0" w:line="274" w:lineRule="auto"/>
        <w:tabs>
          <w:tab w:leader="none" w:pos="695" w:val="left"/>
        </w:tabs>
        <w:numPr>
          <w:ilvl w:val="0"/>
          <w:numId w:val="73"/>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0" w:lineRule="exact"/>
        <w:rPr>
          <w:rFonts w:ascii="Arial" w:cs="Arial" w:eastAsia="Arial" w:hAnsi="Arial"/>
          <w:sz w:val="13"/>
          <w:szCs w:val="13"/>
          <w:color w:val="auto"/>
        </w:rPr>
      </w:pPr>
    </w:p>
    <w:p>
      <w:pPr>
        <w:ind w:left="560" w:right="200" w:firstLine="10"/>
        <w:spacing w:after="0" w:line="274" w:lineRule="auto"/>
        <w:tabs>
          <w:tab w:leader="none" w:pos="695" w:val="left"/>
        </w:tabs>
        <w:numPr>
          <w:ilvl w:val="0"/>
          <w:numId w:val="73"/>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0" w:lineRule="exact"/>
        <w:rPr>
          <w:rFonts w:ascii="Arial" w:cs="Arial" w:eastAsia="Arial" w:hAnsi="Arial"/>
          <w:sz w:val="13"/>
          <w:szCs w:val="13"/>
          <w:color w:val="auto"/>
        </w:rPr>
      </w:pPr>
    </w:p>
    <w:p>
      <w:pPr>
        <w:ind w:left="560" w:right="40" w:firstLine="10"/>
        <w:spacing w:after="0" w:line="274" w:lineRule="auto"/>
        <w:tabs>
          <w:tab w:leader="none" w:pos="695" w:val="left"/>
        </w:tabs>
        <w:numPr>
          <w:ilvl w:val="0"/>
          <w:numId w:val="73"/>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 w:lineRule="exact"/>
        <w:rPr>
          <w:rFonts w:ascii="Arial" w:cs="Arial" w:eastAsia="Arial" w:hAnsi="Arial"/>
          <w:sz w:val="13"/>
          <w:szCs w:val="13"/>
          <w:color w:val="auto"/>
        </w:rPr>
      </w:pPr>
    </w:p>
    <w:p>
      <w:pPr>
        <w:ind w:left="1020" w:right="40" w:hanging="1"/>
        <w:spacing w:after="0" w:line="305" w:lineRule="auto"/>
        <w:tabs>
          <w:tab w:leader="none" w:pos="1159" w:val="left"/>
        </w:tabs>
        <w:numPr>
          <w:ilvl w:val="1"/>
          <w:numId w:val="73"/>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ind w:left="1020" w:right="240" w:hanging="1"/>
        <w:spacing w:after="0" w:line="305" w:lineRule="auto"/>
        <w:tabs>
          <w:tab w:leader="none" w:pos="1166" w:val="left"/>
        </w:tabs>
        <w:numPr>
          <w:ilvl w:val="1"/>
          <w:numId w:val="73"/>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ind w:left="1020" w:right="420" w:hanging="1"/>
        <w:spacing w:after="0" w:line="274" w:lineRule="auto"/>
        <w:tabs>
          <w:tab w:leader="none" w:pos="1159" w:val="left"/>
        </w:tabs>
        <w:numPr>
          <w:ilvl w:val="1"/>
          <w:numId w:val="73"/>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 w:lineRule="exact"/>
        <w:rPr>
          <w:rFonts w:ascii="Arial" w:cs="Arial" w:eastAsia="Arial" w:hAnsi="Arial"/>
          <w:sz w:val="13"/>
          <w:szCs w:val="13"/>
          <w:color w:val="auto"/>
        </w:rPr>
      </w:pPr>
    </w:p>
    <w:p>
      <w:pPr>
        <w:ind w:left="1020" w:right="80" w:hanging="1"/>
        <w:spacing w:after="0" w:line="317" w:lineRule="auto"/>
        <w:tabs>
          <w:tab w:leader="none" w:pos="1166" w:val="left"/>
        </w:tabs>
        <w:numPr>
          <w:ilvl w:val="1"/>
          <w:numId w:val="73"/>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Arial" w:cs="Arial" w:eastAsia="Arial" w:hAnsi="Arial"/>
          <w:sz w:val="12"/>
          <w:szCs w:val="12"/>
          <w:color w:val="auto"/>
        </w:rPr>
      </w:pPr>
    </w:p>
    <w:p>
      <w:pPr>
        <w:ind w:left="560" w:firstLine="10"/>
        <w:spacing w:after="0" w:line="274" w:lineRule="auto"/>
        <w:tabs>
          <w:tab w:leader="none" w:pos="695" w:val="left"/>
        </w:tabs>
        <w:numPr>
          <w:ilvl w:val="0"/>
          <w:numId w:val="73"/>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 w:lineRule="exact"/>
        <w:rPr>
          <w:rFonts w:ascii="Arial" w:cs="Arial" w:eastAsia="Arial" w:hAnsi="Arial"/>
          <w:sz w:val="13"/>
          <w:szCs w:val="13"/>
          <w:color w:val="auto"/>
        </w:rPr>
      </w:pPr>
    </w:p>
    <w:p>
      <w:pPr>
        <w:ind w:left="1020" w:right="120" w:hanging="1"/>
        <w:spacing w:after="0" w:line="274" w:lineRule="auto"/>
        <w:tabs>
          <w:tab w:leader="none" w:pos="1159" w:val="left"/>
        </w:tabs>
        <w:numPr>
          <w:ilvl w:val="1"/>
          <w:numId w:val="73"/>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 w:lineRule="exact"/>
        <w:rPr>
          <w:rFonts w:ascii="Arial" w:cs="Arial" w:eastAsia="Arial" w:hAnsi="Arial"/>
          <w:sz w:val="13"/>
          <w:szCs w:val="13"/>
          <w:color w:val="auto"/>
        </w:rPr>
      </w:pPr>
    </w:p>
    <w:p>
      <w:pPr>
        <w:ind w:left="1160" w:hanging="141"/>
        <w:spacing w:after="0"/>
        <w:tabs>
          <w:tab w:leader="none" w:pos="1160" w:val="left"/>
        </w:tabs>
        <w:numPr>
          <w:ilvl w:val="1"/>
          <w:numId w:val="73"/>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color w:val="auto"/>
        </w:rPr>
        <w:t>Date: November 14, 2012</w:t>
      </w:r>
    </w:p>
    <w:p>
      <w:pPr>
        <w:spacing w:after="0" w:line="202" w:lineRule="exact"/>
        <w:rPr>
          <w:sz w:val="20"/>
          <w:szCs w:val="20"/>
          <w:color w:val="auto"/>
        </w:rPr>
      </w:pPr>
    </w:p>
    <w:p>
      <w:pPr>
        <w:spacing w:after="0"/>
        <w:tabs>
          <w:tab w:leader="none" w:pos="1800" w:val="left"/>
          <w:tab w:leader="none" w:pos="20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w:t>
        <w:tab/>
        <w:t>A</w:t>
      </w:r>
      <w:r>
        <w:rPr>
          <w:rFonts w:ascii="Arial" w:cs="Arial" w:eastAsia="Arial" w:hAnsi="Arial"/>
          <w:sz w:val="11"/>
          <w:szCs w:val="11"/>
          <w:color w:val="auto"/>
        </w:rPr>
        <w:t>VIV</w:t>
      </w:r>
      <w:r>
        <w:rPr>
          <w:rFonts w:ascii="Arial" w:cs="Arial" w:eastAsia="Arial" w:hAnsi="Arial"/>
          <w:sz w:val="13"/>
          <w:szCs w:val="13"/>
          <w:color w:val="auto"/>
        </w:rPr>
        <w:t xml:space="preserve"> E</w:t>
      </w:r>
      <w:r>
        <w:rPr>
          <w:rFonts w:ascii="Arial" w:cs="Arial" w:eastAsia="Arial" w:hAnsi="Arial"/>
          <w:sz w:val="11"/>
          <w:szCs w:val="11"/>
          <w:color w:val="auto"/>
        </w:rPr>
        <w:t>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6350</wp:posOffset>
            </wp:positionV>
            <wp:extent cx="264033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4" w:lineRule="exact"/>
        <w:rPr>
          <w:sz w:val="20"/>
          <w:szCs w:val="20"/>
          <w:color w:val="auto"/>
        </w:rPr>
      </w:pPr>
    </w:p>
    <w:p>
      <w:pPr>
        <w:jc w:val="center"/>
        <w:ind w:right="6400"/>
        <w:spacing w:after="0"/>
        <w:rPr>
          <w:sz w:val="20"/>
          <w:szCs w:val="20"/>
          <w:color w:val="auto"/>
        </w:rPr>
      </w:pPr>
      <w:r>
        <w:rPr>
          <w:rFonts w:ascii="Arial" w:cs="Arial" w:eastAsia="Arial" w:hAnsi="Arial"/>
          <w:sz w:val="13"/>
          <w:szCs w:val="13"/>
          <w:b w:val="1"/>
          <w:bCs w:val="1"/>
          <w:color w:val="auto"/>
        </w:rPr>
        <w:t>Aviv Efrat</w:t>
      </w:r>
    </w:p>
    <w:p>
      <w:pPr>
        <w:spacing w:after="0" w:line="13" w:lineRule="exact"/>
        <w:rPr>
          <w:sz w:val="20"/>
          <w:szCs w:val="20"/>
          <w:color w:val="auto"/>
        </w:rPr>
      </w:pPr>
    </w:p>
    <w:p>
      <w:pPr>
        <w:jc w:val="center"/>
        <w:ind w:right="6400"/>
        <w:spacing w:after="0"/>
        <w:rPr>
          <w:sz w:val="20"/>
          <w:szCs w:val="20"/>
          <w:color w:val="auto"/>
        </w:rPr>
      </w:pPr>
      <w:r>
        <w:rPr>
          <w:rFonts w:ascii="Arial" w:cs="Arial" w:eastAsia="Arial" w:hAnsi="Arial"/>
          <w:sz w:val="13"/>
          <w:szCs w:val="13"/>
          <w:b w:val="1"/>
          <w:bCs w:val="1"/>
          <w:color w:val="auto"/>
        </w:rPr>
        <w:t>Chief Financial Officer</w:t>
      </w:r>
    </w:p>
    <w:p>
      <w:pPr>
        <w:sectPr>
          <w:pgSz w:w="11900" w:h="16838" w:orient="portrait"/>
          <w:cols w:equalWidth="0" w:num="1">
            <w:col w:w="11220"/>
          </w:cols>
          <w:pgMar w:left="320" w:top="127" w:right="359" w:bottom="1440" w:gutter="0" w:footer="0" w:header="0"/>
        </w:sectPr>
      </w:pPr>
    </w:p>
    <w:bookmarkStart w:id="94" w:name="page95"/>
    <w:bookmarkEnd w:id="94"/>
    <w:p>
      <w:pPr>
        <w:ind w:left="9720"/>
        <w:spacing w:after="0"/>
        <w:rPr>
          <w:sz w:val="20"/>
          <w:szCs w:val="20"/>
          <w:color w:val="auto"/>
        </w:rPr>
      </w:pPr>
      <w:r>
        <w:rPr>
          <w:rFonts w:ascii="Arial" w:cs="Arial" w:eastAsia="Arial" w:hAnsi="Arial"/>
          <w:sz w:val="13"/>
          <w:szCs w:val="13"/>
          <w:b w:val="1"/>
          <w:bCs w:val="1"/>
          <w:color w:val="auto"/>
        </w:rPr>
        <w:t>EXHIBIT 32.1</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3"/>
          <w:szCs w:val="13"/>
          <w:b w:val="1"/>
          <w:bCs w:val="1"/>
          <w:color w:val="auto"/>
        </w:rPr>
        <w:t>CERTIFICATION OF CHIEF EXECUTIVE OFFICER</w:t>
      </w:r>
    </w:p>
    <w:p>
      <w:pPr>
        <w:spacing w:after="0" w:line="12" w:lineRule="exact"/>
        <w:rPr>
          <w:sz w:val="20"/>
          <w:szCs w:val="20"/>
          <w:color w:val="auto"/>
        </w:rPr>
      </w:pPr>
    </w:p>
    <w:p>
      <w:pPr>
        <w:jc w:val="center"/>
        <w:ind w:right="-219"/>
        <w:spacing w:after="0"/>
        <w:rPr>
          <w:sz w:val="20"/>
          <w:szCs w:val="20"/>
          <w:color w:val="auto"/>
        </w:rPr>
      </w:pPr>
      <w:r>
        <w:rPr>
          <w:rFonts w:ascii="Arial" w:cs="Arial" w:eastAsia="Arial" w:hAnsi="Arial"/>
          <w:sz w:val="13"/>
          <w:szCs w:val="13"/>
          <w:b w:val="1"/>
          <w:bCs w:val="1"/>
          <w:color w:val="auto"/>
        </w:rPr>
        <w:t>Pursuant to</w:t>
      </w:r>
    </w:p>
    <w:p>
      <w:pPr>
        <w:jc w:val="center"/>
        <w:ind w:right="-219"/>
        <w:spacing w:after="0"/>
        <w:rPr>
          <w:sz w:val="20"/>
          <w:szCs w:val="20"/>
          <w:color w:val="auto"/>
        </w:rPr>
      </w:pPr>
      <w:r>
        <w:rPr>
          <w:rFonts w:ascii="Arial" w:cs="Arial" w:eastAsia="Arial" w:hAnsi="Arial"/>
          <w:sz w:val="13"/>
          <w:szCs w:val="13"/>
          <w:b w:val="1"/>
          <w:bCs w:val="1"/>
          <w:color w:val="auto"/>
        </w:rPr>
        <w:t>Section 906 of the Sarbanes-Oxley Act of 2002 (18 U.S.C. Section 1350)</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2"/>
          <w:szCs w:val="12"/>
          <w:color w:val="auto"/>
        </w:rPr>
        <w:t>In connection with the Annual Report on Form 10-K of PennantPark Floating Rate Capital Ltd. (the “Company”) for the annual period ended September 30, 2012 as filed with the Securities and</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Exchange Commission on the date hereof (the “Report”), I, Arthur H. Penn, as Chief Executive Officer of the Registrant hereby certify, to the best of my knowledge that:</w:t>
      </w:r>
    </w:p>
    <w:p>
      <w:pPr>
        <w:spacing w:after="0" w:line="41" w:lineRule="exact"/>
        <w:rPr>
          <w:sz w:val="20"/>
          <w:szCs w:val="20"/>
          <w:color w:val="auto"/>
        </w:rPr>
      </w:pPr>
    </w:p>
    <w:p>
      <w:pPr>
        <w:ind w:left="760" w:hanging="190"/>
        <w:spacing w:after="0"/>
        <w:tabs>
          <w:tab w:leader="none" w:pos="760" w:val="left"/>
        </w:tabs>
        <w:numPr>
          <w:ilvl w:val="0"/>
          <w:numId w:val="74"/>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53" w:lineRule="exact"/>
        <w:rPr>
          <w:rFonts w:ascii="Arial" w:cs="Arial" w:eastAsia="Arial" w:hAnsi="Arial"/>
          <w:sz w:val="13"/>
          <w:szCs w:val="13"/>
          <w:color w:val="auto"/>
        </w:rPr>
      </w:pPr>
    </w:p>
    <w:p>
      <w:pPr>
        <w:ind w:left="760" w:hanging="190"/>
        <w:spacing w:after="0"/>
        <w:tabs>
          <w:tab w:leader="none" w:pos="760" w:val="left"/>
        </w:tabs>
        <w:numPr>
          <w:ilvl w:val="0"/>
          <w:numId w:val="74"/>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Registrant.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8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840" w:type="dxa"/>
            <w:vAlign w:val="bottom"/>
            <w:tcBorders>
              <w:bottom w:val="single" w:sz="8" w:color="auto"/>
            </w:tcBorders>
          </w:tcPr>
          <w:p>
            <w:pPr>
              <w:ind w:left="220"/>
              <w:spacing w:after="0"/>
              <w:rPr>
                <w:sz w:val="20"/>
                <w:szCs w:val="20"/>
                <w:color w:val="auto"/>
              </w:rPr>
            </w:pPr>
            <w:r>
              <w:rPr>
                <w:rFonts w:ascii="Arial" w:cs="Arial" w:eastAsia="Arial" w:hAnsi="Arial"/>
                <w:sz w:val="13"/>
                <w:szCs w:val="13"/>
                <w:color w:val="auto"/>
              </w:rPr>
              <w:t>/s/  A</w:t>
            </w:r>
            <w:r>
              <w:rPr>
                <w:rFonts w:ascii="Arial" w:cs="Arial" w:eastAsia="Arial" w:hAnsi="Arial"/>
                <w:sz w:val="11"/>
                <w:szCs w:val="11"/>
                <w:color w:val="auto"/>
              </w:rPr>
              <w:t>RTHUR</w:t>
            </w:r>
            <w:r>
              <w:rPr>
                <w:rFonts w:ascii="Arial" w:cs="Arial" w:eastAsia="Arial" w:hAnsi="Arial"/>
                <w:sz w:val="13"/>
                <w:szCs w:val="13"/>
                <w:color w:val="auto"/>
              </w:rPr>
              <w:t xml:space="preserve"> H. P</w:t>
            </w:r>
            <w:r>
              <w:rPr>
                <w:rFonts w:ascii="Arial" w:cs="Arial" w:eastAsia="Arial" w:hAnsi="Arial"/>
                <w:sz w:val="11"/>
                <w:szCs w:val="11"/>
                <w:color w:val="auto"/>
              </w:rPr>
              <w:t>ENN</w:t>
            </w:r>
          </w:p>
        </w:tc>
      </w:tr>
      <w:tr>
        <w:trPr>
          <w:trHeight w:val="143"/>
        </w:trPr>
        <w:tc>
          <w:tcPr>
            <w:tcW w:w="1640" w:type="dxa"/>
            <w:vAlign w:val="bottom"/>
            <w:gridSpan w:val="2"/>
          </w:tcPr>
          <w:p>
            <w:pPr>
              <w:spacing w:after="0" w:line="143" w:lineRule="exact"/>
              <w:rPr>
                <w:sz w:val="20"/>
                <w:szCs w:val="20"/>
                <w:color w:val="auto"/>
              </w:rPr>
            </w:pPr>
            <w:r>
              <w:rPr>
                <w:rFonts w:ascii="Arial" w:cs="Arial" w:eastAsia="Arial" w:hAnsi="Arial"/>
                <w:sz w:val="13"/>
                <w:szCs w:val="13"/>
                <w:color w:val="auto"/>
              </w:rPr>
              <w:t>Name:</w:t>
            </w:r>
          </w:p>
        </w:tc>
        <w:tc>
          <w:tcPr>
            <w:tcW w:w="2840" w:type="dxa"/>
            <w:vAlign w:val="bottom"/>
          </w:tcPr>
          <w:p>
            <w:pPr>
              <w:jc w:val="center"/>
              <w:ind w:right="873"/>
              <w:spacing w:after="0" w:line="143" w:lineRule="exact"/>
              <w:rPr>
                <w:sz w:val="20"/>
                <w:szCs w:val="20"/>
                <w:color w:val="auto"/>
              </w:rPr>
            </w:pPr>
            <w:r>
              <w:rPr>
                <w:rFonts w:ascii="Arial" w:cs="Arial" w:eastAsia="Arial" w:hAnsi="Arial"/>
                <w:sz w:val="13"/>
                <w:szCs w:val="13"/>
                <w:b w:val="1"/>
                <w:bCs w:val="1"/>
                <w:color w:val="auto"/>
                <w:w w:val="98"/>
              </w:rPr>
              <w:t>Arthur H. Penn</w:t>
            </w:r>
          </w:p>
        </w:tc>
      </w:tr>
      <w:tr>
        <w:trPr>
          <w:trHeight w:val="174"/>
        </w:trPr>
        <w:tc>
          <w:tcPr>
            <w:tcW w:w="1640" w:type="dxa"/>
            <w:vAlign w:val="bottom"/>
            <w:gridSpan w:val="2"/>
          </w:tcPr>
          <w:p>
            <w:pPr>
              <w:spacing w:after="0"/>
              <w:rPr>
                <w:sz w:val="20"/>
                <w:szCs w:val="20"/>
                <w:color w:val="auto"/>
              </w:rPr>
            </w:pPr>
            <w:r>
              <w:rPr>
                <w:rFonts w:ascii="Arial" w:cs="Arial" w:eastAsia="Arial" w:hAnsi="Arial"/>
                <w:sz w:val="13"/>
                <w:szCs w:val="13"/>
                <w:color w:val="auto"/>
              </w:rPr>
              <w:t>Title:</w:t>
            </w:r>
          </w:p>
        </w:tc>
        <w:tc>
          <w:tcPr>
            <w:tcW w:w="2840" w:type="dxa"/>
            <w:vAlign w:val="bottom"/>
          </w:tcPr>
          <w:p>
            <w:pPr>
              <w:jc w:val="center"/>
              <w:ind w:right="893"/>
              <w:spacing w:after="0"/>
              <w:rPr>
                <w:sz w:val="20"/>
                <w:szCs w:val="20"/>
                <w:color w:val="auto"/>
              </w:rPr>
            </w:pPr>
            <w:r>
              <w:rPr>
                <w:rFonts w:ascii="Arial" w:cs="Arial" w:eastAsia="Arial" w:hAnsi="Arial"/>
                <w:sz w:val="13"/>
                <w:szCs w:val="13"/>
                <w:b w:val="1"/>
                <w:bCs w:val="1"/>
                <w:color w:val="auto"/>
                <w:w w:val="95"/>
              </w:rPr>
              <w:t>Chief Executive Officer</w:t>
            </w:r>
          </w:p>
        </w:tc>
      </w:tr>
      <w:tr>
        <w:trPr>
          <w:trHeight w:val="203"/>
        </w:trPr>
        <w:tc>
          <w:tcPr>
            <w:tcW w:w="1640" w:type="dxa"/>
            <w:vAlign w:val="bottom"/>
            <w:gridSpan w:val="2"/>
          </w:tcPr>
          <w:p>
            <w:pPr>
              <w:spacing w:after="0"/>
              <w:rPr>
                <w:sz w:val="20"/>
                <w:szCs w:val="20"/>
                <w:color w:val="auto"/>
              </w:rPr>
            </w:pPr>
            <w:r>
              <w:rPr>
                <w:rFonts w:ascii="Arial" w:cs="Arial" w:eastAsia="Arial" w:hAnsi="Arial"/>
                <w:sz w:val="13"/>
                <w:szCs w:val="13"/>
                <w:color w:val="auto"/>
              </w:rPr>
              <w:t>Date: November 14, 2012</w:t>
            </w:r>
          </w:p>
        </w:tc>
        <w:tc>
          <w:tcPr>
            <w:tcW w:w="2840" w:type="dxa"/>
            <w:vAlign w:val="bottom"/>
          </w:tcPr>
          <w:p>
            <w:pPr>
              <w:spacing w:after="0"/>
              <w:rPr>
                <w:sz w:val="17"/>
                <w:szCs w:val="17"/>
                <w:color w:val="auto"/>
              </w:rPr>
            </w:pPr>
          </w:p>
        </w:tc>
      </w:tr>
    </w:tbl>
    <w:p>
      <w:pPr>
        <w:sectPr>
          <w:pgSz w:w="11900" w:h="16838" w:orient="portrait"/>
          <w:cols w:equalWidth="0" w:num="1">
            <w:col w:w="11020"/>
          </w:cols>
          <w:pgMar w:left="320" w:top="127" w:right="559" w:bottom="1440" w:gutter="0" w:footer="0" w:header="0"/>
        </w:sectPr>
      </w:pPr>
    </w:p>
    <w:bookmarkStart w:id="95" w:name="page96"/>
    <w:bookmarkEnd w:id="95"/>
    <w:p>
      <w:pPr>
        <w:ind w:left="9720"/>
        <w:spacing w:after="0"/>
        <w:rPr>
          <w:sz w:val="20"/>
          <w:szCs w:val="20"/>
          <w:color w:val="auto"/>
        </w:rPr>
      </w:pPr>
      <w:r>
        <w:rPr>
          <w:rFonts w:ascii="Arial" w:cs="Arial" w:eastAsia="Arial" w:hAnsi="Arial"/>
          <w:sz w:val="13"/>
          <w:szCs w:val="13"/>
          <w:b w:val="1"/>
          <w:bCs w:val="1"/>
          <w:color w:val="auto"/>
        </w:rPr>
        <w:t>EXHIBIT 32.2</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3"/>
          <w:szCs w:val="13"/>
          <w:b w:val="1"/>
          <w:bCs w:val="1"/>
          <w:color w:val="auto"/>
        </w:rPr>
        <w:t>CERTIFICATION OF CHIEF FINANCIAL OFFICER</w:t>
      </w:r>
    </w:p>
    <w:p>
      <w:pPr>
        <w:spacing w:after="0" w:line="12" w:lineRule="exact"/>
        <w:rPr>
          <w:sz w:val="20"/>
          <w:szCs w:val="20"/>
          <w:color w:val="auto"/>
        </w:rPr>
      </w:pPr>
    </w:p>
    <w:p>
      <w:pPr>
        <w:jc w:val="center"/>
        <w:ind w:right="-219"/>
        <w:spacing w:after="0"/>
        <w:rPr>
          <w:sz w:val="20"/>
          <w:szCs w:val="20"/>
          <w:color w:val="auto"/>
        </w:rPr>
      </w:pPr>
      <w:r>
        <w:rPr>
          <w:rFonts w:ascii="Arial" w:cs="Arial" w:eastAsia="Arial" w:hAnsi="Arial"/>
          <w:sz w:val="13"/>
          <w:szCs w:val="13"/>
          <w:b w:val="1"/>
          <w:bCs w:val="1"/>
          <w:color w:val="auto"/>
        </w:rPr>
        <w:t>Pursuant to</w:t>
      </w:r>
    </w:p>
    <w:p>
      <w:pPr>
        <w:jc w:val="center"/>
        <w:ind w:right="-219"/>
        <w:spacing w:after="0"/>
        <w:rPr>
          <w:sz w:val="20"/>
          <w:szCs w:val="20"/>
          <w:color w:val="auto"/>
        </w:rPr>
      </w:pPr>
      <w:r>
        <w:rPr>
          <w:rFonts w:ascii="Arial" w:cs="Arial" w:eastAsia="Arial" w:hAnsi="Arial"/>
          <w:sz w:val="13"/>
          <w:szCs w:val="13"/>
          <w:b w:val="1"/>
          <w:bCs w:val="1"/>
          <w:color w:val="auto"/>
        </w:rPr>
        <w:t>Section 906 of the Sarbanes-Oxley Act of 2002 (18 U.S.C. Section 1350)</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2"/>
          <w:szCs w:val="12"/>
          <w:color w:val="auto"/>
        </w:rPr>
        <w:t>In connection with the Annual Report on Form 10-K of PennantPark Floating Rate Capital Ltd. (the “Company”) for the annual period ended September 30, 2012 as filed with the Securities and</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Exchange Commission on the date hereof (the “Report”), I, Aviv Efrat, as Chief Financial Officer of the Registrant hereby certify, to the best of my knowledge that:</w:t>
      </w:r>
    </w:p>
    <w:p>
      <w:pPr>
        <w:spacing w:after="0" w:line="41" w:lineRule="exact"/>
        <w:rPr>
          <w:sz w:val="20"/>
          <w:szCs w:val="20"/>
          <w:color w:val="auto"/>
        </w:rPr>
      </w:pPr>
    </w:p>
    <w:p>
      <w:pPr>
        <w:ind w:left="760" w:hanging="190"/>
        <w:spacing w:after="0"/>
        <w:tabs>
          <w:tab w:leader="none" w:pos="760" w:val="left"/>
        </w:tabs>
        <w:numPr>
          <w:ilvl w:val="0"/>
          <w:numId w:val="75"/>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53" w:lineRule="exact"/>
        <w:rPr>
          <w:rFonts w:ascii="Arial" w:cs="Arial" w:eastAsia="Arial" w:hAnsi="Arial"/>
          <w:sz w:val="13"/>
          <w:szCs w:val="13"/>
          <w:color w:val="auto"/>
        </w:rPr>
      </w:pPr>
    </w:p>
    <w:p>
      <w:pPr>
        <w:ind w:left="760" w:hanging="190"/>
        <w:spacing w:after="0"/>
        <w:tabs>
          <w:tab w:leader="none" w:pos="760" w:val="left"/>
        </w:tabs>
        <w:numPr>
          <w:ilvl w:val="0"/>
          <w:numId w:val="75"/>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Registrant.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8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82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rPr>
              <w:t>/s/  A</w:t>
            </w:r>
            <w:r>
              <w:rPr>
                <w:rFonts w:ascii="Arial" w:cs="Arial" w:eastAsia="Arial" w:hAnsi="Arial"/>
                <w:sz w:val="11"/>
                <w:szCs w:val="11"/>
                <w:color w:val="auto"/>
              </w:rPr>
              <w:t>VIV</w:t>
            </w:r>
            <w:r>
              <w:rPr>
                <w:rFonts w:ascii="Arial" w:cs="Arial" w:eastAsia="Arial" w:hAnsi="Arial"/>
                <w:sz w:val="13"/>
                <w:szCs w:val="13"/>
                <w:color w:val="auto"/>
              </w:rPr>
              <w:t xml:space="preserve"> E</w:t>
            </w:r>
            <w:r>
              <w:rPr>
                <w:rFonts w:ascii="Arial" w:cs="Arial" w:eastAsia="Arial" w:hAnsi="Arial"/>
                <w:sz w:val="11"/>
                <w:szCs w:val="11"/>
                <w:color w:val="auto"/>
              </w:rPr>
              <w:t>FRAT</w:t>
            </w:r>
          </w:p>
        </w:tc>
      </w:tr>
      <w:tr>
        <w:trPr>
          <w:trHeight w:val="143"/>
        </w:trPr>
        <w:tc>
          <w:tcPr>
            <w:tcW w:w="1660" w:type="dxa"/>
            <w:vAlign w:val="bottom"/>
            <w:gridSpan w:val="2"/>
          </w:tcPr>
          <w:p>
            <w:pPr>
              <w:spacing w:after="0" w:line="143" w:lineRule="exact"/>
              <w:rPr>
                <w:sz w:val="20"/>
                <w:szCs w:val="20"/>
                <w:color w:val="auto"/>
              </w:rPr>
            </w:pPr>
            <w:r>
              <w:rPr>
                <w:rFonts w:ascii="Arial" w:cs="Arial" w:eastAsia="Arial" w:hAnsi="Arial"/>
                <w:sz w:val="13"/>
                <w:szCs w:val="13"/>
                <w:color w:val="auto"/>
              </w:rPr>
              <w:t>Name:</w:t>
            </w:r>
          </w:p>
        </w:tc>
        <w:tc>
          <w:tcPr>
            <w:tcW w:w="2820" w:type="dxa"/>
            <w:vAlign w:val="bottom"/>
          </w:tcPr>
          <w:p>
            <w:pPr>
              <w:jc w:val="center"/>
              <w:ind w:right="913"/>
              <w:spacing w:after="0" w:line="143" w:lineRule="exact"/>
              <w:rPr>
                <w:sz w:val="20"/>
                <w:szCs w:val="20"/>
                <w:color w:val="auto"/>
              </w:rPr>
            </w:pPr>
            <w:r>
              <w:rPr>
                <w:rFonts w:ascii="Arial" w:cs="Arial" w:eastAsia="Arial" w:hAnsi="Arial"/>
                <w:sz w:val="13"/>
                <w:szCs w:val="13"/>
                <w:b w:val="1"/>
                <w:bCs w:val="1"/>
                <w:color w:val="auto"/>
                <w:w w:val="98"/>
              </w:rPr>
              <w:t>Aviv Efrat</w:t>
            </w:r>
          </w:p>
        </w:tc>
      </w:tr>
      <w:tr>
        <w:trPr>
          <w:trHeight w:val="174"/>
        </w:trPr>
        <w:tc>
          <w:tcPr>
            <w:tcW w:w="1660" w:type="dxa"/>
            <w:vAlign w:val="bottom"/>
            <w:gridSpan w:val="2"/>
          </w:tcPr>
          <w:p>
            <w:pPr>
              <w:spacing w:after="0"/>
              <w:rPr>
                <w:sz w:val="20"/>
                <w:szCs w:val="20"/>
                <w:color w:val="auto"/>
              </w:rPr>
            </w:pPr>
            <w:r>
              <w:rPr>
                <w:rFonts w:ascii="Arial" w:cs="Arial" w:eastAsia="Arial" w:hAnsi="Arial"/>
                <w:sz w:val="13"/>
                <w:szCs w:val="13"/>
                <w:color w:val="auto"/>
              </w:rPr>
              <w:t>Title:</w:t>
            </w:r>
          </w:p>
        </w:tc>
        <w:tc>
          <w:tcPr>
            <w:tcW w:w="2820" w:type="dxa"/>
            <w:vAlign w:val="bottom"/>
          </w:tcPr>
          <w:p>
            <w:pPr>
              <w:jc w:val="center"/>
              <w:ind w:right="893"/>
              <w:spacing w:after="0"/>
              <w:rPr>
                <w:sz w:val="20"/>
                <w:szCs w:val="20"/>
                <w:color w:val="auto"/>
              </w:rPr>
            </w:pPr>
            <w:r>
              <w:rPr>
                <w:rFonts w:ascii="Arial" w:cs="Arial" w:eastAsia="Arial" w:hAnsi="Arial"/>
                <w:sz w:val="13"/>
                <w:szCs w:val="13"/>
                <w:b w:val="1"/>
                <w:bCs w:val="1"/>
                <w:color w:val="auto"/>
                <w:w w:val="97"/>
              </w:rPr>
              <w:t>Chief Financial Officer</w:t>
            </w:r>
          </w:p>
        </w:tc>
      </w:tr>
      <w:tr>
        <w:trPr>
          <w:trHeight w:val="203"/>
        </w:trPr>
        <w:tc>
          <w:tcPr>
            <w:tcW w:w="1660" w:type="dxa"/>
            <w:vAlign w:val="bottom"/>
            <w:gridSpan w:val="2"/>
          </w:tcPr>
          <w:p>
            <w:pPr>
              <w:spacing w:after="0"/>
              <w:rPr>
                <w:sz w:val="20"/>
                <w:szCs w:val="20"/>
                <w:color w:val="auto"/>
              </w:rPr>
            </w:pPr>
            <w:r>
              <w:rPr>
                <w:rFonts w:ascii="Arial" w:cs="Arial" w:eastAsia="Arial" w:hAnsi="Arial"/>
                <w:sz w:val="13"/>
                <w:szCs w:val="13"/>
                <w:color w:val="auto"/>
              </w:rPr>
              <w:t>Date: November 14, 2012</w:t>
            </w:r>
          </w:p>
        </w:tc>
        <w:tc>
          <w:tcPr>
            <w:tcW w:w="2820" w:type="dxa"/>
            <w:vAlign w:val="bottom"/>
          </w:tcPr>
          <w:p>
            <w:pPr>
              <w:spacing w:after="0"/>
              <w:rPr>
                <w:sz w:val="17"/>
                <w:szCs w:val="17"/>
                <w:color w:val="auto"/>
              </w:rPr>
            </w:pPr>
          </w:p>
        </w:tc>
      </w:tr>
    </w:tbl>
    <w:p>
      <w:pPr>
        <w:spacing w:after="0" w:line="1" w:lineRule="exact"/>
        <w:rPr>
          <w:sz w:val="20"/>
          <w:szCs w:val="20"/>
          <w:color w:val="auto"/>
        </w:rPr>
      </w:pPr>
    </w:p>
    <w:sectPr>
      <w:pgSz w:w="11900" w:h="16838" w:orient="portrait"/>
      <w:cols w:equalWidth="0" w:num="1">
        <w:col w:w="11020"/>
      </w:cols>
      <w:pgMar w:left="320" w:top="12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1)"/>
      <w:numFmt w:val="lowerLetter"/>
      <w:start w:val="1"/>
    </w:lvl>
  </w:abstractNum>
  <w:abstractNum w:abstractNumId="5">
    <w:nsid w:val="580BD78F"/>
    <w:multiLevelType w:val="hybridMultilevel"/>
    <w:lvl w:ilvl="0">
      <w:lvlJc w:val="left"/>
      <w:lvlText w:val="%1)"/>
      <w:numFmt w:val="lowerLetter"/>
      <w:start w:val="2"/>
    </w:lvl>
  </w:abstractNum>
  <w:abstractNum w:abstractNumId="6">
    <w:nsid w:val="153EA438"/>
    <w:multiLevelType w:val="hybridMultilevel"/>
    <w:lvl w:ilvl="0">
      <w:lvlJc w:val="left"/>
      <w:lvlText w:val="%1)"/>
      <w:numFmt w:val="lowerLetter"/>
      <w:start w:val="3"/>
    </w:lvl>
  </w:abstractNum>
  <w:abstractNum w:abstractNumId="7">
    <w:nsid w:val="3855585C"/>
    <w:multiLevelType w:val="hybridMultilevel"/>
    <w:lvl w:ilvl="0">
      <w:lvlJc w:val="left"/>
      <w:lvlText w:val="%1)"/>
      <w:numFmt w:val="lowerLetter"/>
      <w:start w:val="4"/>
    </w:lvl>
  </w:abstractNum>
  <w:abstractNum w:abstractNumId="8">
    <w:nsid w:val="70A64E2A"/>
    <w:multiLevelType w:val="hybridMultilevel"/>
    <w:lvl w:ilvl="0">
      <w:lvlJc w:val="left"/>
      <w:lvlText w:val="%1)"/>
      <w:numFmt w:val="lowerLetter"/>
      <w:start w:val="5"/>
    </w:lvl>
  </w:abstractNum>
  <w:abstractNum w:abstractNumId="9">
    <w:nsid w:val="6A2342EC"/>
    <w:multiLevelType w:val="hybridMultilevel"/>
    <w:lvl w:ilvl="0">
      <w:lvlJc w:val="left"/>
      <w:lvlText w:val="%1)"/>
      <w:numFmt w:val="lowerLetter"/>
      <w:start w:val="6"/>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
      <w:numFmt w:val="bullet"/>
      <w:start w:val="1"/>
    </w:lvl>
    <w:lvl w:ilvl="1">
      <w:lvlJc w:val="left"/>
      <w:lvlText w:val="="/>
      <w:numFmt w:val="bullet"/>
      <w:start w:val="1"/>
    </w:lvl>
  </w:abstractNum>
  <w:abstractNum w:abstractNumId="16">
    <w:nsid w:val="4B588F54"/>
    <w:multiLevelType w:val="hybridMultilevel"/>
    <w:lvl w:ilvl="0">
      <w:lvlJc w:val="left"/>
      <w:lvlText w:val="(%1)"/>
      <w:numFmt w:val="decimal"/>
      <w:start w:val="1"/>
    </w:lvl>
  </w:abstractNum>
  <w:abstractNum w:abstractNumId="17">
    <w:nsid w:val="542289EC"/>
    <w:multiLevelType w:val="hybridMultilevel"/>
    <w:lvl w:ilvl="0">
      <w:lvlJc w:val="left"/>
      <w:lvlText w:val="(%1)"/>
      <w:numFmt w:val="decimal"/>
      <w:start w:val="1"/>
    </w:lvl>
  </w:abstractNum>
  <w:abstractNum w:abstractNumId="18">
    <w:nsid w:val="6DE91B18"/>
    <w:multiLevelType w:val="hybridMultilevel"/>
    <w:lvl w:ilvl="0">
      <w:lvlJc w:val="left"/>
      <w:lvlText w:val="(%1)"/>
      <w:numFmt w:val="decimal"/>
      <w:start w:val="1"/>
    </w:lvl>
    <w:lvl w:ilvl="1">
      <w:lvlJc w:val="left"/>
      <w:lvlText w:val="(%2)"/>
      <w:numFmt w:val="lowerLetter"/>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
      <w:numFmt w:val="bullet"/>
      <w:start w:val="1"/>
    </w:lvl>
    <w:lvl w:ilvl="1">
      <w:lvlJc w:val="left"/>
      <w:lvlText w:val="%2)"/>
      <w:numFmt w:val="decimal"/>
      <w:start w:val="1"/>
    </w:lvl>
  </w:abstractNum>
  <w:abstractNum w:abstractNumId="21">
    <w:nsid w:val="32FFF902"/>
    <w:multiLevelType w:val="hybridMultilevel"/>
    <w:lvl w:ilvl="0">
      <w:lvlJc w:val="left"/>
      <w:lvlText w:val="(%1)"/>
      <w:numFmt w:val="decimal"/>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1)"/>
      <w:numFmt w:val="decimal"/>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1)"/>
      <w:numFmt w:val="lowerRoman"/>
      <w:start w:val="3"/>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
      <w:numFmt w:val="bullet"/>
      <w:start w:val="1"/>
    </w:lvl>
  </w:abstractNum>
  <w:abstractNum w:abstractNumId="30">
    <w:nsid w:val="70C6A529"/>
    <w:multiLevelType w:val="hybridMultilevel"/>
    <w:lvl w:ilvl="0">
      <w:lvlJc w:val="left"/>
      <w:lvlText w:val="•"/>
      <w:numFmt w:val="bullet"/>
      <w:start w:val="1"/>
    </w:lvl>
  </w:abstractNum>
  <w:abstractNum w:abstractNumId="31">
    <w:nsid w:val="520EEDD1"/>
    <w:multiLevelType w:val="hybridMultilevel"/>
    <w:lvl w:ilvl="0">
      <w:lvlJc w:val="left"/>
      <w:lvlText w:val="(%1)"/>
      <w:numFmt w:val="decimal"/>
      <w:start w:val="1"/>
    </w:lvl>
  </w:abstractNum>
  <w:abstractNum w:abstractNumId="32">
    <w:nsid w:val="374A3FE6"/>
    <w:multiLevelType w:val="hybridMultilevel"/>
    <w:lvl w:ilvl="0">
      <w:lvlJc w:val="left"/>
      <w:lvlText w:val="*"/>
      <w:numFmt w:val="bullet"/>
      <w:start w:val="1"/>
    </w:lvl>
  </w:abstractNum>
  <w:abstractNum w:abstractNumId="33">
    <w:nsid w:val="4F4EF005"/>
    <w:multiLevelType w:val="hybridMultilevel"/>
    <w:lvl w:ilvl="0">
      <w:lvlJc w:val="left"/>
      <w:lvlText w:val="(%1)"/>
      <w:numFmt w:val="decimal"/>
      <w:start w:val="1"/>
    </w:lvl>
  </w:abstractNum>
  <w:abstractNum w:abstractNumId="34">
    <w:nsid w:val="23F9C13C"/>
    <w:multiLevelType w:val="hybridMultilevel"/>
    <w:lvl w:ilvl="0">
      <w:lvlJc w:val="left"/>
      <w:lvlText w:val="•"/>
      <w:numFmt w:val="bullet"/>
      <w:start w:val="1"/>
    </w:lvl>
  </w:abstractNum>
  <w:abstractNum w:abstractNumId="35">
    <w:nsid w:val="649BB77C"/>
    <w:multiLevelType w:val="hybridMultilevel"/>
    <w:lvl w:ilvl="0">
      <w:lvlJc w:val="left"/>
      <w:lvlText w:val="•"/>
      <w:numFmt w:val="bullet"/>
      <w:start w:val="1"/>
    </w:lvl>
  </w:abstractNum>
  <w:abstractNum w:abstractNumId="36">
    <w:nsid w:val="275AC794"/>
    <w:multiLevelType w:val="hybridMultilevel"/>
    <w:lvl w:ilvl="0">
      <w:lvlJc w:val="left"/>
      <w:lvlText w:val="•"/>
      <w:numFmt w:val="bullet"/>
      <w:start w:val="1"/>
    </w:lvl>
  </w:abstractNum>
  <w:abstractNum w:abstractNumId="37">
    <w:nsid w:val="39386575"/>
    <w:multiLevelType w:val="hybridMultilevel"/>
    <w:lvl w:ilvl="0">
      <w:lvlJc w:val="left"/>
      <w:lvlText w:val="(%1)"/>
      <w:numFmt w:val="decimal"/>
      <w:start w:val="1"/>
    </w:lvl>
  </w:abstractNum>
  <w:abstractNum w:abstractNumId="38">
    <w:nsid w:val="1CF10FD8"/>
    <w:multiLevelType w:val="hybridMultilevel"/>
    <w:lvl w:ilvl="0">
      <w:lvlJc w:val="left"/>
      <w:lvlText w:val="(%1)"/>
      <w:numFmt w:val="decimal"/>
      <w:start w:val="1"/>
    </w:lvl>
  </w:abstractNum>
  <w:abstractNum w:abstractNumId="39">
    <w:nsid w:val="180115BE"/>
    <w:multiLevelType w:val="hybridMultilevel"/>
    <w:lvl w:ilvl="0">
      <w:lvlJc w:val="left"/>
      <w:lvlText w:val="(%1)"/>
      <w:numFmt w:val="decimal"/>
      <w:start w:val="1"/>
    </w:lvl>
  </w:abstractNum>
  <w:abstractNum w:abstractNumId="40">
    <w:nsid w:val="235BA861"/>
    <w:multiLevelType w:val="hybridMultilevel"/>
    <w:lvl w:ilvl="0">
      <w:lvlJc w:val="left"/>
      <w:lvlText w:val="(%1)"/>
      <w:numFmt w:val="decimal"/>
      <w:start w:val="1"/>
    </w:lvl>
    <w:lvl w:ilvl="1">
      <w:lvlJc w:val="left"/>
      <w:lvlText w:val="(%2)"/>
      <w:numFmt w:val="lowerLetter"/>
      <w:start w:val="2"/>
    </w:lvl>
  </w:abstractNum>
  <w:abstractNum w:abstractNumId="41">
    <w:nsid w:val="47398C89"/>
    <w:multiLevelType w:val="hybridMultilevel"/>
    <w:lvl w:ilvl="0">
      <w:lvlJc w:val="left"/>
      <w:lvlText w:val="*"/>
      <w:numFmt w:val="bullet"/>
      <w:start w:val="1"/>
    </w:lvl>
  </w:abstractNum>
  <w:abstractNum w:abstractNumId="42">
    <w:nsid w:val="354FE9F9"/>
    <w:multiLevelType w:val="hybridMultilevel"/>
    <w:lvl w:ilvl="0">
      <w:lvlJc w:val="left"/>
      <w:lvlText w:val="*"/>
      <w:numFmt w:val="bullet"/>
      <w:start w:val="1"/>
    </w:lvl>
  </w:abstractNum>
  <w:abstractNum w:abstractNumId="43">
    <w:nsid w:val="15B5AF5C"/>
    <w:multiLevelType w:val="hybridMultilevel"/>
    <w:lvl w:ilvl="0">
      <w:lvlJc w:val="left"/>
      <w:lvlText w:val="(%1)"/>
      <w:numFmt w:val="decimal"/>
      <w:start w:val="1"/>
    </w:lvl>
  </w:abstractNum>
  <w:abstractNum w:abstractNumId="44">
    <w:nsid w:val="741226BB"/>
    <w:multiLevelType w:val="hybridMultilevel"/>
    <w:lvl w:ilvl="0">
      <w:lvlJc w:val="left"/>
      <w:lvlText w:val="(%1)"/>
      <w:numFmt w:val="decimal"/>
      <w:start w:val="1"/>
    </w:lvl>
  </w:abstractNum>
  <w:abstractNum w:abstractNumId="45">
    <w:nsid w:val="D34B6A8"/>
    <w:multiLevelType w:val="hybridMultilevel"/>
    <w:lvl w:ilvl="0">
      <w:lvlJc w:val="left"/>
      <w:lvlText w:val="*"/>
      <w:numFmt w:val="bullet"/>
      <w:start w:val="1"/>
    </w:lvl>
  </w:abstractNum>
  <w:abstractNum w:abstractNumId="46">
    <w:nsid w:val="10233C99"/>
    <w:multiLevelType w:val="hybridMultilevel"/>
    <w:lvl w:ilvl="0">
      <w:lvlJc w:val="left"/>
      <w:lvlText w:val="(%1)"/>
      <w:numFmt w:val="upperLetter"/>
      <w:start w:val="1"/>
    </w:lvl>
  </w:abstractNum>
  <w:abstractNum w:abstractNumId="47">
    <w:nsid w:val="3F6AB60F"/>
    <w:multiLevelType w:val="hybridMultilevel"/>
    <w:lvl w:ilvl="0">
      <w:lvlJc w:val="left"/>
      <w:lvlText w:val="(%1)"/>
      <w:numFmt w:val="upperLetter"/>
      <w:start w:val="5"/>
    </w:lvl>
  </w:abstractNum>
  <w:abstractNum w:abstractNumId="48">
    <w:nsid w:val="61574095"/>
    <w:multiLevelType w:val="hybridMultilevel"/>
    <w:lvl w:ilvl="0">
      <w:lvlJc w:val="left"/>
      <w:lvlText w:val="(%1)"/>
      <w:numFmt w:val="upperLetter"/>
      <w:start w:val="12"/>
    </w:lvl>
  </w:abstractNum>
  <w:abstractNum w:abstractNumId="49">
    <w:nsid w:val="7E0C57B1"/>
    <w:multiLevelType w:val="hybridMultilevel"/>
    <w:lvl w:ilvl="0">
      <w:lvlJc w:val="left"/>
      <w:lvlText w:val="(%1)"/>
      <w:numFmt w:val="lowerRoman"/>
      <w:start w:val="1"/>
    </w:lvl>
  </w:abstractNum>
  <w:abstractNum w:abstractNumId="50">
    <w:nsid w:val="77AE35EB"/>
    <w:multiLevelType w:val="hybridMultilevel"/>
    <w:lvl w:ilvl="0">
      <w:lvlJc w:val="left"/>
      <w:lvlText w:val="(%1)"/>
      <w:numFmt w:val="lowerRoman"/>
      <w:start w:val="2"/>
    </w:lvl>
  </w:abstractNum>
  <w:abstractNum w:abstractNumId="51">
    <w:nsid w:val="579BE4F1"/>
    <w:multiLevelType w:val="hybridMultilevel"/>
    <w:lvl w:ilvl="0">
      <w:lvlJc w:val="left"/>
      <w:lvlText w:val="(%1)"/>
      <w:numFmt w:val="upperLetter"/>
      <w:start w:val="1"/>
    </w:lvl>
  </w:abstractNum>
  <w:abstractNum w:abstractNumId="52">
    <w:nsid w:val="310C50B3"/>
    <w:multiLevelType w:val="hybridMultilevel"/>
    <w:lvl w:ilvl="0">
      <w:lvlJc w:val="left"/>
      <w:lvlText w:val="(%1)"/>
      <w:numFmt w:val="upperLetter"/>
      <w:start w:val="1"/>
    </w:lvl>
  </w:abstractNum>
  <w:abstractNum w:abstractNumId="53">
    <w:nsid w:val="5FF87E05"/>
    <w:multiLevelType w:val="hybridMultilevel"/>
    <w:lvl w:ilvl="0">
      <w:lvlJc w:val="left"/>
      <w:lvlText w:val="(%1)"/>
      <w:numFmt w:val="upperLetter"/>
      <w:start w:val="2"/>
    </w:lvl>
  </w:abstractNum>
  <w:abstractNum w:abstractNumId="54">
    <w:nsid w:val="2F305DEF"/>
    <w:multiLevelType w:val="hybridMultilevel"/>
    <w:lvl w:ilvl="0">
      <w:lvlJc w:val="left"/>
      <w:lvlText w:val="%1"/>
      <w:numFmt w:val="upperLetter"/>
      <w:start w:val="1"/>
    </w:lvl>
    <w:lvl w:ilvl="1">
      <w:lvlJc w:val="left"/>
      <w:lvlText w:val="(%2)"/>
      <w:numFmt w:val="decimal"/>
      <w:start w:val="1"/>
    </w:lvl>
  </w:abstractNum>
  <w:abstractNum w:abstractNumId="55">
    <w:nsid w:val="25A70BF7"/>
    <w:multiLevelType w:val="hybridMultilevel"/>
    <w:lvl w:ilvl="0">
      <w:lvlJc w:val="left"/>
      <w:lvlText w:val="(%1)"/>
      <w:numFmt w:val="upperLetter"/>
      <w:start w:val="3"/>
    </w:lvl>
    <w:lvl w:ilvl="1">
      <w:lvlJc w:val="left"/>
      <w:lvlText w:val="%2"/>
      <w:numFmt w:val="decimal"/>
      <w:start w:val="1"/>
    </w:lvl>
  </w:abstractNum>
  <w:abstractNum w:abstractNumId="56">
    <w:nsid w:val="1DBABF00"/>
    <w:multiLevelType w:val="hybridMultilevel"/>
    <w:lvl w:ilvl="0">
      <w:lvlJc w:val="left"/>
      <w:lvlText w:val="(%1)"/>
      <w:numFmt w:val="upperLetter"/>
      <w:start w:val="4"/>
    </w:lvl>
  </w:abstractNum>
  <w:abstractNum w:abstractNumId="57">
    <w:nsid w:val="4AD084E9"/>
    <w:multiLevelType w:val="hybridMultilevel"/>
    <w:lvl w:ilvl="0">
      <w:lvlJc w:val="left"/>
      <w:lvlText w:val="(%1)"/>
      <w:numFmt w:val="upperLetter"/>
      <w:start w:val="5"/>
    </w:lvl>
    <w:lvl w:ilvl="1">
      <w:lvlJc w:val="left"/>
      <w:lvlText w:val="(%2)"/>
      <w:numFmt w:val="decimal"/>
      <w:start w:val="1"/>
    </w:lvl>
  </w:abstractNum>
  <w:abstractNum w:abstractNumId="58">
    <w:nsid w:val="1F48EAA1"/>
    <w:multiLevelType w:val="hybridMultilevel"/>
    <w:lvl w:ilvl="0">
      <w:lvlJc w:val="left"/>
      <w:lvlText w:val="(%1)"/>
      <w:numFmt w:val="upperLetter"/>
      <w:start w:val="7"/>
    </w:lvl>
  </w:abstractNum>
  <w:abstractNum w:abstractNumId="59">
    <w:nsid w:val="1381823A"/>
    <w:multiLevelType w:val="hybridMultilevel"/>
    <w:lvl w:ilvl="0">
      <w:lvlJc w:val="left"/>
      <w:lvlText w:val="(%1)"/>
      <w:numFmt w:val="upperLetter"/>
      <w:start w:val="8"/>
    </w:lvl>
  </w:abstractNum>
  <w:abstractNum w:abstractNumId="60">
    <w:nsid w:val="5DB70AE5"/>
    <w:multiLevelType w:val="hybridMultilevel"/>
    <w:lvl w:ilvl="0">
      <w:lvlJc w:val="left"/>
      <w:lvlText w:val="(%1)"/>
      <w:numFmt w:val="upperLetter"/>
      <w:start w:val="1"/>
    </w:lvl>
  </w:abstractNum>
  <w:abstractNum w:abstractNumId="61">
    <w:nsid w:val="100F8FCA"/>
    <w:multiLevelType w:val="hybridMultilevel"/>
    <w:lvl w:ilvl="0">
      <w:lvlJc w:val="left"/>
      <w:lvlText w:val="(%1)"/>
      <w:numFmt w:val="upperLetter"/>
      <w:start w:val="2"/>
    </w:lvl>
  </w:abstractNum>
  <w:abstractNum w:abstractNumId="62">
    <w:nsid w:val="6590700B"/>
    <w:multiLevelType w:val="hybridMultilevel"/>
    <w:lvl w:ilvl="0">
      <w:lvlJc w:val="left"/>
      <w:lvlText w:val="(%1)"/>
      <w:numFmt w:val="upperLetter"/>
      <w:start w:val="3"/>
    </w:lvl>
  </w:abstractNum>
  <w:abstractNum w:abstractNumId="63">
    <w:nsid w:val="15014ACB"/>
    <w:multiLevelType w:val="hybridMultilevel"/>
    <w:lvl w:ilvl="0">
      <w:lvlJc w:val="left"/>
      <w:lvlText w:val="(%1)"/>
      <w:numFmt w:val="upperLetter"/>
      <w:start w:val="1"/>
    </w:lvl>
  </w:abstractNum>
  <w:abstractNum w:abstractNumId="64">
    <w:nsid w:val="5F5E7FD0"/>
    <w:multiLevelType w:val="hybridMultilevel"/>
    <w:lvl w:ilvl="0">
      <w:lvlJc w:val="left"/>
      <w:lvlText w:val="(%1)"/>
      <w:numFmt w:val="upperLetter"/>
      <w:start w:val="3"/>
    </w:lvl>
    <w:lvl w:ilvl="1">
      <w:lvlJc w:val="left"/>
      <w:lvlText w:val="(%2)"/>
      <w:numFmt w:val="decimal"/>
      <w:start w:val="1"/>
    </w:lvl>
  </w:abstractNum>
  <w:abstractNum w:abstractNumId="65">
    <w:nsid w:val="98A3148"/>
    <w:multiLevelType w:val="hybridMultilevel"/>
    <w:lvl w:ilvl="0">
      <w:lvlJc w:val="left"/>
      <w:lvlText w:val="(%1)"/>
      <w:numFmt w:val="upperLetter"/>
      <w:start w:val="5"/>
    </w:lvl>
  </w:abstractNum>
  <w:abstractNum w:abstractNumId="66">
    <w:nsid w:val="799D0247"/>
    <w:multiLevelType w:val="hybridMultilevel"/>
    <w:lvl w:ilvl="0">
      <w:lvlJc w:val="left"/>
      <w:lvlText w:val="(%1)"/>
      <w:numFmt w:val="upperLetter"/>
      <w:start w:val="1"/>
    </w:lvl>
  </w:abstractNum>
  <w:abstractNum w:abstractNumId="67">
    <w:nsid w:val="6B94764"/>
    <w:multiLevelType w:val="hybridMultilevel"/>
    <w:lvl w:ilvl="0">
      <w:lvlJc w:val="left"/>
      <w:lvlText w:val="(%1)"/>
      <w:numFmt w:val="upperLetter"/>
      <w:start w:val="2"/>
    </w:lvl>
  </w:abstractNum>
  <w:abstractNum w:abstractNumId="68">
    <w:nsid w:val="42C296BD"/>
    <w:multiLevelType w:val="hybridMultilevel"/>
    <w:lvl w:ilvl="0">
      <w:lvlJc w:val="left"/>
      <w:lvlText w:val="(%1)"/>
      <w:numFmt w:val="upperLetter"/>
      <w:start w:val="1"/>
    </w:lvl>
    <w:lvl w:ilvl="1">
      <w:lvlJc w:val="left"/>
      <w:lvlText w:val="(%2)"/>
      <w:numFmt w:val="decimal"/>
      <w:start w:val="1"/>
    </w:lvl>
  </w:abstractNum>
  <w:abstractNum w:abstractNumId="69">
    <w:nsid w:val="168E121F"/>
    <w:multiLevelType w:val="hybridMultilevel"/>
    <w:lvl w:ilvl="0">
      <w:lvlJc w:val="left"/>
      <w:lvlText w:val="%1"/>
      <w:numFmt w:val="upperLetter"/>
      <w:start w:val="1"/>
    </w:lvl>
    <w:lvl w:ilvl="1">
      <w:lvlJc w:val="left"/>
      <w:lvlText w:val="(%2)"/>
      <w:numFmt w:val="decimal"/>
      <w:start w:val="6"/>
    </w:lvl>
  </w:abstractNum>
  <w:abstractNum w:abstractNumId="70">
    <w:nsid w:val="1EBA5D23"/>
    <w:multiLevelType w:val="hybridMultilevel"/>
    <w:lvl w:ilvl="0">
      <w:lvlJc w:val="left"/>
      <w:lvlText w:val="(%1)"/>
      <w:numFmt w:val="upperLetter"/>
      <w:start w:val="4"/>
    </w:lvl>
    <w:lvl w:ilvl="1">
      <w:lvlJc w:val="left"/>
      <w:lvlText w:val="%2"/>
      <w:numFmt w:val="decimal"/>
      <w:start w:val="1"/>
    </w:lvl>
  </w:abstractNum>
  <w:abstractNum w:abstractNumId="71">
    <w:nsid w:val="661E3F1E"/>
    <w:multiLevelType w:val="hybridMultilevel"/>
    <w:lvl w:ilvl="0">
      <w:lvlJc w:val="left"/>
      <w:lvlText w:val="%1."/>
      <w:numFmt w:val="decimal"/>
      <w:start w:val="1"/>
    </w:lvl>
    <w:lvl w:ilvl="1">
      <w:lvlJc w:val="left"/>
      <w:lvlText w:val="%2)"/>
      <w:numFmt w:val="lowerLetter"/>
      <w:start w:val="1"/>
    </w:lvl>
  </w:abstractNum>
  <w:abstractNum w:abstractNumId="72">
    <w:nsid w:val="5DC79EA8"/>
    <w:multiLevelType w:val="hybridMultilevel"/>
    <w:lvl w:ilvl="0">
      <w:lvlJc w:val="left"/>
      <w:lvlText w:val="%1."/>
      <w:numFmt w:val="decimal"/>
      <w:start w:val="1"/>
    </w:lvl>
    <w:lvl w:ilvl="1">
      <w:lvlJc w:val="left"/>
      <w:lvlText w:val="%2)"/>
      <w:numFmt w:val="lowerLetter"/>
      <w:start w:val="1"/>
    </w:lvl>
  </w:abstractNum>
  <w:abstractNum w:abstractNumId="73">
    <w:nsid w:val="540A471C"/>
    <w:multiLevelType w:val="hybridMultilevel"/>
    <w:lvl w:ilvl="0">
      <w:lvlJc w:val="left"/>
      <w:lvlText w:val="(%1)"/>
      <w:numFmt w:val="decimal"/>
      <w:start w:val="1"/>
    </w:lvl>
  </w:abstractNum>
  <w:abstractNum w:abstractNumId="74">
    <w:nsid w:val="7BD3EE7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2020-05-05T12:09:38Z</dcterms:created>
  <dcterms:modified xsi:type="dcterms:W3CDTF">2020-05-05T12:09:38Z</dcterms:modified>
</cp:coreProperties>
</file>