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March 04, 2014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300"/>
        <w:spacing w:after="0" w:line="250" w:lineRule="auto"/>
        <w:rPr>
          <w:sz w:val="20"/>
          <w:szCs w:val="20"/>
          <w:color w:val="auto"/>
        </w:rPr>
      </w:pPr>
      <w:r>
        <w:rPr>
          <w:rFonts w:ascii="Arial" w:cs="Arial" w:eastAsia="Arial" w:hAnsi="Arial"/>
          <w:sz w:val="22"/>
          <w:szCs w:val="22"/>
          <w:color w:val="auto"/>
        </w:rPr>
        <w:t>On March 4, 2014,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March 04,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20" w:type="dxa"/>
            <w:vAlign w:val="bottom"/>
          </w:tcPr>
          <w:p>
            <w:pPr>
              <w:spacing w:after="0"/>
              <w:rPr>
                <w:sz w:val="20"/>
                <w:szCs w:val="20"/>
                <w:color w:val="auto"/>
              </w:rPr>
            </w:pPr>
            <w:r>
              <w:rPr>
                <w:rFonts w:ascii="Arial" w:cs="Arial" w:eastAsia="Arial" w:hAnsi="Arial"/>
                <w:sz w:val="22"/>
                <w:szCs w:val="22"/>
                <w:color w:val="auto"/>
              </w:rPr>
              <w:t>Dated: March 04, 2014</w:t>
            </w:r>
          </w:p>
        </w:tc>
        <w:tc>
          <w:tcPr>
            <w:tcW w:w="6800" w:type="dxa"/>
            <w:vAlign w:val="bottom"/>
            <w:gridSpan w:val="3"/>
          </w:tcPr>
          <w:p>
            <w:pPr>
              <w:ind w:left="18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20" w:type="dxa"/>
            <w:vAlign w:val="bottom"/>
          </w:tcPr>
          <w:p>
            <w:pPr>
              <w:spacing w:after="0"/>
              <w:rPr>
                <w:sz w:val="24"/>
                <w:szCs w:val="24"/>
                <w:color w:val="auto"/>
              </w:rPr>
            </w:pPr>
          </w:p>
        </w:tc>
        <w:tc>
          <w:tcPr>
            <w:tcW w:w="6800" w:type="dxa"/>
            <w:vAlign w:val="bottom"/>
            <w:gridSpan w:val="3"/>
          </w:tcPr>
          <w:p>
            <w:pPr>
              <w:ind w:left="1800"/>
              <w:spacing w:after="0"/>
              <w:rPr>
                <w:sz w:val="20"/>
                <w:szCs w:val="20"/>
                <w:color w:val="auto"/>
              </w:rPr>
            </w:pPr>
            <w:r>
              <w:rPr>
                <w:rFonts w:ascii="Arial" w:cs="Arial" w:eastAsia="Arial" w:hAnsi="Arial"/>
                <w:sz w:val="22"/>
                <w:szCs w:val="22"/>
                <w:color w:val="auto"/>
              </w:rPr>
              <w:t>By: /s/ Aviv Efrat</w:t>
            </w:r>
          </w:p>
        </w:tc>
      </w:tr>
      <w:tr>
        <w:trPr>
          <w:trHeight w:val="20"/>
        </w:trPr>
        <w:tc>
          <w:tcPr>
            <w:tcW w:w="3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20" w:type="dxa"/>
            <w:vAlign w:val="bottom"/>
          </w:tcPr>
          <w:p>
            <w:pPr>
              <w:spacing w:after="0"/>
              <w:rPr>
                <w:sz w:val="21"/>
                <w:szCs w:val="21"/>
                <w:color w:val="auto"/>
              </w:rPr>
            </w:pPr>
          </w:p>
        </w:tc>
        <w:tc>
          <w:tcPr>
            <w:tcW w:w="6800" w:type="dxa"/>
            <w:vAlign w:val="bottom"/>
            <w:gridSpan w:val="3"/>
          </w:tcPr>
          <w:p>
            <w:pPr>
              <w:ind w:left="20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20" w:type="dxa"/>
            <w:vAlign w:val="bottom"/>
          </w:tcPr>
          <w:p>
            <w:pPr>
              <w:spacing w:after="0"/>
              <w:rPr>
                <w:sz w:val="23"/>
                <w:szCs w:val="23"/>
                <w:color w:val="auto"/>
              </w:rPr>
            </w:pPr>
          </w:p>
        </w:tc>
        <w:tc>
          <w:tcPr>
            <w:tcW w:w="6800" w:type="dxa"/>
            <w:vAlign w:val="bottom"/>
            <w:gridSpan w:val="3"/>
          </w:tcPr>
          <w:p>
            <w:pPr>
              <w:ind w:left="20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0"/>
              </w:rPr>
              <w:t>March 04,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 per Share</w:t>
      </w:r>
    </w:p>
    <w:p>
      <w:pPr>
        <w:spacing w:after="0" w:line="213"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NEW YORK, NY -- (Marketwired - March 04, 2014) - PennantPark Floating Rate Capital Ltd. (the "Company") (NASDAQ: PFLT) declares monthly distribution for March 2014 of $0.09 per share, payable on April 1, 2014 to stockholders of record as of March 20, 2014.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2020-05-05T12:04:42Z</dcterms:created>
  <dcterms:modified xsi:type="dcterms:W3CDTF">2020-05-05T12:04:42Z</dcterms:modified>
</cp:coreProperties>
</file>