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4, 2025</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PennantPark Floating Rate Capital Ltd.</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50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814-00891</w:t>
            </w:r>
          </w:p>
        </w:tc>
        <w:tc>
          <w:tcPr>
            <w:tcW w:w="4000" w:type="dxa"/>
            <w:vAlign w:val="bottom"/>
          </w:tcPr>
          <w:p>
            <w:pPr>
              <w:jc w:val="right"/>
              <w:ind w:right="1442"/>
              <w:spacing w:after="0"/>
              <w:rPr>
                <w:sz w:val="20"/>
                <w:szCs w:val="20"/>
                <w:color w:val="auto"/>
              </w:rPr>
            </w:pPr>
            <w:r>
              <w:rPr>
                <w:rFonts w:ascii="Times New Roman" w:cs="Times New Roman" w:eastAsia="Times New Roman" w:hAnsi="Times New Roman"/>
                <w:sz w:val="14"/>
                <w:szCs w:val="14"/>
                <w:b w:val="1"/>
                <w:bCs w:val="1"/>
                <w:color w:val="auto"/>
              </w:rPr>
              <w:t>27-3794690</w:t>
            </w:r>
          </w:p>
        </w:tc>
      </w:tr>
      <w:tr>
        <w:trPr>
          <w:trHeight w:val="190"/>
        </w:trPr>
        <w:tc>
          <w:tcPr>
            <w:tcW w:w="37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350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400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31"/>
        </w:trPr>
        <w:tc>
          <w:tcPr>
            <w:tcW w:w="3740" w:type="dxa"/>
            <w:vAlign w:val="bottom"/>
          </w:tcPr>
          <w:p>
            <w:pPr>
              <w:jc w:val="center"/>
              <w:ind w:left="1024"/>
              <w:spacing w:after="0"/>
              <w:rPr>
                <w:sz w:val="20"/>
                <w:szCs w:val="20"/>
                <w:color w:val="auto"/>
              </w:rPr>
            </w:pPr>
            <w:r>
              <w:rPr>
                <w:rFonts w:ascii="Times New Roman" w:cs="Times New Roman" w:eastAsia="Times New Roman" w:hAnsi="Times New Roman"/>
                <w:sz w:val="14"/>
                <w:szCs w:val="14"/>
                <w:b w:val="1"/>
                <w:bCs w:val="1"/>
                <w:color w:val="auto"/>
              </w:rPr>
              <w:t>1691 Michigan Avenue</w:t>
            </w:r>
          </w:p>
        </w:tc>
        <w:tc>
          <w:tcPr>
            <w:tcW w:w="3500" w:type="dxa"/>
            <w:vAlign w:val="bottom"/>
          </w:tcPr>
          <w:p>
            <w:pPr>
              <w:spacing w:after="0"/>
              <w:rPr>
                <w:sz w:val="24"/>
                <w:szCs w:val="24"/>
                <w:color w:val="auto"/>
              </w:rPr>
            </w:pPr>
          </w:p>
        </w:tc>
        <w:tc>
          <w:tcPr>
            <w:tcW w:w="4000" w:type="dxa"/>
            <w:vAlign w:val="bottom"/>
          </w:tcPr>
          <w:p>
            <w:pPr>
              <w:jc w:val="right"/>
              <w:ind w:right="2102"/>
              <w:spacing w:after="0"/>
              <w:rPr>
                <w:sz w:val="20"/>
                <w:szCs w:val="20"/>
                <w:color w:val="auto"/>
              </w:rPr>
            </w:pPr>
            <w:r>
              <w:rPr>
                <w:rFonts w:ascii="Times New Roman" w:cs="Times New Roman" w:eastAsia="Times New Roman" w:hAnsi="Times New Roman"/>
                <w:sz w:val="14"/>
                <w:szCs w:val="14"/>
                <w:b w:val="1"/>
                <w:bCs w:val="1"/>
                <w:color w:val="auto"/>
              </w:rPr>
              <w:t>33139</w:t>
            </w:r>
          </w:p>
        </w:tc>
      </w:tr>
      <w:tr>
        <w:trPr>
          <w:trHeight w:val="151"/>
        </w:trPr>
        <w:tc>
          <w:tcPr>
            <w:tcW w:w="3740" w:type="dxa"/>
            <w:vAlign w:val="bottom"/>
          </w:tcPr>
          <w:p>
            <w:pPr>
              <w:jc w:val="center"/>
              <w:ind w:left="984"/>
              <w:spacing w:after="0" w:line="151" w:lineRule="exact"/>
              <w:rPr>
                <w:sz w:val="20"/>
                <w:szCs w:val="20"/>
                <w:color w:val="auto"/>
              </w:rPr>
            </w:pPr>
            <w:r>
              <w:rPr>
                <w:rFonts w:ascii="Times New Roman" w:cs="Times New Roman" w:eastAsia="Times New Roman" w:hAnsi="Times New Roman"/>
                <w:sz w:val="14"/>
                <w:szCs w:val="14"/>
                <w:b w:val="1"/>
                <w:bCs w:val="1"/>
                <w:color w:val="auto"/>
              </w:rPr>
              <w:t>Miami Beach, Florida</w:t>
            </w:r>
          </w:p>
        </w:tc>
        <w:tc>
          <w:tcPr>
            <w:tcW w:w="3500" w:type="dxa"/>
            <w:vAlign w:val="bottom"/>
          </w:tcPr>
          <w:p>
            <w:pPr>
              <w:spacing w:after="0"/>
              <w:rPr>
                <w:sz w:val="13"/>
                <w:szCs w:val="13"/>
                <w:color w:val="auto"/>
              </w:rPr>
            </w:pPr>
          </w:p>
        </w:tc>
        <w:tc>
          <w:tcPr>
            <w:tcW w:w="4000" w:type="dxa"/>
            <w:vAlign w:val="bottom"/>
          </w:tcPr>
          <w:p>
            <w:pPr>
              <w:jc w:val="center"/>
              <w:ind w:right="642"/>
              <w:spacing w:after="0" w:line="151" w:lineRule="exact"/>
              <w:rPr>
                <w:sz w:val="20"/>
                <w:szCs w:val="20"/>
                <w:color w:val="auto"/>
              </w:rPr>
            </w:pPr>
            <w:r>
              <w:rPr>
                <w:rFonts w:ascii="Times New Roman" w:cs="Times New Roman" w:eastAsia="Times New Roman" w:hAnsi="Times New Roman"/>
                <w:sz w:val="14"/>
                <w:szCs w:val="14"/>
                <w:color w:val="auto"/>
              </w:rPr>
              <w:t>(Zip Code)</w:t>
            </w:r>
          </w:p>
        </w:tc>
      </w:tr>
      <w:tr>
        <w:trPr>
          <w:trHeight w:val="188"/>
        </w:trPr>
        <w:tc>
          <w:tcPr>
            <w:tcW w:w="3740" w:type="dxa"/>
            <w:vAlign w:val="bottom"/>
          </w:tcPr>
          <w:p>
            <w:pPr>
              <w:jc w:val="center"/>
              <w:ind w:left="102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352"/>
        </w:trPr>
        <w:tc>
          <w:tcPr>
            <w:tcW w:w="3740" w:type="dxa"/>
            <w:vAlign w:val="bottom"/>
          </w:tcPr>
          <w:p>
            <w:pPr>
              <w:spacing w:after="0"/>
              <w:rPr>
                <w:sz w:val="24"/>
                <w:szCs w:val="24"/>
                <w:color w:val="auto"/>
              </w:rPr>
            </w:pPr>
          </w:p>
        </w:tc>
        <w:tc>
          <w:tcPr>
            <w:tcW w:w="350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(786) 297-9500</w:t>
            </w:r>
          </w:p>
        </w:tc>
        <w:tc>
          <w:tcPr>
            <w:tcW w:w="4000" w:type="dxa"/>
            <w:vAlign w:val="bottom"/>
          </w:tcPr>
          <w:p>
            <w:pPr>
              <w:spacing w:after="0"/>
              <w:rPr>
                <w:sz w:val="24"/>
                <w:szCs w:val="24"/>
                <w:color w:val="auto"/>
              </w:rPr>
            </w:pPr>
          </w:p>
        </w:tc>
      </w:tr>
      <w:tr>
        <w:trPr>
          <w:trHeight w:val="188"/>
        </w:trPr>
        <w:tc>
          <w:tcPr>
            <w:tcW w:w="3740" w:type="dxa"/>
            <w:vAlign w:val="bottom"/>
          </w:tcPr>
          <w:p>
            <w:pPr>
              <w:spacing w:after="0"/>
              <w:rPr>
                <w:sz w:val="16"/>
                <w:szCs w:val="16"/>
                <w:color w:val="auto"/>
              </w:rPr>
            </w:pPr>
          </w:p>
        </w:tc>
        <w:tc>
          <w:tcPr>
            <w:tcW w:w="3500" w:type="dxa"/>
            <w:vAlign w:val="bottom"/>
          </w:tcPr>
          <w:p>
            <w:pPr>
              <w:jc w:val="center"/>
              <w:ind w:left="18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6"/>
                <w:szCs w:val="16"/>
                <w:color w:val="auto"/>
              </w:rPr>
            </w:pPr>
          </w:p>
        </w:tc>
      </w:tr>
      <w:tr>
        <w:trPr>
          <w:trHeight w:val="257"/>
        </w:trPr>
        <w:tc>
          <w:tcPr>
            <w:tcW w:w="3740" w:type="dxa"/>
            <w:vAlign w:val="bottom"/>
          </w:tcPr>
          <w:p>
            <w:pPr>
              <w:spacing w:after="0"/>
              <w:rPr>
                <w:sz w:val="22"/>
                <w:szCs w:val="22"/>
                <w:color w:val="auto"/>
              </w:rPr>
            </w:pPr>
          </w:p>
        </w:tc>
        <w:tc>
          <w:tcPr>
            <w:tcW w:w="3500" w:type="dxa"/>
            <w:vAlign w:val="bottom"/>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4000" w:type="dxa"/>
            <w:vAlign w:val="bottom"/>
          </w:tcPr>
          <w:p>
            <w:pPr>
              <w:spacing w:after="0"/>
              <w:rPr>
                <w:sz w:val="22"/>
                <w:szCs w:val="22"/>
                <w:color w:val="auto"/>
              </w:rPr>
            </w:pPr>
          </w:p>
        </w:tc>
      </w:tr>
      <w:tr>
        <w:trPr>
          <w:trHeight w:val="188"/>
        </w:trPr>
        <w:tc>
          <w:tcPr>
            <w:tcW w:w="3740" w:type="dxa"/>
            <w:vAlign w:val="bottom"/>
          </w:tcPr>
          <w:p>
            <w:pPr>
              <w:spacing w:after="0"/>
              <w:rPr>
                <w:sz w:val="16"/>
                <w:szCs w:val="16"/>
                <w:color w:val="auto"/>
              </w:rPr>
            </w:pPr>
          </w:p>
        </w:tc>
        <w:tc>
          <w:tcPr>
            <w:tcW w:w="7500" w:type="dxa"/>
            <w:vAlign w:val="bottom"/>
            <w:gridSpan w:val="2"/>
          </w:tcPr>
          <w:p>
            <w:pPr>
              <w:jc w:val="center"/>
              <w:ind w:right="3642"/>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r>
        <w:trPr>
          <w:trHeight w:val="199"/>
        </w:trPr>
        <w:tc>
          <w:tcPr>
            <w:tcW w:w="37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4000" w:type="dxa"/>
            <w:vAlign w:val="bottom"/>
            <w:tcBorders>
              <w:bottom w:val="single" w:sz="8" w:color="auto"/>
            </w:tcBorders>
          </w:tcPr>
          <w:p>
            <w:pPr>
              <w:spacing w:after="0"/>
              <w:rPr>
                <w:sz w:val="17"/>
                <w:szCs w:val="17"/>
                <w:color w:val="auto"/>
              </w:rPr>
            </w:pPr>
          </w:p>
        </w:tc>
      </w:tr>
      <w:tr>
        <w:trPr>
          <w:trHeight w:val="375"/>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29"/>
        </w:trPr>
        <w:tc>
          <w:tcPr>
            <w:tcW w:w="374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tcPr>
          <w:p>
            <w:pPr>
              <w:jc w:val="center"/>
              <w:ind w:left="24"/>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Pr>
          <w:p>
            <w:pPr>
              <w:jc w:val="center"/>
              <w:ind w:right="222"/>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3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3500" w:type="dxa"/>
            <w:vAlign w:val="bottom"/>
          </w:tcPr>
          <w:p>
            <w:pPr>
              <w:jc w:val="center"/>
              <w:ind w:left="44"/>
              <w:spacing w:after="0"/>
              <w:rPr>
                <w:sz w:val="20"/>
                <w:szCs w:val="20"/>
                <w:color w:val="auto"/>
              </w:rPr>
            </w:pPr>
            <w:r>
              <w:rPr>
                <w:rFonts w:ascii="Times New Roman" w:cs="Times New Roman" w:eastAsia="Times New Roman" w:hAnsi="Times New Roman"/>
                <w:sz w:val="18"/>
                <w:szCs w:val="18"/>
                <w:color w:val="auto"/>
                <w:w w:val="99"/>
              </w:rPr>
              <w:t>PFLT</w:t>
            </w:r>
          </w:p>
        </w:tc>
        <w:tc>
          <w:tcPr>
            <w:tcW w:w="4000" w:type="dxa"/>
            <w:vAlign w:val="bottom"/>
          </w:tcPr>
          <w:p>
            <w:pPr>
              <w:jc w:val="center"/>
              <w:ind w:right="222"/>
              <w:spacing w:after="0"/>
              <w:rPr>
                <w:sz w:val="20"/>
                <w:szCs w:val="20"/>
                <w:color w:val="auto"/>
              </w:rPr>
            </w:pPr>
            <w:r>
              <w:rPr>
                <w:rFonts w:ascii="Times New Roman" w:cs="Times New Roman" w:eastAsia="Times New Roman" w:hAnsi="Times New Roman"/>
                <w:sz w:val="18"/>
                <w:szCs w:val="18"/>
                <w:color w:val="auto"/>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3" w:lineRule="exact"/>
        <w:rPr>
          <w:sz w:val="24"/>
          <w:szCs w:val="24"/>
          <w:color w:val="auto"/>
        </w:rPr>
      </w:pPr>
    </w:p>
    <w:p>
      <w:pPr>
        <w:ind w:right="280" w:firstLine="36"/>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highlight w:val="black"/>
        </w:rPr>
        <w:t>☐</w:t>
      </w:r>
    </w:p>
    <w:p>
      <w:pPr>
        <w:spacing w:after="0" w:line="181"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4"/>
          <w:szCs w:val="14"/>
          <w:b w:val="1"/>
          <w:bCs w:val="1"/>
          <w:color w:val="auto"/>
        </w:rPr>
        <w:t>Submission of Matters to a Vote of Security Holders</w:t>
      </w:r>
    </w:p>
    <w:p>
      <w:pPr>
        <w:spacing w:after="0" w:line="71" w:lineRule="exact"/>
        <w:rPr>
          <w:sz w:val="20"/>
          <w:szCs w:val="20"/>
          <w:color w:val="auto"/>
        </w:rPr>
      </w:pPr>
    </w:p>
    <w:p>
      <w:pPr>
        <w:jc w:val="both"/>
        <w:ind w:right="20" w:firstLine="509"/>
        <w:spacing w:after="0" w:line="241" w:lineRule="auto"/>
        <w:rPr>
          <w:sz w:val="20"/>
          <w:szCs w:val="20"/>
          <w:color w:val="auto"/>
        </w:rPr>
      </w:pPr>
      <w:r>
        <w:rPr>
          <w:rFonts w:ascii="Times New Roman" w:cs="Times New Roman" w:eastAsia="Times New Roman" w:hAnsi="Times New Roman"/>
          <w:sz w:val="14"/>
          <w:szCs w:val="14"/>
          <w:color w:val="auto"/>
        </w:rPr>
        <w:t>On February 4, 2025, PennantPark Floating Rate Capital Ltd. (the “Company”) held its annual meeting of stockholders (the “Annual Meeting”) and submitted two matters to the vote of its stockholders. The proposals are described in detail in the Company’s definitive proxy statement filed with the Securities and Exchange Commission on December 11, 2024. As of December 4, 2024, the record date, 83,229,896 shares of common stock were eligible to vote. A summary of the matters voted upon by the stockholders is set forth below.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1. </w:t>
      </w:r>
      <w:r>
        <w:rPr>
          <w:rFonts w:ascii="Times New Roman" w:cs="Times New Roman" w:eastAsia="Times New Roman" w:hAnsi="Times New Roman"/>
          <w:sz w:val="14"/>
          <w:szCs w:val="14"/>
          <w:color w:val="auto"/>
        </w:rPr>
        <w:t>The Company’s stockholders elected two Class II directors of the Company, who will each serve until the 2028 Annual Meeting and until his successor is duly elected and qualifies.</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voting results as of February 4, 2025, as certified by the inspector of election,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320" w:type="dxa"/>
            <w:vAlign w:val="bottom"/>
          </w:tcPr>
          <w:p>
            <w:pPr>
              <w:spacing w:after="0"/>
              <w:rPr>
                <w:sz w:val="14"/>
                <w:szCs w:val="14"/>
                <w:color w:val="auto"/>
              </w:rPr>
            </w:pPr>
          </w:p>
        </w:tc>
        <w:tc>
          <w:tcPr>
            <w:tcW w:w="200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For</w:t>
            </w:r>
          </w:p>
        </w:tc>
        <w:tc>
          <w:tcPr>
            <w:tcW w:w="480" w:type="dxa"/>
            <w:vAlign w:val="bottom"/>
          </w:tcPr>
          <w:p>
            <w:pPr>
              <w:spacing w:after="0"/>
              <w:rPr>
                <w:sz w:val="14"/>
                <w:szCs w:val="14"/>
                <w:color w:val="auto"/>
              </w:rPr>
            </w:pPr>
          </w:p>
        </w:tc>
        <w:tc>
          <w:tcPr>
            <w:tcW w:w="13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Against</w:t>
            </w:r>
          </w:p>
        </w:tc>
        <w:tc>
          <w:tcPr>
            <w:tcW w:w="460" w:type="dxa"/>
            <w:vAlign w:val="bottom"/>
          </w:tcPr>
          <w:p>
            <w:pPr>
              <w:spacing w:after="0"/>
              <w:rPr>
                <w:sz w:val="14"/>
                <w:szCs w:val="14"/>
                <w:color w:val="auto"/>
              </w:rPr>
            </w:pPr>
          </w:p>
        </w:tc>
        <w:tc>
          <w:tcPr>
            <w:tcW w:w="13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Abstain</w:t>
            </w:r>
          </w:p>
        </w:tc>
        <w:tc>
          <w:tcPr>
            <w:tcW w:w="480" w:type="dxa"/>
            <w:vAlign w:val="bottom"/>
          </w:tcPr>
          <w:p>
            <w:pPr>
              <w:spacing w:after="0"/>
              <w:rPr>
                <w:sz w:val="14"/>
                <w:szCs w:val="14"/>
                <w:color w:val="auto"/>
              </w:rPr>
            </w:pPr>
          </w:p>
        </w:tc>
        <w:tc>
          <w:tcPr>
            <w:tcW w:w="16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Broker Non-Vote</w:t>
            </w:r>
          </w:p>
        </w:tc>
        <w:tc>
          <w:tcPr>
            <w:tcW w:w="100" w:type="dxa"/>
            <w:vAlign w:val="bottom"/>
          </w:tcPr>
          <w:p>
            <w:pPr>
              <w:spacing w:after="0"/>
              <w:rPr>
                <w:sz w:val="14"/>
                <w:szCs w:val="14"/>
                <w:color w:val="auto"/>
              </w:rPr>
            </w:pPr>
          </w:p>
        </w:tc>
      </w:tr>
      <w:tr>
        <w:trPr>
          <w:trHeight w:val="142"/>
        </w:trPr>
        <w:tc>
          <w:tcPr>
            <w:tcW w:w="3080" w:type="dxa"/>
            <w:vAlign w:val="bottom"/>
            <w:shd w:val="clear" w:color="auto" w:fill="BDD7EE"/>
          </w:tcPr>
          <w:p>
            <w:pPr>
              <w:ind w:left="20"/>
              <w:spacing w:after="0" w:line="142" w:lineRule="exact"/>
              <w:rPr>
                <w:sz w:val="20"/>
                <w:szCs w:val="20"/>
                <w:color w:val="auto"/>
              </w:rPr>
            </w:pPr>
            <w:r>
              <w:rPr>
                <w:rFonts w:ascii="Times New Roman" w:cs="Times New Roman" w:eastAsia="Times New Roman" w:hAnsi="Times New Roman"/>
                <w:sz w:val="14"/>
                <w:szCs w:val="14"/>
                <w:color w:val="auto"/>
              </w:rPr>
              <w:t>Adam Bernstein</w:t>
            </w:r>
          </w:p>
        </w:tc>
        <w:tc>
          <w:tcPr>
            <w:tcW w:w="2320" w:type="dxa"/>
            <w:vAlign w:val="bottom"/>
            <w:gridSpan w:val="2"/>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12,635,533</w:t>
            </w:r>
          </w:p>
        </w:tc>
        <w:tc>
          <w:tcPr>
            <w:tcW w:w="480" w:type="dxa"/>
            <w:vAlign w:val="bottom"/>
            <w:shd w:val="clear" w:color="auto" w:fill="BDD7EE"/>
          </w:tcPr>
          <w:p>
            <w:pPr>
              <w:spacing w:after="0"/>
              <w:rPr>
                <w:sz w:val="12"/>
                <w:szCs w:val="12"/>
                <w:color w:val="auto"/>
              </w:rPr>
            </w:pPr>
          </w:p>
        </w:tc>
        <w:tc>
          <w:tcPr>
            <w:tcW w:w="1340" w:type="dxa"/>
            <w:vAlign w:val="bottom"/>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5,763,481</w:t>
            </w:r>
          </w:p>
        </w:tc>
        <w:tc>
          <w:tcPr>
            <w:tcW w:w="460" w:type="dxa"/>
            <w:vAlign w:val="bottom"/>
            <w:shd w:val="clear" w:color="auto" w:fill="BDD7EE"/>
          </w:tcPr>
          <w:p>
            <w:pPr>
              <w:spacing w:after="0"/>
              <w:rPr>
                <w:sz w:val="12"/>
                <w:szCs w:val="12"/>
                <w:color w:val="auto"/>
              </w:rPr>
            </w:pPr>
          </w:p>
        </w:tc>
        <w:tc>
          <w:tcPr>
            <w:tcW w:w="1340" w:type="dxa"/>
            <w:vAlign w:val="bottom"/>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570,292</w:t>
            </w:r>
          </w:p>
        </w:tc>
        <w:tc>
          <w:tcPr>
            <w:tcW w:w="480" w:type="dxa"/>
            <w:vAlign w:val="bottom"/>
            <w:shd w:val="clear" w:color="auto" w:fill="BDD7EE"/>
          </w:tcPr>
          <w:p>
            <w:pPr>
              <w:spacing w:after="0"/>
              <w:rPr>
                <w:sz w:val="12"/>
                <w:szCs w:val="12"/>
                <w:color w:val="auto"/>
              </w:rPr>
            </w:pPr>
          </w:p>
        </w:tc>
        <w:tc>
          <w:tcPr>
            <w:tcW w:w="1640" w:type="dxa"/>
            <w:vAlign w:val="bottom"/>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31,810,780</w:t>
            </w:r>
          </w:p>
        </w:tc>
        <w:tc>
          <w:tcPr>
            <w:tcW w:w="100" w:type="dxa"/>
            <w:vAlign w:val="bottom"/>
            <w:shd w:val="clear" w:color="auto" w:fill="BDD7EE"/>
          </w:tcPr>
          <w:p>
            <w:pPr>
              <w:spacing w:after="0"/>
              <w:rPr>
                <w:sz w:val="12"/>
                <w:szCs w:val="12"/>
                <w:color w:val="auto"/>
              </w:rPr>
            </w:pPr>
          </w:p>
        </w:tc>
      </w:tr>
      <w:tr>
        <w:trPr>
          <w:trHeight w:val="148"/>
        </w:trPr>
        <w:tc>
          <w:tcPr>
            <w:tcW w:w="30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 of Shares Voted</w:t>
            </w:r>
          </w:p>
        </w:tc>
        <w:tc>
          <w:tcPr>
            <w:tcW w:w="28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66.61 %</w:t>
            </w:r>
          </w:p>
        </w:tc>
        <w:tc>
          <w:tcPr>
            <w:tcW w:w="18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30.38 %</w:t>
            </w:r>
          </w:p>
        </w:tc>
        <w:tc>
          <w:tcPr>
            <w:tcW w:w="1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3.01 %</w:t>
            </w:r>
          </w:p>
        </w:tc>
        <w:tc>
          <w:tcPr>
            <w:tcW w:w="1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49"/>
        </w:trPr>
        <w:tc>
          <w:tcPr>
            <w:tcW w:w="3080" w:type="dxa"/>
            <w:vAlign w:val="bottom"/>
            <w:shd w:val="clear" w:color="auto" w:fill="BDD7EE"/>
          </w:tcPr>
          <w:p>
            <w:pPr>
              <w:ind w:left="20"/>
              <w:spacing w:after="0" w:line="149" w:lineRule="exact"/>
              <w:rPr>
                <w:sz w:val="20"/>
                <w:szCs w:val="20"/>
                <w:color w:val="auto"/>
              </w:rPr>
            </w:pPr>
            <w:r>
              <w:rPr>
                <w:rFonts w:ascii="Times New Roman" w:cs="Times New Roman" w:eastAsia="Times New Roman" w:hAnsi="Times New Roman"/>
                <w:sz w:val="14"/>
                <w:szCs w:val="14"/>
                <w:color w:val="auto"/>
              </w:rPr>
              <w:t>Jeffrey Flug</w:t>
            </w:r>
          </w:p>
        </w:tc>
        <w:tc>
          <w:tcPr>
            <w:tcW w:w="2320" w:type="dxa"/>
            <w:vAlign w:val="bottom"/>
            <w:gridSpan w:val="2"/>
            <w:shd w:val="clear" w:color="auto" w:fill="BDD7EE"/>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14,469,277</w:t>
            </w:r>
          </w:p>
        </w:tc>
        <w:tc>
          <w:tcPr>
            <w:tcW w:w="480" w:type="dxa"/>
            <w:vAlign w:val="bottom"/>
            <w:shd w:val="clear" w:color="auto" w:fill="BDD7EE"/>
          </w:tcPr>
          <w:p>
            <w:pPr>
              <w:spacing w:after="0"/>
              <w:rPr>
                <w:sz w:val="12"/>
                <w:szCs w:val="12"/>
                <w:color w:val="auto"/>
              </w:rPr>
            </w:pPr>
          </w:p>
        </w:tc>
        <w:tc>
          <w:tcPr>
            <w:tcW w:w="1340" w:type="dxa"/>
            <w:vAlign w:val="bottom"/>
            <w:shd w:val="clear" w:color="auto" w:fill="BDD7EE"/>
          </w:tcPr>
          <w:p>
            <w:pPr>
              <w:jc w:val="right"/>
              <w:spacing w:after="0" w:line="149" w:lineRule="exact"/>
              <w:rPr>
                <w:sz w:val="20"/>
                <w:szCs w:val="20"/>
                <w:color w:val="auto"/>
              </w:rPr>
            </w:pPr>
            <w:r>
              <w:rPr>
                <w:rFonts w:ascii="Times New Roman" w:cs="Times New Roman" w:eastAsia="Times New Roman" w:hAnsi="Times New Roman"/>
                <w:sz w:val="14"/>
                <w:szCs w:val="14"/>
                <w:color w:val="auto"/>
              </w:rPr>
              <w:t>3,928,898</w:t>
            </w:r>
          </w:p>
        </w:tc>
        <w:tc>
          <w:tcPr>
            <w:tcW w:w="460" w:type="dxa"/>
            <w:vAlign w:val="bottom"/>
            <w:shd w:val="clear" w:color="auto" w:fill="BDD7EE"/>
          </w:tcPr>
          <w:p>
            <w:pPr>
              <w:spacing w:after="0"/>
              <w:rPr>
                <w:sz w:val="12"/>
                <w:szCs w:val="12"/>
                <w:color w:val="auto"/>
              </w:rPr>
            </w:pPr>
          </w:p>
        </w:tc>
        <w:tc>
          <w:tcPr>
            <w:tcW w:w="1340" w:type="dxa"/>
            <w:vAlign w:val="bottom"/>
            <w:shd w:val="clear" w:color="auto" w:fill="BDD7EE"/>
          </w:tcPr>
          <w:p>
            <w:pPr>
              <w:jc w:val="right"/>
              <w:spacing w:after="0" w:line="149" w:lineRule="exact"/>
              <w:rPr>
                <w:sz w:val="20"/>
                <w:szCs w:val="20"/>
                <w:color w:val="auto"/>
              </w:rPr>
            </w:pPr>
            <w:r>
              <w:rPr>
                <w:rFonts w:ascii="Times New Roman" w:cs="Times New Roman" w:eastAsia="Times New Roman" w:hAnsi="Times New Roman"/>
                <w:sz w:val="14"/>
                <w:szCs w:val="14"/>
                <w:color w:val="auto"/>
              </w:rPr>
              <w:t>571,131</w:t>
            </w:r>
          </w:p>
        </w:tc>
        <w:tc>
          <w:tcPr>
            <w:tcW w:w="480" w:type="dxa"/>
            <w:vAlign w:val="bottom"/>
            <w:shd w:val="clear" w:color="auto" w:fill="BDD7EE"/>
          </w:tcPr>
          <w:p>
            <w:pPr>
              <w:spacing w:after="0"/>
              <w:rPr>
                <w:sz w:val="12"/>
                <w:szCs w:val="12"/>
                <w:color w:val="auto"/>
              </w:rPr>
            </w:pPr>
          </w:p>
        </w:tc>
        <w:tc>
          <w:tcPr>
            <w:tcW w:w="1640" w:type="dxa"/>
            <w:vAlign w:val="bottom"/>
            <w:shd w:val="clear" w:color="auto" w:fill="BDD7EE"/>
          </w:tcPr>
          <w:p>
            <w:pPr>
              <w:jc w:val="right"/>
              <w:spacing w:after="0" w:line="149" w:lineRule="exact"/>
              <w:rPr>
                <w:sz w:val="20"/>
                <w:szCs w:val="20"/>
                <w:color w:val="auto"/>
              </w:rPr>
            </w:pPr>
            <w:r>
              <w:rPr>
                <w:rFonts w:ascii="Times New Roman" w:cs="Times New Roman" w:eastAsia="Times New Roman" w:hAnsi="Times New Roman"/>
                <w:sz w:val="14"/>
                <w:szCs w:val="14"/>
                <w:color w:val="auto"/>
              </w:rPr>
              <w:t>31,810,780</w:t>
            </w:r>
          </w:p>
        </w:tc>
        <w:tc>
          <w:tcPr>
            <w:tcW w:w="100" w:type="dxa"/>
            <w:vAlign w:val="bottom"/>
            <w:shd w:val="clear" w:color="auto" w:fill="BDD7EE"/>
          </w:tcPr>
          <w:p>
            <w:pPr>
              <w:spacing w:after="0"/>
              <w:rPr>
                <w:sz w:val="12"/>
                <w:szCs w:val="12"/>
                <w:color w:val="auto"/>
              </w:rPr>
            </w:pPr>
          </w:p>
        </w:tc>
      </w:tr>
      <w:tr>
        <w:trPr>
          <w:trHeight w:val="188"/>
        </w:trPr>
        <w:tc>
          <w:tcPr>
            <w:tcW w:w="30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 of Shares Voted</w:t>
            </w:r>
          </w:p>
        </w:tc>
        <w:tc>
          <w:tcPr>
            <w:tcW w:w="28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76.28 %</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20.71 %</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3.01 %</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N/A</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Proposal 2. </w:t>
      </w:r>
      <w:r>
        <w:rPr>
          <w:rFonts w:ascii="Times New Roman" w:cs="Times New Roman" w:eastAsia="Times New Roman" w:hAnsi="Times New Roman"/>
          <w:sz w:val="14"/>
          <w:szCs w:val="14"/>
          <w:color w:val="auto"/>
        </w:rPr>
        <w:t>The Company’s stockholders ratified the selection of RSM US LLP to serve as the Company’s independent registered public accounting firm for the year ending September 30, 2025.</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voting results as of February 4, 2025, as certified by the inspector of election,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5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For</w:t>
            </w:r>
          </w:p>
        </w:tc>
        <w:tc>
          <w:tcPr>
            <w:tcW w:w="9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Against</w:t>
            </w:r>
          </w:p>
        </w:tc>
        <w:tc>
          <w:tcPr>
            <w:tcW w:w="5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Abstain</w:t>
            </w:r>
          </w:p>
        </w:tc>
        <w:tc>
          <w:tcPr>
            <w:tcW w:w="140" w:type="dxa"/>
            <w:vAlign w:val="bottom"/>
          </w:tcPr>
          <w:p>
            <w:pPr>
              <w:spacing w:after="0"/>
              <w:rPr>
                <w:sz w:val="14"/>
                <w:szCs w:val="14"/>
                <w:color w:val="auto"/>
              </w:rPr>
            </w:pPr>
          </w:p>
        </w:tc>
      </w:tr>
      <w:tr>
        <w:trPr>
          <w:trHeight w:val="142"/>
        </w:trPr>
        <w:tc>
          <w:tcPr>
            <w:tcW w:w="5760" w:type="dxa"/>
            <w:vAlign w:val="bottom"/>
            <w:gridSpan w:val="2"/>
            <w:shd w:val="clear" w:color="auto" w:fill="BDD7EE"/>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Shares Voted</w:t>
            </w:r>
          </w:p>
        </w:tc>
        <w:tc>
          <w:tcPr>
            <w:tcW w:w="900" w:type="dxa"/>
            <w:vAlign w:val="bottom"/>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48,682,065</w:t>
            </w:r>
          </w:p>
        </w:tc>
        <w:tc>
          <w:tcPr>
            <w:tcW w:w="580" w:type="dxa"/>
            <w:vAlign w:val="bottom"/>
            <w:shd w:val="clear" w:color="auto" w:fill="BDD7EE"/>
          </w:tcPr>
          <w:p>
            <w:pPr>
              <w:spacing w:after="0"/>
              <w:rPr>
                <w:sz w:val="12"/>
                <w:szCs w:val="12"/>
                <w:color w:val="auto"/>
              </w:rPr>
            </w:pPr>
          </w:p>
        </w:tc>
        <w:tc>
          <w:tcPr>
            <w:tcW w:w="1080" w:type="dxa"/>
            <w:vAlign w:val="bottom"/>
            <w:shd w:val="clear" w:color="auto" w:fill="BDD7EE"/>
          </w:tcPr>
          <w:p>
            <w:pPr>
              <w:spacing w:after="0"/>
              <w:rPr>
                <w:sz w:val="12"/>
                <w:szCs w:val="12"/>
                <w:color w:val="auto"/>
              </w:rPr>
            </w:pPr>
          </w:p>
        </w:tc>
        <w:tc>
          <w:tcPr>
            <w:tcW w:w="560" w:type="dxa"/>
            <w:vAlign w:val="bottom"/>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965,959</w:t>
            </w:r>
          </w:p>
        </w:tc>
        <w:tc>
          <w:tcPr>
            <w:tcW w:w="560" w:type="dxa"/>
            <w:vAlign w:val="bottom"/>
            <w:shd w:val="clear" w:color="auto" w:fill="BDD7EE"/>
          </w:tcPr>
          <w:p>
            <w:pPr>
              <w:spacing w:after="0"/>
              <w:rPr>
                <w:sz w:val="12"/>
                <w:szCs w:val="12"/>
                <w:color w:val="auto"/>
              </w:rPr>
            </w:pPr>
          </w:p>
        </w:tc>
        <w:tc>
          <w:tcPr>
            <w:tcW w:w="1660" w:type="dxa"/>
            <w:vAlign w:val="bottom"/>
            <w:shd w:val="clear" w:color="auto" w:fill="BDD7EE"/>
          </w:tcPr>
          <w:p>
            <w:pPr>
              <w:jc w:val="right"/>
              <w:spacing w:after="0" w:line="142" w:lineRule="exact"/>
              <w:rPr>
                <w:sz w:val="20"/>
                <w:szCs w:val="20"/>
                <w:color w:val="auto"/>
              </w:rPr>
            </w:pPr>
            <w:r>
              <w:rPr>
                <w:rFonts w:ascii="Times New Roman" w:cs="Times New Roman" w:eastAsia="Times New Roman" w:hAnsi="Times New Roman"/>
                <w:sz w:val="14"/>
                <w:szCs w:val="14"/>
                <w:color w:val="auto"/>
              </w:rPr>
              <w:t>1,132,062</w:t>
            </w:r>
          </w:p>
        </w:tc>
        <w:tc>
          <w:tcPr>
            <w:tcW w:w="140" w:type="dxa"/>
            <w:vAlign w:val="bottom"/>
            <w:shd w:val="clear" w:color="auto" w:fill="BDD7EE"/>
          </w:tcPr>
          <w:p>
            <w:pPr>
              <w:spacing w:after="0"/>
              <w:rPr>
                <w:sz w:val="12"/>
                <w:szCs w:val="12"/>
                <w:color w:val="auto"/>
              </w:rPr>
            </w:pPr>
          </w:p>
        </w:tc>
      </w:tr>
      <w:tr>
        <w:trPr>
          <w:trHeight w:val="188"/>
        </w:trPr>
        <w:tc>
          <w:tcPr>
            <w:tcW w:w="576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 of Shares Voted</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95.87 %</w:t>
            </w:r>
          </w:p>
        </w:tc>
        <w:tc>
          <w:tcPr>
            <w:tcW w:w="108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1.90 %</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2.23 %</w:t>
            </w:r>
          </w:p>
        </w:tc>
      </w:tr>
      <w:tr>
        <w:trPr>
          <w:trHeight w:val="872"/>
        </w:trPr>
        <w:tc>
          <w:tcPr>
            <w:tcW w:w="4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388620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t>SIGNATURE</w:t>
      </w:r>
    </w:p>
    <w:p>
      <w:pPr>
        <w:spacing w:after="0" w:line="165" w:lineRule="exact"/>
        <w:rPr>
          <w:sz w:val="20"/>
          <w:szCs w:val="20"/>
          <w:color w:val="auto"/>
        </w:rPr>
      </w:pPr>
    </w:p>
    <w:p>
      <w:pPr>
        <w:ind w:right="180" w:firstLine="481"/>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Dated: February 6, 2025</w:t>
            </w:r>
          </w:p>
        </w:tc>
        <w:tc>
          <w:tcPr>
            <w:tcW w:w="5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RICHARD T. ALLORTO, Jr.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5760" w:type="dxa"/>
            <w:vAlign w:val="bottom"/>
          </w:tcPr>
          <w:p>
            <w:pPr>
              <w:spacing w:after="0"/>
              <w:rPr>
                <w:sz w:val="4"/>
                <w:szCs w:val="4"/>
                <w:color w:val="auto"/>
              </w:rPr>
            </w:pPr>
          </w:p>
        </w:tc>
        <w:tc>
          <w:tcPr>
            <w:tcW w:w="5460" w:type="dxa"/>
            <w:vAlign w:val="bottom"/>
            <w:tcBorders>
              <w:bottom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576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Richard T. Allorto, Jr.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760" w:type="dxa"/>
            <w:vAlign w:val="bottom"/>
          </w:tcPr>
          <w:p>
            <w:pPr>
              <w:spacing w:after="0"/>
              <w:rPr>
                <w:sz w:val="16"/>
                <w:szCs w:val="16"/>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 &amp; Treasurer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8"/>
        </w:trPr>
        <w:tc>
          <w:tcPr>
            <w:tcW w:w="57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2025-02-06T15:14:59Z</dcterms:created>
  <dcterms:modified xsi:type="dcterms:W3CDTF">2025-02-06T15:14:59Z</dcterms:modified>
</cp:coreProperties>
</file>