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3,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October 3, 2017,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October 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3"/>
          </w:tcPr>
          <w:p>
            <w:pPr>
              <w:ind w:left="220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260" w:type="dxa"/>
            <w:vAlign w:val="bottom"/>
          </w:tcPr>
          <w:p>
            <w:pPr>
              <w:spacing w:after="0"/>
              <w:rPr>
                <w:sz w:val="20"/>
                <w:szCs w:val="20"/>
                <w:color w:val="auto"/>
              </w:rPr>
            </w:pPr>
            <w:r>
              <w:rPr>
                <w:rFonts w:ascii="Arial" w:cs="Arial" w:eastAsia="Arial" w:hAnsi="Arial"/>
                <w:sz w:val="18"/>
                <w:szCs w:val="18"/>
                <w:color w:val="auto"/>
              </w:rPr>
              <w:t>Date: October 3, 2017</w:t>
            </w:r>
          </w:p>
        </w:tc>
        <w:tc>
          <w:tcPr>
            <w:tcW w:w="7980" w:type="dxa"/>
            <w:vAlign w:val="bottom"/>
            <w:gridSpan w:val="3"/>
          </w:tcPr>
          <w:p>
            <w:pPr>
              <w:ind w:left="2200"/>
              <w:spacing w:after="0"/>
              <w:rPr>
                <w:sz w:val="20"/>
                <w:szCs w:val="20"/>
                <w:color w:val="auto"/>
              </w:rPr>
            </w:pPr>
            <w:r>
              <w:rPr>
                <w:rFonts w:ascii="Arial" w:cs="Arial" w:eastAsia="Arial" w:hAnsi="Arial"/>
                <w:sz w:val="18"/>
                <w:szCs w:val="18"/>
                <w:color w:val="auto"/>
              </w:rPr>
              <w:t>By: /s/ Aviv Efrat</w:t>
            </w:r>
          </w:p>
        </w:tc>
      </w:tr>
      <w:tr>
        <w:trPr>
          <w:trHeight w:val="222"/>
        </w:trPr>
        <w:tc>
          <w:tcPr>
            <w:tcW w:w="3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39"/>
        </w:trPr>
        <w:tc>
          <w:tcPr>
            <w:tcW w:w="3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432"/>
        </w:trPr>
        <w:tc>
          <w:tcPr>
            <w:tcW w:w="3260" w:type="dxa"/>
            <w:vAlign w:val="bottom"/>
          </w:tcPr>
          <w:p>
            <w:pPr>
              <w:spacing w:after="0"/>
              <w:rPr>
                <w:sz w:val="24"/>
                <w:szCs w:val="24"/>
                <w:color w:val="auto"/>
              </w:rPr>
            </w:pPr>
          </w:p>
        </w:tc>
        <w:tc>
          <w:tcPr>
            <w:tcW w:w="7980" w:type="dxa"/>
            <w:vAlign w:val="bottom"/>
            <w:gridSpan w:val="3"/>
          </w:tcPr>
          <w:p>
            <w:pPr>
              <w:ind w:left="1660"/>
              <w:spacing w:after="0"/>
              <w:rPr>
                <w:sz w:val="20"/>
                <w:szCs w:val="20"/>
                <w:color w:val="auto"/>
              </w:rPr>
            </w:pPr>
            <w:r>
              <w:rPr>
                <w:rFonts w:ascii="Arial" w:cs="Arial" w:eastAsia="Arial" w:hAnsi="Arial"/>
                <w:sz w:val="18"/>
                <w:szCs w:val="18"/>
                <w:b w:val="1"/>
                <w:bCs w:val="1"/>
                <w:color w:val="auto"/>
              </w:rPr>
              <w:t>EXHIBIT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-282575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4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10" w:lineRule="exact"/>
        <w:rPr>
          <w:sz w:val="20"/>
          <w:szCs w:val="20"/>
          <w:color w:val="auto"/>
        </w:rPr>
      </w:pPr>
    </w:p>
    <w:p>
      <w:pPr>
        <w:ind w:left="30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October 3, 2017</w:t>
        </w:r>
      </w:hyperlink>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Oct. 03, 2017 (GLOBE NEWSWIRE) -- PennantPark Floating Rate Capital Ltd. (the "Company") (NASDAQ:PFLT) declares monthly distribution for October 2017 of $0.095 per share, payable on November 1, 2017 to stockholders of record as of October 19,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2020-05-05T12:04:56Z</dcterms:created>
  <dcterms:modified xsi:type="dcterms:W3CDTF">2020-05-05T12:04:56Z</dcterms:modified>
</cp:coreProperties>
</file>