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pacing w:val="0"/>
          <w:sz w:val="20"/>
        </w:rPr>
      </w:pPr>
      <w:bookmarkStart w:id="0" w:name="d894111d424b2.htm"/>
      <w:bookmarkStart w:id="1" w:name="ksd894111d424b2"/>
      <w:bookmarkEnd w:id="0"/>
      <w:bookmarkEnd w:id="1"/>
      <w:r>
        <w:rPr>
          <w:rFonts w:ascii="Times New Roman" w:hAnsi="Times New Roman"/>
          <w:b/>
          <w:spacing w:val="0"/>
          <w:sz w:val="20"/>
        </w:rPr>
        <w:t xml:space="preserve">Filed Pursuant to Rule </w:t>
      </w:r>
    </w:p>
    <w:p>
      <w:pPr>
        <w:pStyle w:val="TextBody"/>
        <w:bidi w:val="0"/>
        <w:spacing w:before="0" w:after="0"/>
        <w:jc w:val="right"/>
        <w:rPr>
          <w:rFonts w:ascii="Times New Roman" w:hAnsi="Times New Roman"/>
          <w:b/>
          <w:spacing w:val="0"/>
          <w:sz w:val="20"/>
        </w:rPr>
      </w:pPr>
      <w:r>
        <w:rPr>
          <w:rFonts w:ascii="Times New Roman" w:hAnsi="Times New Roman"/>
          <w:b/>
          <w:spacing w:val="0"/>
          <w:sz w:val="20"/>
        </w:rPr>
        <w:t>424(b)(2)</w:t>
      </w:r>
    </w:p>
    <w:p>
      <w:pPr>
        <w:pStyle w:val="TextBody"/>
        <w:bidi w:val="0"/>
        <w:spacing w:before="0" w:after="0"/>
        <w:jc w:val="right"/>
        <w:rPr>
          <w:rFonts w:ascii="Times New Roman" w:hAnsi="Times New Roman"/>
          <w:b/>
          <w:spacing w:val="0"/>
          <w:sz w:val="20"/>
        </w:rPr>
      </w:pPr>
      <w:r>
        <w:rPr>
          <w:rFonts w:ascii="Times New Roman" w:hAnsi="Times New Roman"/>
          <w:b/>
          <w:spacing w:val="0"/>
          <w:sz w:val="20"/>
        </w:rPr>
        <w:br/>
        <w:t xml:space="preserve">File No. 333-279726 </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spacing w:val="0"/>
          <w:sz w:val="16"/>
        </w:rPr>
      </w:pPr>
      <w:r>
        <w:rPr>
          <w:rFonts w:ascii="Times New Roman" w:hAnsi="Times New Roman"/>
          <w:b/>
          <w:spacing w:val="0"/>
          <w:sz w:val="16"/>
        </w:rPr>
        <w:t xml:space="preserve">Prospectus Supplement </w:t>
      </w:r>
    </w:p>
    <w:p>
      <w:pPr>
        <w:pStyle w:val="TextBody"/>
        <w:bidi w:val="0"/>
        <w:spacing w:before="0" w:after="0"/>
        <w:jc w:val="left"/>
        <w:rPr>
          <w:rFonts w:ascii="Times New Roman" w:hAnsi="Times New Roman"/>
          <w:b/>
          <w:spacing w:val="0"/>
          <w:sz w:val="16"/>
        </w:rPr>
      </w:pPr>
      <w:r>
        <w:rPr>
          <w:rFonts w:ascii="Times New Roman" w:hAnsi="Times New Roman"/>
          <w:b/>
          <w:spacing w:val="0"/>
          <w:sz w:val="16"/>
        </w:rPr>
        <w:t xml:space="preserve">To the Prospectus dated July 17, 2024 </w:t>
      </w:r>
    </w:p>
    <w:p>
      <w:pPr>
        <w:pStyle w:val="TextBody"/>
        <w:bidi w:val="0"/>
        <w:spacing w:before="0" w:after="0"/>
        <w:jc w:val="left"/>
        <w:rPr>
          <w:spacing w:val="0"/>
        </w:rPr>
      </w:pPr>
      <w:r>
        <w:rPr>
          <w:spacing w:val="0"/>
        </w:rPr>
        <w:t> </w:t>
      </w:r>
    </w:p>
    <w:p>
      <w:pPr>
        <w:pStyle w:val="TextBody"/>
        <w:bidi w:val="0"/>
        <w:spacing w:before="0" w:after="0"/>
        <w:jc w:val="center"/>
        <w:rPr>
          <w:color w:val="FF0000"/>
          <w:spacing w:val="0"/>
        </w:rPr>
      </w:pPr>
      <w:r>
        <w:rPr>
          <w:color w:val="FF0000"/>
          <w:spacing w:val="0"/>
        </w:rPr>
        <w:drawing>
          <wp:inline distT="0" distB="0" distL="0" distR="0">
            <wp:extent cx="23145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552450"/>
                    </a:xfrm>
                    <a:prstGeom prst="rect">
                      <a:avLst/>
                    </a:prstGeom>
                  </pic:spPr>
                </pic:pic>
              </a:graphicData>
            </a:graphic>
          </wp:inline>
        </w:drawing>
      </w:r>
    </w:p>
    <w:p>
      <w:pPr>
        <w:pStyle w:val="TextBody"/>
        <w:bidi w:val="0"/>
        <w:spacing w:before="240" w:after="0"/>
        <w:jc w:val="center"/>
        <w:rPr>
          <w:rFonts w:ascii="Times New Roman" w:hAnsi="Times New Roman"/>
          <w:b/>
          <w:spacing w:val="0"/>
          <w:sz w:val="25"/>
        </w:rPr>
      </w:pPr>
      <w:r>
        <w:rPr>
          <w:rFonts w:ascii="Times New Roman" w:hAnsi="Times New Roman"/>
          <w:b/>
          <w:spacing w:val="0"/>
          <w:sz w:val="25"/>
        </w:rPr>
        <w:t xml:space="preserve">$200,000,000 </w:t>
      </w:r>
    </w:p>
    <w:p>
      <w:pPr>
        <w:pStyle w:val="TextBody"/>
        <w:bidi w:val="0"/>
        <w:spacing w:before="0" w:after="0"/>
        <w:jc w:val="center"/>
        <w:rPr>
          <w:rFonts w:ascii="Times New Roman" w:hAnsi="Times New Roman"/>
          <w:b/>
          <w:spacing w:val="0"/>
          <w:sz w:val="25"/>
        </w:rPr>
      </w:pPr>
      <w:r>
        <w:rPr>
          <w:rFonts w:ascii="Times New Roman" w:hAnsi="Times New Roman"/>
          <w:b/>
          <w:spacing w:val="0"/>
          <w:sz w:val="25"/>
        </w:rPr>
        <w:t xml:space="preserve">6.75% Notes due 2029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rFonts w:ascii="Times New Roman" w:hAnsi="Times New Roman"/>
          <w:sz w:val="16"/>
        </w:rPr>
      </w:pPr>
      <w:r>
        <w:rPr>
          <w:rFonts w:ascii="Times New Roman" w:hAnsi="Times New Roman"/>
          <w:sz w:val="16"/>
        </w:rPr>
        <w:t xml:space="preserve">PennantPark Floating Rate Capital Ltd. is offering for sale $200.0 million in aggregate principal amount of 6.75% notes due 2029 (the “Notes”). The Notes will mature on March 4, 2029. We will pay interest on the Notes on March 4 and September 4 of each year, beginning </w:t>
      </w:r>
    </w:p>
    <w:p>
      <w:pPr>
        <w:pStyle w:val="TextBody"/>
        <w:bidi w:val="0"/>
        <w:spacing w:before="240" w:after="0"/>
        <w:jc w:val="left"/>
        <w:rPr>
          <w:rFonts w:ascii="Times New Roman" w:hAnsi="Times New Roman"/>
          <w:sz w:val="16"/>
        </w:rPr>
      </w:pPr>
      <w:r>
        <w:rPr>
          <w:rFonts w:ascii="Times New Roman" w:hAnsi="Times New Roman"/>
          <w:sz w:val="16"/>
        </w:rPr>
        <w:t xml:space="preserve">on </w:t>
      </w:r>
    </w:p>
    <w:p>
      <w:pPr>
        <w:pStyle w:val="TextBody"/>
        <w:bidi w:val="0"/>
        <w:spacing w:before="240" w:after="0"/>
        <w:jc w:val="left"/>
        <w:rPr>
          <w:rFonts w:ascii="Times New Roman" w:hAnsi="Times New Roman"/>
          <w:sz w:val="16"/>
        </w:rPr>
      </w:pPr>
      <w:r>
        <w:rPr>
          <w:rFonts w:ascii="Times New Roman" w:hAnsi="Times New Roman"/>
          <w:sz w:val="16"/>
        </w:rPr>
        <w:t>September 4, 2026. We may redeem the Notes in whole or in part at any time or from time to time at the redemption price discussed under the caption “</w:t>
      </w:r>
    </w:p>
    <w:p>
      <w:pPr>
        <w:pStyle w:val="TextBody"/>
        <w:bidi w:val="0"/>
        <w:spacing w:before="240" w:after="0"/>
        <w:jc w:val="left"/>
        <w:rPr>
          <w:rFonts w:ascii="Times New Roman" w:hAnsi="Times New Roman"/>
          <w:i/>
          <w:sz w:val="16"/>
        </w:rPr>
      </w:pPr>
      <w:r>
        <w:rPr>
          <w:rFonts w:ascii="Times New Roman" w:hAnsi="Times New Roman"/>
          <w:i/>
          <w:sz w:val="16"/>
        </w:rPr>
        <w:t>Description of the Notes—Optional redemption</w:t>
      </w:r>
    </w:p>
    <w:p>
      <w:pPr>
        <w:pStyle w:val="TextBody"/>
        <w:bidi w:val="0"/>
        <w:spacing w:before="240" w:after="0"/>
        <w:jc w:val="left"/>
        <w:rPr/>
      </w:pPr>
      <w:r>
        <w:rPr/>
        <w:t xml:space="preserve">” </w:t>
      </w:r>
      <w:r>
        <w:rPr>
          <w:rFonts w:ascii="Times New Roman" w:hAnsi="Times New Roman"/>
          <w:sz w:val="16"/>
        </w:rPr>
        <w:t xml:space="preserve">in this prospectus supplement. The Notes will be issued in minimum denominations of $2,000 and integral multiples of $1,000 in excess thereof. </w:t>
      </w:r>
    </w:p>
    <w:p>
      <w:pPr>
        <w:pStyle w:val="TextBody"/>
        <w:bidi w:val="0"/>
        <w:spacing w:before="240" w:after="0"/>
        <w:jc w:val="left"/>
        <w:rPr>
          <w:rFonts w:ascii="Times New Roman" w:hAnsi="Times New Roman"/>
          <w:sz w:val="16"/>
        </w:rPr>
      </w:pPr>
      <w:r>
        <w:rPr>
          <w:rFonts w:ascii="Times New Roman" w:hAnsi="Times New Roman"/>
          <w:sz w:val="16"/>
        </w:rPr>
        <w:t xml:space="preserve">The Notes will be our direct unsecured obligations and rank </w:t>
      </w:r>
    </w:p>
    <w:p>
      <w:pPr>
        <w:pStyle w:val="TextBody"/>
        <w:bidi w:val="0"/>
        <w:spacing w:before="240" w:after="0"/>
        <w:jc w:val="left"/>
        <w:rPr>
          <w:rFonts w:ascii="Times New Roman" w:hAnsi="Times New Roman"/>
          <w:i/>
          <w:caps w:val="false"/>
          <w:smallCaps w:val="false"/>
          <w:spacing w:val="0"/>
          <w:sz w:val="16"/>
        </w:rPr>
      </w:pPr>
      <w:r>
        <w:rPr>
          <w:rFonts w:ascii="Times New Roman" w:hAnsi="Times New Roman"/>
          <w:i/>
          <w:caps w:val="false"/>
          <w:smallCaps w:val="false"/>
          <w:spacing w:val="0"/>
          <w:sz w:val="16"/>
        </w:rPr>
        <w:t>pari passu</w:t>
      </w:r>
    </w:p>
    <w:p>
      <w:pPr>
        <w:pStyle w:val="TextBody"/>
        <w:bidi w:val="0"/>
        <w:spacing w:before="240" w:after="0"/>
        <w:jc w:val="left"/>
        <w:rPr>
          <w:rFonts w:ascii="Times New Roman" w:hAnsi="Times New Roman"/>
          <w:sz w:val="16"/>
        </w:rPr>
      </w:pPr>
      <w:r>
        <w:rPr>
          <w:rFonts w:ascii="Times New Roman" w:hAnsi="Times New Roman"/>
          <w:sz w:val="16"/>
        </w:rPr>
        <w:t xml:space="preserve">with any current and future unsecured unsubordinated indebtedness issued by PennantPark Floating Rate Capital Ltd.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Floating Rate Capital Ltd.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December 31, 2025, our total consolidated indebtedness was approximately $1.6 billion, approximately $1.4 billion of which was secured indebtedness, all of which was senior indebtedness. None of our current indebtedness will be subordinated to the Notes. Currently, there is no public market for the Notes. We do not intend to list the Notes on any securities exchange or automated dealer quotation system. </w:t>
      </w:r>
    </w:p>
    <w:p>
      <w:pPr>
        <w:pStyle w:val="TextBody"/>
        <w:bidi w:val="0"/>
        <w:spacing w:before="240" w:after="0"/>
        <w:jc w:val="left"/>
        <w:rPr>
          <w:rFonts w:ascii="Times New Roman" w:hAnsi="Times New Roman"/>
          <w:sz w:val="16"/>
        </w:rPr>
      </w:pPr>
      <w:r>
        <w:rPr>
          <w:rFonts w:ascii="Times New Roman" w:hAnsi="Times New Roman"/>
          <w:sz w:val="16"/>
        </w:rPr>
        <w:t xml:space="preserve">PennantPark Floating Rate Capital Ltd., a Maryland corporation, is a </w:t>
      </w:r>
    </w:p>
    <w:p>
      <w:pPr>
        <w:pStyle w:val="TextBody"/>
        <w:bidi w:val="0"/>
        <w:spacing w:before="240" w:after="0"/>
        <w:jc w:val="left"/>
        <w:rPr>
          <w:rFonts w:ascii="Times New Roman" w:hAnsi="Times New Roman"/>
          <w:spacing w:val="0"/>
          <w:sz w:val="16"/>
        </w:rPr>
      </w:pPr>
      <w:r>
        <w:rPr>
          <w:rFonts w:ascii="Times New Roman" w:hAnsi="Times New Roman"/>
          <w:spacing w:val="0"/>
          <w:sz w:val="16"/>
        </w:rPr>
        <w:t>closed-end,</w:t>
      </w:r>
    </w:p>
    <w:p>
      <w:pPr>
        <w:pStyle w:val="TextBody"/>
        <w:bidi w:val="0"/>
        <w:spacing w:before="240" w:after="0"/>
        <w:jc w:val="left"/>
        <w:rPr>
          <w:rFonts w:ascii="Times New Roman" w:hAnsi="Times New Roman"/>
          <w:sz w:val="16"/>
        </w:rPr>
      </w:pPr>
      <w:r>
        <w:rPr>
          <w:rFonts w:ascii="Times New Roman" w:hAnsi="Times New Roman"/>
          <w:sz w:val="16"/>
        </w:rPr>
        <w:t xml:space="preserve">externally managed, </w:t>
      </w:r>
    </w:p>
    <w:p>
      <w:pPr>
        <w:pStyle w:val="TextBody"/>
        <w:bidi w:val="0"/>
        <w:spacing w:before="240" w:after="0"/>
        <w:jc w:val="left"/>
        <w:rPr>
          <w:rFonts w:ascii="Times New Roman" w:hAnsi="Times New Roman"/>
          <w:spacing w:val="0"/>
          <w:sz w:val="16"/>
        </w:rPr>
      </w:pPr>
      <w:r>
        <w:rPr>
          <w:rFonts w:ascii="Times New Roman" w:hAnsi="Times New Roman"/>
          <w:spacing w:val="0"/>
          <w:sz w:val="16"/>
        </w:rPr>
        <w:t>non-diversified</w:t>
      </w:r>
    </w:p>
    <w:p>
      <w:pPr>
        <w:pStyle w:val="TextBody"/>
        <w:bidi w:val="0"/>
        <w:spacing w:before="240" w:after="0"/>
        <w:jc w:val="left"/>
        <w:rPr>
          <w:rFonts w:ascii="Times New Roman" w:hAnsi="Times New Roman"/>
          <w:sz w:val="16"/>
        </w:rPr>
      </w:pPr>
      <w:r>
        <w:rPr>
          <w:rFonts w:ascii="Times New Roman" w:hAnsi="Times New Roman"/>
          <w:sz w:val="16"/>
        </w:rPr>
        <w:t xml:space="preserve">investment company that has elected to be treated as a business development company (“BDC”), under the Investment Company Act of 1940, as amended (the “1940 Act”). Our investment objectives are to generate both current income and capital appreciation while seeking to preserve capital. We seek to achieve our investment objectives by investing primarily in loans bearing variable rates of interest (“Floating Rate Loans”), and other investments made to U.S. middle-market private companies whose debt is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We are externally managed by PennantPark Investment Advisers, LLC (the “Investment Adviser”). PennantPark Investment Administration, LLC (the “Administrator”) provides the administrative services necessary for us to operate. </w:t>
      </w:r>
    </w:p>
    <w:p>
      <w:pPr>
        <w:pStyle w:val="TextBody"/>
        <w:bidi w:val="0"/>
        <w:spacing w:before="240" w:after="0"/>
        <w:jc w:val="left"/>
        <w:rPr>
          <w:rFonts w:ascii="Times New Roman" w:hAnsi="Times New Roman"/>
          <w:sz w:val="16"/>
        </w:rPr>
      </w:pPr>
      <w:r>
        <w:rPr>
          <w:rFonts w:ascii="Times New Roman" w:hAnsi="Times New Roman"/>
          <w:sz w:val="16"/>
        </w:rPr>
        <w:t xml:space="preserve">This prospectus supplement, the accompanying prospectus, any related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and any related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U.S. Securities and Exchange Commission (the “SEC”). You may also obtain such information free of charge or make stockholder inquiries by contacting us in writing at 1691 Michigan Avenue, Miami Beach, Florida 33139, by calling us collect at (786) </w:t>
      </w:r>
    </w:p>
    <w:p>
      <w:pPr>
        <w:pStyle w:val="TextBody"/>
        <w:bidi w:val="0"/>
        <w:spacing w:before="240" w:after="0"/>
        <w:jc w:val="left"/>
        <w:rPr>
          <w:rFonts w:ascii="Times New Roman" w:hAnsi="Times New Roman"/>
          <w:spacing w:val="0"/>
          <w:sz w:val="16"/>
        </w:rPr>
      </w:pPr>
      <w:r>
        <w:rPr>
          <w:rFonts w:ascii="Times New Roman" w:hAnsi="Times New Roman"/>
          <w:spacing w:val="0"/>
          <w:sz w:val="16"/>
        </w:rPr>
        <w:t>297-9500</w:t>
      </w:r>
    </w:p>
    <w:p>
      <w:pPr>
        <w:pStyle w:val="TextBody"/>
        <w:bidi w:val="0"/>
        <w:spacing w:before="240" w:after="0"/>
        <w:jc w:val="left"/>
        <w:rPr>
          <w:rFonts w:ascii="Times New Roman" w:hAnsi="Times New Roman"/>
          <w:sz w:val="16"/>
        </w:rPr>
      </w:pPr>
      <w:r>
        <w:rPr>
          <w:rFonts w:ascii="Times New Roman" w:hAnsi="Times New Roman"/>
          <w:sz w:val="16"/>
        </w:rPr>
        <w:t xml:space="preserve">or by visiting our website at </w:t>
      </w:r>
    </w:p>
    <w:p>
      <w:pPr>
        <w:pStyle w:val="TextBody"/>
        <w:bidi w:val="0"/>
        <w:spacing w:before="240" w:after="0"/>
        <w:jc w:val="left"/>
        <w:rPr>
          <w:rFonts w:ascii="Times New Roman" w:hAnsi="Times New Roman"/>
          <w:i/>
          <w:caps w:val="false"/>
          <w:smallCaps w:val="false"/>
          <w:spacing w:val="0"/>
          <w:sz w:val="16"/>
          <w:u w:val="single"/>
        </w:rPr>
      </w:pPr>
      <w:r>
        <w:rPr>
          <w:rFonts w:ascii="Times New Roman" w:hAnsi="Times New Roman"/>
          <w:i/>
          <w:caps w:val="false"/>
          <w:smallCaps w:val="false"/>
          <w:spacing w:val="0"/>
          <w:sz w:val="16"/>
          <w:u w:val="single"/>
        </w:rPr>
        <w:t>www.pennantpark.com</w:t>
      </w:r>
    </w:p>
    <w:p>
      <w:pPr>
        <w:pStyle w:val="TextBody"/>
        <w:bidi w:val="0"/>
        <w:spacing w:before="240" w:after="0"/>
        <w:jc w:val="left"/>
        <w:rPr>
          <w:rFonts w:ascii="Times New Roman" w:hAnsi="Times New Roman"/>
          <w:sz w:val="16"/>
        </w:rPr>
      </w:pPr>
      <w:r>
        <w:rPr>
          <w:rFonts w:ascii="Times New Roman" w:hAnsi="Times New Roman"/>
          <w:sz w:val="16"/>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p>
    <w:p>
      <w:pPr>
        <w:pStyle w:val="TextBody"/>
        <w:bidi w:val="0"/>
        <w:spacing w:before="240" w:after="0"/>
        <w:jc w:val="left"/>
        <w:rPr>
          <w:rFonts w:ascii="Times New Roman" w:hAnsi="Times New Roman"/>
          <w:i/>
          <w:caps w:val="false"/>
          <w:smallCaps w:val="false"/>
          <w:spacing w:val="0"/>
          <w:sz w:val="16"/>
          <w:u w:val="single"/>
        </w:rPr>
      </w:pPr>
      <w:r>
        <w:rPr>
          <w:rFonts w:ascii="Times New Roman" w:hAnsi="Times New Roman"/>
          <w:i/>
          <w:caps w:val="false"/>
          <w:smallCaps w:val="false"/>
          <w:spacing w:val="0"/>
          <w:sz w:val="16"/>
          <w:u w:val="single"/>
        </w:rPr>
        <w:t>www.sec.gov</w:t>
      </w:r>
    </w:p>
    <w:p>
      <w:pPr>
        <w:pStyle w:val="TextBody"/>
        <w:bidi w:val="0"/>
        <w:spacing w:before="240" w:after="0"/>
        <w:jc w:val="left"/>
        <w:rPr>
          <w:rFonts w:ascii="Times New Roman" w:hAnsi="Times New Roman"/>
          <w:sz w:val="16"/>
        </w:rPr>
      </w:pPr>
      <w:r>
        <w:rPr>
          <w:rFonts w:ascii="Times New Roman" w:hAnsi="Times New Roman"/>
          <w:sz w:val="16"/>
        </w:rPr>
        <w:t xml:space="preserve">that contains such information free of charge.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pPr>
      <w:r>
        <w:rPr>
          <w:rFonts w:ascii="Times New Roman" w:hAnsi="Times New Roman"/>
          <w:b/>
          <w:sz w:val="17"/>
        </w:rPr>
        <w:t>Investing in the Notes involves a high degree of risk, including the risk of leverage. Before buying any of the Notes, you should read the discussion of the material risks of investing in us in “</w:t>
      </w:r>
      <w:hyperlink w:anchor="s894111_5">
        <w:r>
          <w:rPr>
            <w:rStyle w:val="InternetLink"/>
            <w:rFonts w:ascii="Times New Roman" w:hAnsi="Times New Roman"/>
            <w:b/>
            <w:sz w:val="17"/>
          </w:rPr>
          <w:t>Risk Factors</w:t>
        </w:r>
      </w:hyperlink>
      <w:r>
        <w:rPr>
          <w:rFonts w:ascii="Times New Roman" w:hAnsi="Times New Roman"/>
          <w:b/>
          <w:sz w:val="17"/>
        </w:rPr>
        <w:t xml:space="preserve">” beginning on page </w:t>
      </w:r>
    </w:p>
    <w:p>
      <w:pPr>
        <w:pStyle w:val="TextBody"/>
        <w:bidi w:val="0"/>
        <w:spacing w:before="240" w:after="0"/>
        <w:jc w:val="left"/>
        <w:rPr>
          <w:rFonts w:ascii="Times New Roman" w:hAnsi="Times New Roman"/>
          <w:b/>
          <w:spacing w:val="0"/>
          <w:sz w:val="17"/>
        </w:rPr>
      </w:pPr>
      <w:r>
        <w:rPr>
          <w:rFonts w:ascii="Times New Roman" w:hAnsi="Times New Roman"/>
          <w:b/>
          <w:spacing w:val="0"/>
          <w:sz w:val="17"/>
        </w:rPr>
        <w:t>S-13</w:t>
      </w:r>
    </w:p>
    <w:p>
      <w:pPr>
        <w:pStyle w:val="TextBody"/>
        <w:bidi w:val="0"/>
        <w:spacing w:before="240" w:after="0"/>
        <w:jc w:val="left"/>
        <w:rPr>
          <w:rFonts w:ascii="Times New Roman" w:hAnsi="Times New Roman"/>
          <w:b/>
          <w:sz w:val="17"/>
        </w:rPr>
      </w:pPr>
      <w:r>
        <w:rPr>
          <w:rFonts w:ascii="Times New Roman" w:hAnsi="Times New Roman"/>
          <w:b/>
          <w:sz w:val="17"/>
        </w:rPr>
        <w:t xml:space="preserve">of this prospectus supplement and page 11 of the accompanying prospectus, in our most recent Annual Report on Form </w:t>
      </w:r>
    </w:p>
    <w:p>
      <w:pPr>
        <w:pStyle w:val="TextBody"/>
        <w:bidi w:val="0"/>
        <w:spacing w:before="240" w:after="0"/>
        <w:jc w:val="left"/>
        <w:rPr>
          <w:rFonts w:ascii="Times New Roman" w:hAnsi="Times New Roman"/>
          <w:b/>
          <w:spacing w:val="0"/>
          <w:sz w:val="17"/>
        </w:rPr>
      </w:pPr>
      <w:r>
        <w:rPr>
          <w:rFonts w:ascii="Times New Roman" w:hAnsi="Times New Roman"/>
          <w:b/>
          <w:spacing w:val="0"/>
          <w:sz w:val="17"/>
        </w:rPr>
        <w:t>10-K,</w:t>
      </w:r>
    </w:p>
    <w:p>
      <w:pPr>
        <w:pStyle w:val="TextBody"/>
        <w:bidi w:val="0"/>
        <w:spacing w:before="240" w:after="0"/>
        <w:jc w:val="left"/>
        <w:rPr>
          <w:rFonts w:ascii="Times New Roman" w:hAnsi="Times New Roman"/>
          <w:b/>
          <w:sz w:val="17"/>
        </w:rPr>
      </w:pPr>
      <w:r>
        <w:rPr>
          <w:rFonts w:ascii="Times New Roman" w:hAnsi="Times New Roman"/>
          <w:b/>
          <w:sz w:val="17"/>
        </w:rPr>
        <w:t xml:space="preserve">in our most recent Quarterly Report on Form </w:t>
      </w:r>
    </w:p>
    <w:p>
      <w:pPr>
        <w:pStyle w:val="TextBody"/>
        <w:bidi w:val="0"/>
        <w:spacing w:before="240" w:after="0"/>
        <w:jc w:val="left"/>
        <w:rPr>
          <w:rFonts w:ascii="Times New Roman" w:hAnsi="Times New Roman"/>
          <w:b/>
          <w:spacing w:val="0"/>
          <w:sz w:val="17"/>
        </w:rPr>
      </w:pPr>
      <w:r>
        <w:rPr>
          <w:rFonts w:ascii="Times New Roman" w:hAnsi="Times New Roman"/>
          <w:b/>
          <w:spacing w:val="0"/>
          <w:sz w:val="17"/>
        </w:rPr>
        <w:t>10-Q</w:t>
      </w:r>
    </w:p>
    <w:p>
      <w:pPr>
        <w:pStyle w:val="TextBody"/>
        <w:bidi w:val="0"/>
        <w:spacing w:before="240" w:after="0"/>
        <w:jc w:val="left"/>
        <w:rPr>
          <w:rFonts w:ascii="Times New Roman" w:hAnsi="Times New Roman"/>
          <w:b/>
          <w:sz w:val="17"/>
        </w:rPr>
      </w:pPr>
      <w:r>
        <w:rPr>
          <w:rFonts w:ascii="Times New Roman" w:hAnsi="Times New Roman"/>
          <w:b/>
          <w:sz w:val="17"/>
        </w:rPr>
        <w:t xml:space="preserve">and in any of our other filings with the SEC incorporated by reference in this prospectus supplement. </w:t>
      </w:r>
    </w:p>
    <w:p>
      <w:pPr>
        <w:pStyle w:val="TextBody"/>
        <w:bidi w:val="0"/>
        <w:spacing w:before="240" w:after="0"/>
        <w:jc w:val="left"/>
        <w:rPr>
          <w:rFonts w:ascii="Times New Roman" w:hAnsi="Times New Roman"/>
          <w:b/>
          <w:spacing w:val="0"/>
          <w:sz w:val="16"/>
        </w:rPr>
      </w:pPr>
      <w:r>
        <w:rPr>
          <w:rFonts w:ascii="Times New Roman" w:hAnsi="Times New Roman"/>
          <w:b/>
          <w:spacing w:val="0"/>
          <w:sz w:val="16"/>
        </w:rPr>
        <w:t xml:space="preserve">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left"/>
        <w:rPr>
          <w:rFonts w:ascii="Times New Roman" w:hAnsi="Times New Roman"/>
          <w:b/>
          <w:spacing w:val="0"/>
          <w:sz w:val="16"/>
        </w:rPr>
      </w:pPr>
      <w:r>
        <w:rPr>
          <w:rFonts w:ascii="Times New Roman" w:hAnsi="Times New Roman"/>
          <w:b/>
          <w:spacing w:val="0"/>
          <w:sz w:val="16"/>
        </w:rPr>
        <w:t xml:space="preserve">THE NOTES ARE NOT DEPOSITS OR OTHER OBLIGATIONS OF A BANK AND ARE NOT INSURED BY THE FEDERAL DEPOSIT INSURANCE CORPORATION OR ANY OTHER GOVERNMENT AGENCY. </w:t>
      </w:r>
    </w:p>
    <w:p>
      <w:pPr>
        <w:pStyle w:val="TextBody"/>
        <w:bidi w:val="0"/>
        <w:spacing w:before="0" w:after="0"/>
        <w:jc w:val="left"/>
        <w:rPr>
          <w:spacing w:val="0"/>
        </w:rPr>
      </w:pPr>
      <w:r>
        <w:rPr>
          <w:spacing w:val="0"/>
        </w:rPr>
        <w:t> </w:t>
      </w:r>
    </w:p>
    <w:tbl>
      <w:tblPr>
        <w:tblW w:w="6520" w:type="dxa"/>
        <w:jc w:val="left"/>
        <w:tblInd w:w="0" w:type="dxa"/>
        <w:tblLayout w:type="fixed"/>
        <w:tblCellMar>
          <w:top w:w="0" w:type="dxa"/>
          <w:left w:w="0" w:type="dxa"/>
          <w:bottom w:w="0" w:type="dxa"/>
          <w:right w:w="0" w:type="dxa"/>
        </w:tblCellMar>
      </w:tblPr>
      <w:tblGrid>
        <w:gridCol w:w="3710"/>
        <w:gridCol w:w="120"/>
        <w:gridCol w:w="74"/>
        <w:gridCol w:w="846"/>
        <w:gridCol w:w="275"/>
        <w:gridCol w:w="60"/>
        <w:gridCol w:w="140"/>
        <w:gridCol w:w="1220"/>
        <w:gridCol w:w="75"/>
      </w:tblGrid>
      <w:tr>
        <w:trPr/>
        <w:tc>
          <w:tcPr>
            <w:tcW w:w="3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Per Note</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0"/>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Public offering price</w:t>
            </w:r>
          </w:p>
          <w:p>
            <w:pPr>
              <w:pStyle w:val="TableContents"/>
              <w:bidi w:val="0"/>
              <w:spacing w:before="0" w:after="0"/>
              <w:jc w:val="left"/>
              <w:rPr>
                <w:rFonts w:ascii="Times New Roman" w:hAnsi="Times New Roman"/>
                <w:spacing w:val="0"/>
                <w:sz w:val="9"/>
              </w:rPr>
            </w:pPr>
            <w:r>
              <w:rPr>
                <w:rFonts w:ascii="Times New Roman" w:hAnsi="Times New Roman"/>
                <w:spacing w:val="0"/>
                <w:sz w:val="9"/>
              </w:rPr>
              <w:t>1</w:t>
            </w:r>
          </w:p>
        </w:tc>
        <w:tc>
          <w:tcPr>
            <w:tcW w:w="120" w:type="dxa"/>
            <w:tcBorders/>
            <w:shd w:fill="CCEEFF" w:val="clear"/>
            <w:vAlign w:val="center"/>
          </w:tcPr>
          <w:p>
            <w:pPr>
              <w:pStyle w:val="TableContents"/>
              <w:bidi w:val="0"/>
              <w:spacing w:before="0" w:after="0"/>
              <w:jc w:val="left"/>
              <w:rPr/>
            </w:pPr>
            <w:r>
              <w:rPr/>
              <w:t>  </w:t>
            </w:r>
          </w:p>
        </w:tc>
        <w:tc>
          <w:tcPr>
            <w:tcW w:w="74" w:type="dxa"/>
            <w:tcBorders/>
            <w:shd w:fill="CCEEFF" w:val="clear"/>
            <w:vAlign w:val="center"/>
          </w:tcPr>
          <w:p>
            <w:pPr>
              <w:pStyle w:val="TableContents"/>
              <w:bidi w:val="0"/>
              <w:spacing w:before="0" w:after="0"/>
              <w:jc w:val="left"/>
              <w:rPr/>
            </w:pPr>
            <w:r>
              <w:rPr/>
              <w:t> </w:t>
            </w:r>
          </w:p>
        </w:tc>
        <w:tc>
          <w:tcPr>
            <w:tcW w:w="846" w:type="dxa"/>
            <w:tcBorders/>
            <w:shd w:fill="CCEEFF" w:val="clear"/>
            <w:vAlign w:val="center"/>
          </w:tcPr>
          <w:p>
            <w:pPr>
              <w:pStyle w:val="TableContents"/>
              <w:bidi w:val="0"/>
              <w:spacing w:before="0" w:after="0"/>
              <w:jc w:val="right"/>
              <w:rPr/>
            </w:pPr>
            <w:r>
              <w:rPr/>
              <w:t>99.334</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198,668,000</w:t>
            </w:r>
          </w:p>
        </w:tc>
        <w:tc>
          <w:tcPr>
            <w:tcW w:w="75" w:type="dxa"/>
            <w:tcBorders/>
            <w:shd w:fill="CCEEFF" w:val="clear"/>
            <w:vAlign w:val="center"/>
          </w:tcPr>
          <w:p>
            <w:pPr>
              <w:pStyle w:val="TableContents"/>
              <w:bidi w:val="0"/>
              <w:spacing w:before="0" w:after="0"/>
              <w:jc w:val="left"/>
              <w:rPr/>
            </w:pPr>
            <w:r>
              <w:rPr/>
              <w:t> </w:t>
            </w:r>
          </w:p>
        </w:tc>
      </w:tr>
      <w:tr>
        <w:trPr/>
        <w:tc>
          <w:tcPr>
            <w:tcW w:w="371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Underwriting discounts and commissions (sales load)</w:t>
            </w:r>
          </w:p>
        </w:tc>
        <w:tc>
          <w:tcPr>
            <w:tcW w:w="120" w:type="dxa"/>
            <w:tcBorders/>
            <w:vAlign w:val="center"/>
          </w:tcPr>
          <w:p>
            <w:pPr>
              <w:pStyle w:val="TableContents"/>
              <w:bidi w:val="0"/>
              <w:spacing w:before="0" w:after="0"/>
              <w:jc w:val="left"/>
              <w:rPr/>
            </w:pPr>
            <w:r>
              <w:rPr/>
              <w:t>  </w:t>
            </w:r>
          </w:p>
        </w:tc>
        <w:tc>
          <w:tcPr>
            <w:tcW w:w="74" w:type="dxa"/>
            <w:tcBorders/>
            <w:vAlign w:val="center"/>
          </w:tcPr>
          <w:p>
            <w:pPr>
              <w:pStyle w:val="TableContents"/>
              <w:bidi w:val="0"/>
              <w:spacing w:before="0" w:after="0"/>
              <w:jc w:val="left"/>
              <w:rPr/>
            </w:pPr>
            <w:r>
              <w:rPr/>
              <w:t> </w:t>
            </w:r>
          </w:p>
        </w:tc>
        <w:tc>
          <w:tcPr>
            <w:tcW w:w="846" w:type="dxa"/>
            <w:tcBorders/>
            <w:vAlign w:val="center"/>
          </w:tcPr>
          <w:p>
            <w:pPr>
              <w:pStyle w:val="TableContents"/>
              <w:bidi w:val="0"/>
              <w:spacing w:before="0" w:after="283"/>
              <w:jc w:val="right"/>
              <w:rPr/>
            </w:pPr>
            <w:r>
              <w:rPr/>
              <w:t>1.200</w:t>
            </w:r>
          </w:p>
        </w:tc>
        <w:tc>
          <w:tcPr>
            <w:tcW w:w="27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w:t>
            </w:r>
          </w:p>
        </w:tc>
        <w:tc>
          <w:tcPr>
            <w:tcW w:w="1220" w:type="dxa"/>
            <w:tcBorders/>
            <w:vAlign w:val="center"/>
          </w:tcPr>
          <w:p>
            <w:pPr>
              <w:pStyle w:val="TableContents"/>
              <w:bidi w:val="0"/>
              <w:spacing w:before="0" w:after="0"/>
              <w:jc w:val="right"/>
              <w:rPr/>
            </w:pPr>
            <w:r>
              <w:rPr/>
              <w:t>2,400,000</w:t>
            </w:r>
          </w:p>
        </w:tc>
        <w:tc>
          <w:tcPr>
            <w:tcW w:w="75" w:type="dxa"/>
            <w:tcBorders/>
            <w:vAlign w:val="center"/>
          </w:tcPr>
          <w:p>
            <w:pPr>
              <w:pStyle w:val="TableContents"/>
              <w:bidi w:val="0"/>
              <w:spacing w:before="0" w:after="0"/>
              <w:jc w:val="left"/>
              <w:rPr/>
            </w:pPr>
            <w:r>
              <w:rPr/>
              <w:t> </w:t>
            </w:r>
          </w:p>
        </w:tc>
      </w:tr>
      <w:tr>
        <w:trPr/>
        <w:tc>
          <w:tcPr>
            <w:tcW w:w="3710"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Proceeds, before expenses, to us</w:t>
            </w:r>
          </w:p>
          <w:p>
            <w:pPr>
              <w:pStyle w:val="TableContents"/>
              <w:bidi w:val="0"/>
              <w:spacing w:before="0" w:after="0"/>
              <w:jc w:val="left"/>
              <w:rPr>
                <w:rFonts w:ascii="Times New Roman" w:hAnsi="Times New Roman"/>
                <w:spacing w:val="0"/>
                <w:sz w:val="9"/>
              </w:rPr>
            </w:pPr>
            <w:r>
              <w:rPr>
                <w:rFonts w:ascii="Times New Roman" w:hAnsi="Times New Roman"/>
                <w:spacing w:val="0"/>
                <w:sz w:val="9"/>
              </w:rPr>
              <w:t>2</w:t>
            </w:r>
          </w:p>
        </w:tc>
        <w:tc>
          <w:tcPr>
            <w:tcW w:w="120" w:type="dxa"/>
            <w:tcBorders/>
            <w:shd w:fill="CCEEFF" w:val="clear"/>
            <w:vAlign w:val="center"/>
          </w:tcPr>
          <w:p>
            <w:pPr>
              <w:pStyle w:val="TableContents"/>
              <w:bidi w:val="0"/>
              <w:spacing w:before="0" w:after="0"/>
              <w:jc w:val="left"/>
              <w:rPr/>
            </w:pPr>
            <w:r>
              <w:rPr/>
              <w:t>  </w:t>
            </w:r>
          </w:p>
        </w:tc>
        <w:tc>
          <w:tcPr>
            <w:tcW w:w="74" w:type="dxa"/>
            <w:tcBorders/>
            <w:shd w:fill="CCEEFF" w:val="clear"/>
            <w:vAlign w:val="center"/>
          </w:tcPr>
          <w:p>
            <w:pPr>
              <w:pStyle w:val="TableContents"/>
              <w:bidi w:val="0"/>
              <w:spacing w:before="0" w:after="0"/>
              <w:jc w:val="left"/>
              <w:rPr/>
            </w:pPr>
            <w:r>
              <w:rPr/>
              <w:t> </w:t>
            </w:r>
          </w:p>
        </w:tc>
        <w:tc>
          <w:tcPr>
            <w:tcW w:w="846" w:type="dxa"/>
            <w:tcBorders/>
            <w:shd w:fill="CCEEFF" w:val="clear"/>
            <w:vAlign w:val="center"/>
          </w:tcPr>
          <w:p>
            <w:pPr>
              <w:pStyle w:val="TableContents"/>
              <w:bidi w:val="0"/>
              <w:spacing w:before="0" w:after="0"/>
              <w:jc w:val="right"/>
              <w:rPr/>
            </w:pPr>
            <w:r>
              <w:rPr/>
              <w:t>98.134</w:t>
            </w:r>
          </w:p>
        </w:tc>
        <w:tc>
          <w:tcPr>
            <w:tcW w:w="27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w:t>
            </w:r>
          </w:p>
        </w:tc>
        <w:tc>
          <w:tcPr>
            <w:tcW w:w="1220" w:type="dxa"/>
            <w:tcBorders/>
            <w:shd w:fill="CCEEFF" w:val="clear"/>
            <w:vAlign w:val="center"/>
          </w:tcPr>
          <w:p>
            <w:pPr>
              <w:pStyle w:val="TableContents"/>
              <w:bidi w:val="0"/>
              <w:spacing w:before="0" w:after="0"/>
              <w:jc w:val="right"/>
              <w:rPr/>
            </w:pPr>
            <w:r>
              <w:rPr/>
              <w:t>196,268,000</w:t>
            </w:r>
          </w:p>
        </w:tc>
        <w:tc>
          <w:tcPr>
            <w:tcW w:w="75" w:type="dxa"/>
            <w:tcBorders/>
            <w:shd w:fill="CCEEFF" w:val="clear"/>
            <w:vAlign w:val="center"/>
          </w:tcPr>
          <w:p>
            <w:pPr>
              <w:pStyle w:val="TableContents"/>
              <w:bidi w:val="0"/>
              <w:spacing w:before="0" w:after="0"/>
              <w:jc w:val="left"/>
              <w:rPr/>
            </w:pPr>
            <w:r>
              <w:rPr/>
              <w:t> </w:t>
            </w:r>
          </w:p>
        </w:tc>
      </w:tr>
    </w:tbl>
    <w:p>
      <w:pPr>
        <w:pStyle w:val="TextBody"/>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sz w:val="9"/>
              </w:rPr>
            </w:pPr>
            <w:r>
              <w:rPr>
                <w:sz w:val="9"/>
              </w:rPr>
              <w:t>1</w:t>
            </w:r>
          </w:p>
        </w:tc>
        <w:tc>
          <w:tcPr>
            <w:tcW w:w="10125"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 xml:space="preserve">The public offering price set forth above does not include accrued interest, if any. Interest on the Notes will accrue from March 4, 2026 and must be paid by the purchaser if the Notes are delivered after March 4, 2026. </w:t>
            </w:r>
          </w:p>
        </w:tc>
      </w:tr>
    </w:tbl>
    <w:tbl>
      <w:tblPr>
        <w:tblW w:w="8545" w:type="dxa"/>
        <w:jc w:val="left"/>
        <w:tblInd w:w="0" w:type="dxa"/>
        <w:tblLayout w:type="fixed"/>
        <w:tblCellMar>
          <w:top w:w="0" w:type="dxa"/>
          <w:left w:w="0" w:type="dxa"/>
          <w:bottom w:w="0" w:type="dxa"/>
          <w:right w:w="0" w:type="dxa"/>
        </w:tblCellMar>
      </w:tblPr>
      <w:tblGrid>
        <w:gridCol w:w="80"/>
        <w:gridCol w:w="8465"/>
      </w:tblGrid>
      <w:tr>
        <w:trPr/>
        <w:tc>
          <w:tcPr>
            <w:tcW w:w="80" w:type="dxa"/>
            <w:tcBorders/>
            <w:vAlign w:val="center"/>
          </w:tcPr>
          <w:p>
            <w:pPr>
              <w:pStyle w:val="TableContents"/>
              <w:bidi w:val="0"/>
              <w:spacing w:before="0" w:after="0"/>
              <w:jc w:val="left"/>
              <w:rPr>
                <w:sz w:val="9"/>
              </w:rPr>
            </w:pPr>
            <w:r>
              <w:rPr>
                <w:sz w:val="9"/>
              </w:rPr>
              <w:t>2</w:t>
            </w:r>
          </w:p>
        </w:tc>
        <w:tc>
          <w:tcPr>
            <w:tcW w:w="84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expenses of the offering payable by us, excluding the underwriting discount, are estimated to be $0.4 million. See “</w:t>
            </w:r>
          </w:p>
          <w:p>
            <w:pPr>
              <w:pStyle w:val="TableContents"/>
              <w:bidi w:val="0"/>
              <w:spacing w:before="0" w:after="0"/>
              <w:jc w:val="left"/>
              <w:rPr>
                <w:rFonts w:ascii="Times New Roman" w:hAnsi="Times New Roman"/>
                <w:i/>
                <w:caps w:val="false"/>
                <w:smallCaps w:val="false"/>
                <w:spacing w:val="0"/>
                <w:sz w:val="16"/>
              </w:rPr>
            </w:pPr>
            <w:r>
              <w:rPr>
                <w:rFonts w:ascii="Times New Roman" w:hAnsi="Times New Roman"/>
                <w:i/>
                <w:caps w:val="false"/>
                <w:smallCaps w:val="false"/>
                <w:spacing w:val="0"/>
                <w:sz w:val="16"/>
              </w:rPr>
              <w:t>Underwriting</w:t>
            </w:r>
          </w:p>
          <w:p>
            <w:pPr>
              <w:pStyle w:val="TableContents"/>
              <w:bidi w:val="0"/>
              <w:spacing w:before="0" w:after="0"/>
              <w:jc w:val="left"/>
              <w:rPr/>
            </w:pPr>
            <w:r>
              <w:rPr/>
              <w:t xml:space="preserve">” </w:t>
            </w:r>
            <w:r>
              <w:rPr>
                <w:rFonts w:ascii="Times New Roman" w:hAnsi="Times New Roman"/>
                <w:sz w:val="16"/>
              </w:rPr>
              <w:t xml:space="preserve">in this prospectus supplement. </w:t>
            </w:r>
          </w:p>
        </w:tc>
      </w:tr>
    </w:tbl>
    <w:p>
      <w:pPr>
        <w:pStyle w:val="TextBody"/>
        <w:bidi w:val="0"/>
        <w:spacing w:before="240" w:after="0"/>
        <w:jc w:val="left"/>
        <w:rPr>
          <w:rFonts w:ascii="Times New Roman" w:hAnsi="Times New Roman"/>
          <w:spacing w:val="0"/>
          <w:sz w:val="16"/>
        </w:rPr>
      </w:pPr>
      <w:r>
        <w:rPr>
          <w:rFonts w:ascii="Times New Roman" w:hAnsi="Times New Roman"/>
          <w:spacing w:val="0"/>
          <w:sz w:val="16"/>
        </w:rPr>
        <w:t xml:space="preserve">Delivery of the Notes in book-entry form through The Depository Trust Company (the “DTC”) will be made on or about March 4, 2026.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i/>
          <w:caps w:val="false"/>
          <w:smallCaps w:val="false"/>
          <w:spacing w:val="0"/>
          <w:sz w:val="16"/>
        </w:rPr>
      </w:pPr>
      <w:r>
        <w:rPr>
          <w:rFonts w:ascii="Times New Roman" w:hAnsi="Times New Roman"/>
          <w:b/>
          <w:i/>
          <w:caps w:val="false"/>
          <w:smallCaps w:val="false"/>
          <w:spacing w:val="0"/>
          <w:sz w:val="16"/>
        </w:rPr>
        <w:t xml:space="preserve">Joint Book-Running Managers </w:t>
      </w:r>
    </w:p>
    <w:p>
      <w:pPr>
        <w:pStyle w:val="TextBody"/>
        <w:bidi w:val="0"/>
        <w:spacing w:before="0" w:after="0"/>
        <w:jc w:val="left"/>
        <w:rPr>
          <w:spacing w:val="0"/>
        </w:rPr>
      </w:pPr>
      <w:r>
        <w:rPr>
          <w:spacing w:val="0"/>
        </w:rPr>
        <w:t> </w:t>
      </w:r>
    </w:p>
    <w:tbl>
      <w:tblPr>
        <w:tblW w:w="8840" w:type="dxa"/>
        <w:jc w:val="left"/>
        <w:tblInd w:w="0" w:type="dxa"/>
        <w:tblLayout w:type="fixed"/>
        <w:tblCellMar>
          <w:top w:w="0" w:type="dxa"/>
          <w:left w:w="0" w:type="dxa"/>
          <w:bottom w:w="0" w:type="dxa"/>
          <w:right w:w="0" w:type="dxa"/>
        </w:tblCellMar>
      </w:tblPr>
      <w:tblGrid>
        <w:gridCol w:w="1730"/>
        <w:gridCol w:w="60"/>
        <w:gridCol w:w="2615"/>
        <w:gridCol w:w="60"/>
        <w:gridCol w:w="2555"/>
        <w:gridCol w:w="120"/>
        <w:gridCol w:w="1700"/>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0"/>
              <w:jc w:val="center"/>
              <w:rPr>
                <w:b/>
                <w:spacing w:val="0"/>
              </w:rPr>
            </w:pPr>
            <w:r>
              <w:rPr>
                <w:b/>
                <w:spacing w:val="0"/>
              </w:rPr>
              <w:t>Raymond James</w:t>
            </w:r>
          </w:p>
        </w:tc>
        <w:tc>
          <w:tcPr>
            <w:tcW w:w="6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center"/>
              <w:rPr>
                <w:b/>
                <w:spacing w:val="0"/>
              </w:rPr>
            </w:pPr>
            <w:r>
              <w:rPr>
                <w:b/>
                <w:spacing w:val="0"/>
              </w:rPr>
              <w:t>Keefe, Bruyette &amp; Woods</w:t>
            </w:r>
          </w:p>
          <w:p>
            <w:pPr>
              <w:pStyle w:val="TableContents"/>
              <w:bidi w:val="0"/>
              <w:spacing w:before="0" w:after="0"/>
              <w:jc w:val="center"/>
              <w:rPr>
                <w:caps w:val="false"/>
                <w:smallCaps w:val="false"/>
                <w:spacing w:val="0"/>
              </w:rPr>
            </w:pPr>
            <w:r>
              <w:rPr>
                <w:caps w:val="false"/>
                <w:smallCaps w:val="false"/>
                <w:spacing w:val="0"/>
              </w:rPr>
              <w:t>     </w:t>
            </w:r>
            <w:r>
              <w:rPr>
                <w:b/>
                <w:i/>
                <w:caps w:val="false"/>
                <w:smallCaps w:val="false"/>
                <w:spacing w:val="0"/>
              </w:rPr>
              <w:t>A Stifel Company</w:t>
            </w:r>
          </w:p>
        </w:tc>
        <w:tc>
          <w:tcPr>
            <w:tcW w:w="60" w:type="dxa"/>
            <w:tcBorders/>
            <w:vAlign w:val="center"/>
          </w:tcPr>
          <w:p>
            <w:pPr>
              <w:pStyle w:val="TableContents"/>
              <w:bidi w:val="0"/>
              <w:spacing w:before="0" w:after="0"/>
              <w:jc w:val="left"/>
              <w:rPr/>
            </w:pPr>
            <w:r>
              <w:rPr/>
              <w:t> </w:t>
            </w:r>
          </w:p>
        </w:tc>
        <w:tc>
          <w:tcPr>
            <w:tcW w:w="2555" w:type="dxa"/>
            <w:tcBorders/>
            <w:vAlign w:val="center"/>
          </w:tcPr>
          <w:p>
            <w:pPr>
              <w:pStyle w:val="TableContents"/>
              <w:bidi w:val="0"/>
              <w:spacing w:before="0" w:after="0"/>
              <w:jc w:val="center"/>
              <w:rPr>
                <w:b/>
                <w:spacing w:val="0"/>
              </w:rPr>
            </w:pPr>
            <w:r>
              <w:rPr>
                <w:b/>
                <w:spacing w:val="0"/>
              </w:rPr>
              <w:t>Citizens Capital Markets</w:t>
            </w:r>
          </w:p>
        </w:tc>
        <w:tc>
          <w:tcPr>
            <w:tcW w:w="12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center"/>
              <w:rPr>
                <w:b/>
                <w:spacing w:val="0"/>
              </w:rPr>
            </w:pPr>
            <w:r>
              <w:rPr>
                <w:b/>
                <w:spacing w:val="0"/>
              </w:rPr>
              <w:t>Truist Securities</w:t>
            </w:r>
          </w:p>
        </w:tc>
      </w:tr>
    </w:tbl>
    <w:p>
      <w:pPr>
        <w:pStyle w:val="TextBody"/>
        <w:bidi w:val="0"/>
        <w:spacing w:before="240" w:after="0"/>
        <w:jc w:val="center"/>
        <w:rPr>
          <w:rFonts w:ascii="Times New Roman" w:hAnsi="Times New Roman"/>
          <w:b/>
          <w:i/>
          <w:caps w:val="false"/>
          <w:smallCaps w:val="false"/>
          <w:spacing w:val="0"/>
          <w:sz w:val="16"/>
        </w:rPr>
      </w:pPr>
      <w:r>
        <w:rPr>
          <w:rFonts w:ascii="Times New Roman" w:hAnsi="Times New Roman"/>
          <w:b/>
          <w:i/>
          <w:caps w:val="false"/>
          <w:smallCaps w:val="false"/>
          <w:spacing w:val="0"/>
          <w:sz w:val="16"/>
        </w:rPr>
        <w:t>Co-Managers</w:t>
      </w:r>
    </w:p>
    <w:p>
      <w:pPr>
        <w:pStyle w:val="TextBody"/>
        <w:bidi w:val="0"/>
        <w:spacing w:before="0" w:after="0"/>
        <w:jc w:val="left"/>
        <w:rPr>
          <w:spacing w:val="0"/>
        </w:rPr>
      </w:pPr>
      <w:r>
        <w:rPr>
          <w:spacing w:val="0"/>
        </w:rPr>
        <w:t> </w:t>
      </w:r>
    </w:p>
    <w:tbl>
      <w:tblPr>
        <w:tblW w:w="5145" w:type="dxa"/>
        <w:jc w:val="left"/>
        <w:tblInd w:w="0" w:type="dxa"/>
        <w:tblLayout w:type="fixed"/>
        <w:tblCellMar>
          <w:top w:w="0" w:type="dxa"/>
          <w:left w:w="0" w:type="dxa"/>
          <w:bottom w:w="0" w:type="dxa"/>
          <w:right w:w="0" w:type="dxa"/>
        </w:tblCellMar>
      </w:tblPr>
      <w:tblGrid>
        <w:gridCol w:w="485"/>
        <w:gridCol w:w="60"/>
        <w:gridCol w:w="2090"/>
        <w:gridCol w:w="60"/>
        <w:gridCol w:w="2450"/>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0"/>
              <w:jc w:val="center"/>
              <w:rPr>
                <w:b/>
                <w:spacing w:val="0"/>
              </w:rPr>
            </w:pPr>
            <w:r>
              <w:rPr>
                <w:b/>
                <w:spacing w:val="0"/>
              </w:rPr>
              <w:t>ING</w:t>
            </w:r>
          </w:p>
        </w:tc>
        <w:tc>
          <w:tcPr>
            <w:tcW w:w="6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center"/>
              <w:rPr>
                <w:b/>
                <w:spacing w:val="0"/>
              </w:rPr>
            </w:pPr>
            <w:r>
              <w:rPr>
                <w:b/>
                <w:spacing w:val="0"/>
              </w:rPr>
              <w:t>Oppenheimer &amp; Co.</w:t>
            </w:r>
          </w:p>
        </w:tc>
        <w:tc>
          <w:tcPr>
            <w:tcW w:w="6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center"/>
              <w:rPr>
                <w:b/>
                <w:spacing w:val="0"/>
              </w:rPr>
            </w:pPr>
            <w:r>
              <w:rPr>
                <w:b/>
                <w:spacing w:val="0"/>
              </w:rPr>
              <w:t>Regions Securities LLC</w:t>
            </w:r>
          </w:p>
        </w:tc>
      </w:tr>
    </w:tbl>
    <w:p>
      <w:pPr>
        <w:pStyle w:val="TextBody"/>
        <w:bidi w:val="0"/>
        <w:spacing w:before="240" w:after="0"/>
        <w:jc w:val="center"/>
        <w:rPr>
          <w:rFonts w:ascii="Times New Roman" w:hAnsi="Times New Roman"/>
          <w:b/>
          <w:spacing w:val="0"/>
          <w:sz w:val="16"/>
        </w:rPr>
      </w:pPr>
      <w:r>
        <w:rPr>
          <w:rFonts w:ascii="Times New Roman" w:hAnsi="Times New Roman"/>
          <w:b/>
          <w:spacing w:val="0"/>
          <w:sz w:val="16"/>
        </w:rPr>
        <w:t xml:space="preserve">The date of this prospectus supplement is February 25, 2026.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6365"/>
        <w:gridCol w:w="120"/>
        <w:gridCol w:w="60"/>
        <w:gridCol w:w="470"/>
        <w:gridCol w:w="75"/>
      </w:tblGrid>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1">
              <w:r>
                <w:rPr>
                  <w:rStyle w:val="InternetLink"/>
                  <w:rFonts w:ascii="Times New Roman" w:hAnsi="Times New Roman"/>
                  <w:sz w:val="20"/>
                </w:rPr>
                <w:t>ABOUT THIS PROSPECTUS SUPPLEMENT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2">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S-2</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3">
              <w:r>
                <w:rPr>
                  <w:rStyle w:val="InternetLink"/>
                  <w:rFonts w:ascii="Times New Roman" w:hAnsi="Times New Roman"/>
                  <w:sz w:val="20"/>
                </w:rPr>
                <w:t>PROSPECTUS SUPPLEMENT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S-7</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4">
              <w:r>
                <w:rPr>
                  <w:rStyle w:val="InternetLink"/>
                  <w:rFonts w:ascii="Times New Roman" w:hAnsi="Times New Roman"/>
                  <w:sz w:val="20"/>
                </w:rPr>
                <w:t>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6">
              <w:r>
                <w:rPr>
                  <w:rStyle w:val="InternetLink"/>
                  <w:rFonts w:ascii="Times New Roman" w:hAnsi="Times New Roman"/>
                  <w:sz w:val="20"/>
                </w:rPr>
                <w:t>RISKS RELATED TO THE NOTES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S-14</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7">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S-18</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8">
              <w:r>
                <w:rPr>
                  <w:rStyle w:val="InternetLink"/>
                  <w:rFonts w:ascii="Times New Roman" w:hAnsi="Times New Roman"/>
                  <w:sz w:val="20"/>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S-19</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9">
              <w:r>
                <w:rPr>
                  <w:rStyle w:val="InternetLink"/>
                  <w:rFonts w:ascii="Times New Roman" w:hAnsi="Times New Roman"/>
                  <w:sz w:val="20"/>
                </w:rPr>
                <w:t>DESCRIPTION OF THE NOTES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S-20</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10">
              <w:r>
                <w:rPr>
                  <w:rStyle w:val="InternetLink"/>
                  <w:rFonts w:ascii="Times New Roman" w:hAnsi="Times New Roman"/>
                  <w:sz w:val="20"/>
                </w:rPr>
                <w:t>CERTAIN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S-36</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11">
              <w:r>
                <w:rPr>
                  <w:rStyle w:val="InternetLink"/>
                  <w:rFonts w:ascii="Times New Roman" w:hAnsi="Times New Roman"/>
                  <w:sz w:val="20"/>
                </w:rPr>
                <w:t>UNDERWRITING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S-40</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12">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S-45</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13">
              <w:r>
                <w:rPr>
                  <w:rStyle w:val="InternetLink"/>
                  <w:rFonts w:ascii="Times New Roman" w:hAnsi="Times New Roman"/>
                  <w:sz w:val="20"/>
                </w:rPr>
                <w:t>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S-46</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14">
              <w:r>
                <w:rPr>
                  <w:rStyle w:val="InternetLink"/>
                  <w:rFonts w:ascii="Times New Roman" w:hAnsi="Times New Roman"/>
                  <w:sz w:val="20"/>
                </w:rPr>
                <w:t>INDEPENDENT AUDITOR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S-47</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15">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S-48</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s894111_16">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0"/>
              <w:jc w:val="right"/>
              <w:rPr>
                <w:spacing w:val="0"/>
              </w:rPr>
            </w:pPr>
            <w:r>
              <w:rPr>
                <w:spacing w:val="0"/>
              </w:rPr>
              <w:t>S-49</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3">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5">
              <w:r>
                <w:rPr>
                  <w:rStyle w:val="InternetLink"/>
                  <w:rFonts w:ascii="Times New Roman" w:hAnsi="Times New Roman"/>
                  <w:sz w:val="20"/>
                </w:rPr>
                <w:t>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7">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8">
              <w:r>
                <w:rPr>
                  <w:rStyle w:val="InternetLink"/>
                  <w:rFonts w:ascii="Times New Roman" w:hAnsi="Times New Roman"/>
                  <w:sz w:val="20"/>
                </w:rPr>
                <w:t>PRICE RANGE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9">
              <w:r>
                <w:rPr>
                  <w:rStyle w:val="InternetLink"/>
                  <w:rFonts w:ascii="Times New Roman" w:hAnsi="Times New Roman"/>
                  <w:sz w:val="20"/>
                </w:rPr>
                <w:t>SALES OF COMMON STOCK BELOW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0">
              <w:r>
                <w:rPr>
                  <w:rStyle w:val="InternetLink"/>
                  <w:rFonts w:ascii="Times New Roman" w:hAnsi="Times New Roman"/>
                  <w:sz w:val="20"/>
                </w:rPr>
                <w:t>DISTRIBUTIONS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1">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1a">
              <w:r>
                <w:rPr>
                  <w:rStyle w:val="InternetLink"/>
                  <w:rFonts w:ascii="Times New Roman" w:hAnsi="Times New Roman"/>
                  <w:sz w:val="20"/>
                </w:rPr>
                <w:t>MANAGEMENT OF THE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1b">
              <w:r>
                <w:rPr>
                  <w:rStyle w:val="InternetLink"/>
                  <w:rFonts w:ascii="Times New Roman" w:hAnsi="Times New Roman"/>
                  <w:sz w:val="20"/>
                </w:rPr>
                <w:t>INVESTMENT MANAGEMENT AND ADMINISTRATION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2">
              <w:r>
                <w:rPr>
                  <w:rStyle w:val="InternetLink"/>
                  <w:rFonts w:ascii="Times New Roman" w:hAnsi="Times New Roman"/>
                  <w:sz w:val="20"/>
                </w:rPr>
                <w:t>PORTFOLIO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3">
              <w:r>
                <w:rPr>
                  <w:rStyle w:val="InternetLink"/>
                  <w:rFonts w:ascii="Times New Roman" w:hAnsi="Times New Roman"/>
                  <w:sz w:val="20"/>
                </w:rPr>
                <w:t>DETERMINATION OF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4">
              <w:r>
                <w:rPr>
                  <w:rStyle w:val="InternetLink"/>
                  <w:rFonts w:ascii="Times New Roman" w:hAnsi="Times New Roman"/>
                  <w:sz w:val="20"/>
                </w:rPr>
                <w:t>DESCRIPTION OF OUR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5">
              <w:r>
                <w:rPr>
                  <w:rStyle w:val="InternetLink"/>
                  <w:rFonts w:ascii="Times New Roman" w:hAnsi="Times New Roman"/>
                  <w:sz w:val="20"/>
                </w:rPr>
                <w:t>DESCRIPTION OF OUR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6">
              <w:r>
                <w:rPr>
                  <w:rStyle w:val="InternetLink"/>
                  <w:rFonts w:ascii="Times New Roman" w:hAnsi="Times New Roman"/>
                  <w:sz w:val="20"/>
                </w:rPr>
                <w:t>DESCRIPTION OF OUR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7">
              <w:r>
                <w:rPr>
                  <w:rStyle w:val="InternetLink"/>
                  <w:rFonts w:ascii="Times New Roman" w:hAnsi="Times New Roman"/>
                  <w:sz w:val="20"/>
                </w:rPr>
                <w:t>DESCRIPTION OF OUR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8">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9">
              <w:r>
                <w:rPr>
                  <w:rStyle w:val="InternetLink"/>
                  <w:rFonts w:ascii="Times New Roman" w:hAnsi="Times New Roman"/>
                  <w:sz w:val="20"/>
                </w:rPr>
                <w:t>BROKERAGE ALLOCATIONS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0">
              <w:r>
                <w:rPr>
                  <w:rStyle w:val="InternetLink"/>
                  <w:rFonts w:ascii="Times New Roman" w:hAnsi="Times New Roman"/>
                  <w:sz w:val="20"/>
                </w:rPr>
                <w:t>MATERIAL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1">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2">
              <w:r>
                <w:rPr>
                  <w:rStyle w:val="InternetLink"/>
                  <w:rFonts w:ascii="Times New Roman" w:hAnsi="Times New Roman"/>
                  <w:spacing w:val="0"/>
                  <w:sz w:val="20"/>
                </w:rPr>
                <w:t>SUB-ADMINISTRATOR,</w:t>
              </w:r>
            </w:hyperlink>
            <w:hyperlink w:anchor="tx894111_22">
              <w:r>
                <w:rPr>
                  <w:rStyle w:val="InternetLink"/>
                  <w:rFonts w:ascii="Times New Roman" w:hAnsi="Times New Roman"/>
                  <w:sz w:val="20"/>
                </w:rPr>
                <w:t xml:space="preserve"> CUSTODIAN, TRANSFER AGENT AND TRUSTEE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3">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4">
              <w:r>
                <w:rPr>
                  <w:rStyle w:val="InternetLink"/>
                  <w:rFonts w:ascii="Times New Roman" w:hAnsi="Times New Roman"/>
                  <w:sz w:val="20"/>
                </w:rPr>
                <w:t>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5">
              <w:r>
                <w:rPr>
                  <w:rStyle w:val="InternetLink"/>
                  <w:rFonts w:ascii="Times New Roman" w:hAnsi="Times New Roman"/>
                  <w:sz w:val="20"/>
                </w:rPr>
                <w:t>INDEPENDENT AUDITORS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6">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7">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p>
    <w:p>
      <w:pPr>
        <w:pStyle w:val="HorizontalLine"/>
        <w:pBdr>
          <w:bottom w:val="double" w:sz="2" w:space="0" w:color="808080"/>
        </w:pBdr>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SUPPLEMENT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do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will control. Generally, when we refer to this “prospectus”, we are referring to both this prospectus supplement and the accompanying prospectus combined, together with any free writing prospectus that we have authorized for use in connection with this offering.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WE ARE RESPONSIBLE FOR THE INFORMATION CONTAINED IN THIS PROSPECTUS SUPPLEMENT AND THE ACCOMPANYING PROSPECTUS AND THE DOCUMENTS INCORPORATED BY REFERENCE IN THIS PROSPECTUS SUPPLEMENT AND ACCOMPANYING PROSPECTUS.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THE NOTES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THE NOTES. OUR BUSINESS, FINANCIAL CONDITION, RESULTS OF OPERATIONS AND PROSPECTS MAY HAVE CHANGED SINCE THOSE DATES.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S-1 </w:t>
      </w:r>
    </w:p>
    <w:p>
      <w:pPr>
        <w:pStyle w:val="HorizontalLine"/>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THE OFFERING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prospectus supplement sets forth certain terms of the Notes that we are offering pursuant to this prospectus supplement and the accompanying prospectus. This section outlines the specific legal and financial terms of the Notes. You should read this section together with the more general description of the Notes under the heading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Description of the Notes</w:t>
      </w:r>
    </w:p>
    <w:p>
      <w:pPr>
        <w:pStyle w:val="TextBody"/>
        <w:bidi w:val="0"/>
        <w:spacing w:before="24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and in the accompanying prospectus under the heading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Description of Our Debt Securities”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before investing in the Notes. Capitalized terms used in this prospectus supplement and not otherwise defined will have the meanings given to them in the accompanying prospectus or in the indenture governing the Notes. </w:t>
      </w:r>
    </w:p>
    <w:p>
      <w:pPr>
        <w:pStyle w:val="TextBody"/>
        <w:bidi w:val="0"/>
        <w:spacing w:before="0" w:after="0"/>
        <w:jc w:val="left"/>
        <w:rPr>
          <w:spacing w:val="0"/>
          <w:bdr w:val="single" w:sz="8" w:space="1" w:color="000000"/>
        </w:rPr>
      </w:pPr>
      <w:r>
        <w:rPr>
          <w:spacing w:val="0"/>
          <w:bdr w:val="single" w:sz="8" w:space="1" w:color="000000"/>
        </w:rPr>
        <w:t> </w:t>
      </w:r>
    </w:p>
    <w:tbl>
      <w:tblPr>
        <w:tblW w:w="4360" w:type="dxa"/>
        <w:jc w:val="left"/>
        <w:tblInd w:w="0" w:type="dxa"/>
        <w:tblLayout w:type="fixed"/>
        <w:tblCellMar>
          <w:top w:w="0" w:type="dxa"/>
          <w:left w:w="0" w:type="dxa"/>
          <w:bottom w:w="0" w:type="dxa"/>
          <w:right w:w="0" w:type="dxa"/>
        </w:tblCellMar>
      </w:tblPr>
      <w:tblGrid>
        <w:gridCol w:w="545"/>
        <w:gridCol w:w="3815"/>
      </w:tblGrid>
      <w:tr>
        <w:trPr/>
        <w:tc>
          <w:tcPr>
            <w:tcW w:w="54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Issuer </w:t>
            </w:r>
          </w:p>
        </w:tc>
        <w:tc>
          <w:tcPr>
            <w:tcW w:w="3815" w:type="dxa"/>
            <w:tcBorders/>
            <w:vAlign w:val="center"/>
          </w:tcPr>
          <w:p>
            <w:pPr>
              <w:pStyle w:val="TableContents"/>
              <w:bidi w:val="0"/>
              <w:spacing w:before="0" w:after="283"/>
              <w:jc w:val="left"/>
              <w:rPr/>
            </w:pPr>
            <w:r>
              <w:rPr/>
              <w:t xml:space="preserve">PennantPark Floating Rate Capital Ltd. </w:t>
            </w:r>
          </w:p>
        </w:tc>
      </w:tr>
    </w:tbl>
    <w:p>
      <w:pPr>
        <w:pStyle w:val="TextBody"/>
        <w:bidi w:val="0"/>
        <w:spacing w:before="0" w:after="0"/>
        <w:jc w:val="left"/>
        <w:rPr>
          <w:spacing w:val="0"/>
          <w:bdr w:val="single" w:sz="8" w:space="1" w:color="000000"/>
        </w:rPr>
      </w:pPr>
      <w:r>
        <w:rPr>
          <w:spacing w:val="0"/>
          <w:bdr w:val="single" w:sz="8" w:space="1" w:color="000000"/>
        </w:rPr>
        <w:t> </w:t>
      </w:r>
    </w:p>
    <w:tbl>
      <w:tblPr>
        <w:tblW w:w="4060" w:type="dxa"/>
        <w:jc w:val="left"/>
        <w:tblInd w:w="0" w:type="dxa"/>
        <w:tblLayout w:type="fixed"/>
        <w:tblCellMar>
          <w:top w:w="0" w:type="dxa"/>
          <w:left w:w="0" w:type="dxa"/>
          <w:bottom w:w="0" w:type="dxa"/>
          <w:right w:w="0" w:type="dxa"/>
        </w:tblCellMar>
      </w:tblPr>
      <w:tblGrid>
        <w:gridCol w:w="1790"/>
        <w:gridCol w:w="2270"/>
      </w:tblGrid>
      <w:tr>
        <w:trPr/>
        <w:tc>
          <w:tcPr>
            <w:tcW w:w="1790"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Title of the securities </w:t>
            </w:r>
          </w:p>
        </w:tc>
        <w:tc>
          <w:tcPr>
            <w:tcW w:w="2270" w:type="dxa"/>
            <w:tcBorders/>
            <w:vAlign w:val="center"/>
          </w:tcPr>
          <w:p>
            <w:pPr>
              <w:pStyle w:val="TableContents"/>
              <w:bidi w:val="0"/>
              <w:spacing w:before="0" w:after="283"/>
              <w:jc w:val="left"/>
              <w:rPr/>
            </w:pPr>
            <w:r>
              <w:rPr/>
              <w:t xml:space="preserve">6.75% Notes due 2029 </w:t>
            </w:r>
          </w:p>
        </w:tc>
      </w:tr>
    </w:tbl>
    <w:p>
      <w:pPr>
        <w:pStyle w:val="TextBody"/>
        <w:bidi w:val="0"/>
        <w:spacing w:before="0" w:after="0"/>
        <w:jc w:val="left"/>
        <w:rPr>
          <w:spacing w:val="0"/>
          <w:bdr w:val="single" w:sz="8" w:space="1" w:color="000000"/>
        </w:rPr>
      </w:pPr>
      <w:r>
        <w:rPr>
          <w:spacing w:val="0"/>
          <w:bdr w:val="single" w:sz="8" w:space="1" w:color="000000"/>
        </w:rPr>
        <w:t> </w:t>
      </w:r>
    </w:p>
    <w:tbl>
      <w:tblPr>
        <w:tblW w:w="4960" w:type="dxa"/>
        <w:jc w:val="left"/>
        <w:tblInd w:w="0" w:type="dxa"/>
        <w:tblLayout w:type="fixed"/>
        <w:tblCellMar>
          <w:top w:w="0" w:type="dxa"/>
          <w:left w:w="0" w:type="dxa"/>
          <w:bottom w:w="0" w:type="dxa"/>
          <w:right w:w="0" w:type="dxa"/>
        </w:tblCellMar>
      </w:tblPr>
      <w:tblGrid>
        <w:gridCol w:w="3485"/>
        <w:gridCol w:w="1475"/>
      </w:tblGrid>
      <w:tr>
        <w:trPr/>
        <w:tc>
          <w:tcPr>
            <w:tcW w:w="348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Aggregate principal amount being offered </w:t>
            </w:r>
          </w:p>
        </w:tc>
        <w:tc>
          <w:tcPr>
            <w:tcW w:w="1475" w:type="dxa"/>
            <w:tcBorders/>
            <w:vAlign w:val="center"/>
          </w:tcPr>
          <w:p>
            <w:pPr>
              <w:pStyle w:val="TableContents"/>
              <w:bidi w:val="0"/>
              <w:spacing w:before="0" w:after="283"/>
              <w:jc w:val="left"/>
              <w:rPr/>
            </w:pPr>
            <w:r>
              <w:rPr/>
              <w:t xml:space="preserve">$200.0 million </w:t>
            </w:r>
          </w:p>
        </w:tc>
      </w:tr>
    </w:tbl>
    <w:p>
      <w:pPr>
        <w:pStyle w:val="TextBody"/>
        <w:bidi w:val="0"/>
        <w:spacing w:before="0" w:after="0"/>
        <w:jc w:val="left"/>
        <w:rPr>
          <w:spacing w:val="0"/>
          <w:bdr w:val="single" w:sz="8" w:space="1" w:color="000000"/>
        </w:rPr>
      </w:pPr>
      <w:r>
        <w:rPr>
          <w:spacing w:val="0"/>
          <w:bdr w:val="single" w:sz="8" w:space="1" w:color="000000"/>
        </w:rPr>
        <w:t> </w:t>
      </w:r>
    </w:p>
    <w:tbl>
      <w:tblPr>
        <w:tblW w:w="5110" w:type="dxa"/>
        <w:jc w:val="left"/>
        <w:tblInd w:w="0" w:type="dxa"/>
        <w:tblLayout w:type="fixed"/>
        <w:tblCellMar>
          <w:top w:w="0" w:type="dxa"/>
          <w:left w:w="0" w:type="dxa"/>
          <w:bottom w:w="0" w:type="dxa"/>
          <w:right w:w="0" w:type="dxa"/>
        </w:tblCellMar>
      </w:tblPr>
      <w:tblGrid>
        <w:gridCol w:w="935"/>
        <w:gridCol w:w="4175"/>
      </w:tblGrid>
      <w:tr>
        <w:trPr/>
        <w:tc>
          <w:tcPr>
            <w:tcW w:w="93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Issue price </w:t>
            </w:r>
          </w:p>
        </w:tc>
        <w:tc>
          <w:tcPr>
            <w:tcW w:w="4175" w:type="dxa"/>
            <w:tcBorders/>
            <w:vAlign w:val="center"/>
          </w:tcPr>
          <w:p>
            <w:pPr>
              <w:pStyle w:val="TableContents"/>
              <w:bidi w:val="0"/>
              <w:spacing w:before="0" w:after="283"/>
              <w:jc w:val="left"/>
              <w:rPr/>
            </w:pPr>
            <w:r>
              <w:rPr/>
              <w:t xml:space="preserve">99.334% of the aggregate principal amount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733"/>
        <w:gridCol w:w="8472"/>
      </w:tblGrid>
      <w:tr>
        <w:trPr/>
        <w:tc>
          <w:tcPr>
            <w:tcW w:w="1733"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Principal payable at maturity </w:t>
            </w:r>
          </w:p>
        </w:tc>
        <w:tc>
          <w:tcPr>
            <w:tcW w:w="8472" w:type="dxa"/>
            <w:tcBorders/>
            <w:vAlign w:val="center"/>
          </w:tcPr>
          <w:p>
            <w:pPr>
              <w:pStyle w:val="TableContents"/>
              <w:bidi w:val="0"/>
              <w:spacing w:before="0" w:after="0"/>
              <w:jc w:val="left"/>
              <w:rPr/>
            </w:pPr>
            <w:r>
              <w:rPr/>
              <w:t xml:space="preserve">100% of the aggregate principal amount; the principal amount of each Note will be payable on its stated maturity date at the office </w:t>
            </w:r>
          </w:p>
          <w:p>
            <w:pPr>
              <w:pStyle w:val="TableContents"/>
              <w:bidi w:val="0"/>
              <w:spacing w:before="0" w:after="0"/>
              <w:jc w:val="left"/>
              <w:rPr/>
            </w:pPr>
            <w:r>
              <w:rPr/>
              <w:t xml:space="preserve">of </w:t>
            </w:r>
          </w:p>
          <w:p>
            <w:pPr>
              <w:pStyle w:val="TableContents"/>
              <w:bidi w:val="0"/>
              <w:spacing w:before="0" w:after="0"/>
              <w:jc w:val="left"/>
              <w:rPr/>
            </w:pPr>
            <w:r>
              <w:rPr/>
              <w:t xml:space="preserve">Equiniti Trust Company, LLC (the “Paying Agent” and “Registrar” for the Notes) or at such other office in New York City as we may designate.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2665" w:type="dxa"/>
        <w:jc w:val="left"/>
        <w:tblInd w:w="0" w:type="dxa"/>
        <w:tblLayout w:type="fixed"/>
        <w:tblCellMar>
          <w:top w:w="0" w:type="dxa"/>
          <w:left w:w="0" w:type="dxa"/>
          <w:bottom w:w="0" w:type="dxa"/>
          <w:right w:w="0" w:type="dxa"/>
        </w:tblCellMar>
      </w:tblPr>
      <w:tblGrid>
        <w:gridCol w:w="1145"/>
        <w:gridCol w:w="1520"/>
      </w:tblGrid>
      <w:tr>
        <w:trPr/>
        <w:tc>
          <w:tcPr>
            <w:tcW w:w="114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Type of Note </w:t>
            </w:r>
          </w:p>
        </w:tc>
        <w:tc>
          <w:tcPr>
            <w:tcW w:w="1520" w:type="dxa"/>
            <w:tcBorders/>
            <w:vAlign w:val="center"/>
          </w:tcPr>
          <w:p>
            <w:pPr>
              <w:pStyle w:val="TableContents"/>
              <w:bidi w:val="0"/>
              <w:spacing w:before="0" w:after="283"/>
              <w:jc w:val="left"/>
              <w:rPr/>
            </w:pPr>
            <w:r>
              <w:rPr/>
              <w:t xml:space="preserve">Fixed-rate note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64"/>
        <w:gridCol w:w="8941"/>
      </w:tblGrid>
      <w:tr>
        <w:trPr/>
        <w:tc>
          <w:tcPr>
            <w:tcW w:w="1264"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No established trading market </w:t>
            </w:r>
          </w:p>
        </w:tc>
        <w:tc>
          <w:tcPr>
            <w:tcW w:w="8941" w:type="dxa"/>
            <w:tcBorders/>
            <w:vAlign w:val="center"/>
          </w:tcPr>
          <w:p>
            <w:pPr>
              <w:pStyle w:val="TableContents"/>
              <w:bidi w:val="0"/>
              <w:spacing w:before="0" w:after="283"/>
              <w:jc w:val="left"/>
              <w:rPr/>
            </w:pPr>
            <w:r>
              <w:rPr/>
              <w:t xml:space="preserve">We do not intend to list the Notes on any securities exchange or automated dealer quotation system. Although certain of the underwriters have informed us that they intend to make a market in the Notes, they are not obligated to do so, and may discontinue any such market-making at any time without notice. Accordingly, we cannot assure you that a liquid market for the Notes will develop or be maintained. </w:t>
            </w:r>
          </w:p>
        </w:tc>
      </w:tr>
    </w:tbl>
    <w:p>
      <w:pPr>
        <w:pStyle w:val="TextBody"/>
        <w:bidi w:val="0"/>
        <w:spacing w:before="0" w:after="0"/>
        <w:jc w:val="left"/>
        <w:rPr>
          <w:spacing w:val="0"/>
          <w:bdr w:val="single" w:sz="8" w:space="1" w:color="000000"/>
        </w:rPr>
      </w:pPr>
      <w:r>
        <w:rPr>
          <w:spacing w:val="0"/>
          <w:bdr w:val="single" w:sz="8" w:space="1" w:color="000000"/>
        </w:rPr>
        <w:t> </w:t>
      </w:r>
    </w:p>
    <w:tbl>
      <w:tblPr>
        <w:tblW w:w="2560" w:type="dxa"/>
        <w:jc w:val="left"/>
        <w:tblInd w:w="0" w:type="dxa"/>
        <w:tblLayout w:type="fixed"/>
        <w:tblCellMar>
          <w:top w:w="0" w:type="dxa"/>
          <w:left w:w="0" w:type="dxa"/>
          <w:bottom w:w="0" w:type="dxa"/>
          <w:right w:w="0" w:type="dxa"/>
        </w:tblCellMar>
      </w:tblPr>
      <w:tblGrid>
        <w:gridCol w:w="1025"/>
        <w:gridCol w:w="1535"/>
      </w:tblGrid>
      <w:tr>
        <w:trPr/>
        <w:tc>
          <w:tcPr>
            <w:tcW w:w="102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Interest rate </w:t>
            </w:r>
          </w:p>
        </w:tc>
        <w:tc>
          <w:tcPr>
            <w:tcW w:w="1535" w:type="dxa"/>
            <w:tcBorders/>
            <w:vAlign w:val="center"/>
          </w:tcPr>
          <w:p>
            <w:pPr>
              <w:pStyle w:val="TableContents"/>
              <w:bidi w:val="0"/>
              <w:spacing w:before="0" w:after="283"/>
              <w:jc w:val="left"/>
              <w:rPr/>
            </w:pPr>
            <w:r>
              <w:rPr/>
              <w:t xml:space="preserve">6.75% per year </w:t>
            </w:r>
          </w:p>
        </w:tc>
      </w:tr>
    </w:tbl>
    <w:p>
      <w:pPr>
        <w:pStyle w:val="TextBody"/>
        <w:bidi w:val="0"/>
        <w:spacing w:before="0" w:after="0"/>
        <w:jc w:val="left"/>
        <w:rPr>
          <w:spacing w:val="0"/>
          <w:bdr w:val="single" w:sz="8" w:space="1" w:color="000000"/>
        </w:rPr>
      </w:pPr>
      <w:r>
        <w:rPr>
          <w:spacing w:val="0"/>
          <w:bdr w:val="single" w:sz="8" w:space="1" w:color="000000"/>
        </w:rPr>
        <w:t> </w:t>
      </w:r>
    </w:p>
    <w:tbl>
      <w:tblPr>
        <w:tblW w:w="3010" w:type="dxa"/>
        <w:jc w:val="left"/>
        <w:tblInd w:w="0" w:type="dxa"/>
        <w:tblLayout w:type="fixed"/>
        <w:tblCellMar>
          <w:top w:w="0" w:type="dxa"/>
          <w:left w:w="0" w:type="dxa"/>
          <w:bottom w:w="0" w:type="dxa"/>
          <w:right w:w="0" w:type="dxa"/>
        </w:tblCellMar>
      </w:tblPr>
      <w:tblGrid>
        <w:gridCol w:w="1475"/>
        <w:gridCol w:w="1535"/>
      </w:tblGrid>
      <w:tr>
        <w:trPr/>
        <w:tc>
          <w:tcPr>
            <w:tcW w:w="147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Yield to maturity </w:t>
            </w:r>
          </w:p>
        </w:tc>
        <w:tc>
          <w:tcPr>
            <w:tcW w:w="1535" w:type="dxa"/>
            <w:tcBorders/>
            <w:vAlign w:val="center"/>
          </w:tcPr>
          <w:p>
            <w:pPr>
              <w:pStyle w:val="TableContents"/>
              <w:bidi w:val="0"/>
              <w:spacing w:before="0" w:after="283"/>
              <w:jc w:val="left"/>
              <w:rPr/>
            </w:pPr>
            <w:r>
              <w:rPr/>
              <w:t xml:space="preserve">7.00% per year </w:t>
            </w:r>
          </w:p>
        </w:tc>
      </w:tr>
    </w:tbl>
    <w:p>
      <w:pPr>
        <w:pStyle w:val="TextBody"/>
        <w:bidi w:val="0"/>
        <w:spacing w:before="0" w:after="0"/>
        <w:jc w:val="left"/>
        <w:rPr>
          <w:spacing w:val="0"/>
          <w:bdr w:val="single" w:sz="8" w:space="1" w:color="000000"/>
        </w:rPr>
      </w:pPr>
      <w:r>
        <w:rPr>
          <w:spacing w:val="0"/>
          <w:bdr w:val="single" w:sz="8" w:space="1" w:color="000000"/>
        </w:rPr>
        <w:t> </w:t>
      </w:r>
    </w:p>
    <w:tbl>
      <w:tblPr>
        <w:tblW w:w="2815" w:type="dxa"/>
        <w:jc w:val="left"/>
        <w:tblInd w:w="0" w:type="dxa"/>
        <w:tblLayout w:type="fixed"/>
        <w:tblCellMar>
          <w:top w:w="0" w:type="dxa"/>
          <w:left w:w="0" w:type="dxa"/>
          <w:bottom w:w="0" w:type="dxa"/>
          <w:right w:w="0" w:type="dxa"/>
        </w:tblCellMar>
      </w:tblPr>
      <w:tblGrid>
        <w:gridCol w:w="1370"/>
        <w:gridCol w:w="1445"/>
      </w:tblGrid>
      <w:tr>
        <w:trPr/>
        <w:tc>
          <w:tcPr>
            <w:tcW w:w="1370"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Day count basis </w:t>
            </w:r>
          </w:p>
        </w:tc>
        <w:tc>
          <w:tcPr>
            <w:tcW w:w="1445" w:type="dxa"/>
            <w:tcBorders/>
            <w:vAlign w:val="center"/>
          </w:tcPr>
          <w:p>
            <w:pPr>
              <w:pStyle w:val="TableContents"/>
              <w:bidi w:val="0"/>
              <w:spacing w:before="0" w:after="0"/>
              <w:jc w:val="left"/>
              <w:rPr>
                <w:spacing w:val="0"/>
              </w:rPr>
            </w:pPr>
            <w:r>
              <w:rPr>
                <w:spacing w:val="0"/>
              </w:rPr>
              <w:t>360-day</w:t>
            </w:r>
          </w:p>
          <w:p>
            <w:pPr>
              <w:pStyle w:val="TableContents"/>
              <w:bidi w:val="0"/>
              <w:spacing w:before="0" w:after="0"/>
              <w:jc w:val="left"/>
              <w:rPr/>
            </w:pPr>
            <w:r>
              <w:rPr/>
              <w:t xml:space="preserve">year of twelve </w:t>
            </w:r>
          </w:p>
          <w:p>
            <w:pPr>
              <w:pStyle w:val="TableContents"/>
              <w:bidi w:val="0"/>
              <w:spacing w:before="0" w:after="0"/>
              <w:jc w:val="left"/>
              <w:rPr>
                <w:spacing w:val="0"/>
              </w:rPr>
            </w:pPr>
            <w:r>
              <w:rPr>
                <w:spacing w:val="0"/>
              </w:rPr>
              <w:t>30-day</w:t>
            </w:r>
          </w:p>
          <w:p>
            <w:pPr>
              <w:pStyle w:val="TableContents"/>
              <w:bidi w:val="0"/>
              <w:spacing w:before="0" w:after="0"/>
              <w:jc w:val="left"/>
              <w:rPr/>
            </w:pPr>
            <w:r>
              <w:rPr/>
              <w:t xml:space="preserve">months </w:t>
            </w:r>
          </w:p>
        </w:tc>
      </w:tr>
    </w:tbl>
    <w:p>
      <w:pPr>
        <w:pStyle w:val="TextBody"/>
        <w:bidi w:val="0"/>
        <w:spacing w:before="0" w:after="0"/>
        <w:jc w:val="left"/>
        <w:rPr>
          <w:spacing w:val="0"/>
          <w:bdr w:val="single" w:sz="8" w:space="1" w:color="000000"/>
        </w:rPr>
      </w:pPr>
      <w:r>
        <w:rPr>
          <w:spacing w:val="0"/>
          <w:bdr w:val="single" w:sz="8" w:space="1" w:color="000000"/>
        </w:rPr>
        <w:t> </w:t>
      </w:r>
    </w:p>
    <w:tbl>
      <w:tblPr>
        <w:tblW w:w="2785" w:type="dxa"/>
        <w:jc w:val="left"/>
        <w:tblInd w:w="0" w:type="dxa"/>
        <w:tblLayout w:type="fixed"/>
        <w:tblCellMar>
          <w:top w:w="0" w:type="dxa"/>
          <w:left w:w="0" w:type="dxa"/>
          <w:bottom w:w="0" w:type="dxa"/>
          <w:right w:w="0" w:type="dxa"/>
        </w:tblCellMar>
      </w:tblPr>
      <w:tblGrid>
        <w:gridCol w:w="935"/>
        <w:gridCol w:w="1850"/>
      </w:tblGrid>
      <w:tr>
        <w:trPr/>
        <w:tc>
          <w:tcPr>
            <w:tcW w:w="93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Trade date </w:t>
            </w:r>
          </w:p>
        </w:tc>
        <w:tc>
          <w:tcPr>
            <w:tcW w:w="1850" w:type="dxa"/>
            <w:tcBorders/>
            <w:vAlign w:val="center"/>
          </w:tcPr>
          <w:p>
            <w:pPr>
              <w:pStyle w:val="TableContents"/>
              <w:bidi w:val="0"/>
              <w:spacing w:before="0" w:after="283"/>
              <w:jc w:val="left"/>
              <w:rPr/>
            </w:pPr>
            <w:r>
              <w:rPr/>
              <w:t xml:space="preserve">February 25, 2026 </w:t>
            </w:r>
          </w:p>
        </w:tc>
      </w:tr>
    </w:tbl>
    <w:p>
      <w:pPr>
        <w:pStyle w:val="TextBody"/>
        <w:bidi w:val="0"/>
        <w:spacing w:before="0" w:after="0"/>
        <w:jc w:val="left"/>
        <w:rPr>
          <w:spacing w:val="0"/>
          <w:bdr w:val="single" w:sz="8" w:space="1" w:color="000000"/>
        </w:rPr>
      </w:pPr>
      <w:r>
        <w:rPr>
          <w:spacing w:val="0"/>
          <w:bdr w:val="single" w:sz="8" w:space="1" w:color="000000"/>
        </w:rPr>
        <w:t> </w:t>
      </w:r>
    </w:p>
    <w:tbl>
      <w:tblPr>
        <w:tblW w:w="3085" w:type="dxa"/>
        <w:jc w:val="left"/>
        <w:tblInd w:w="0" w:type="dxa"/>
        <w:tblLayout w:type="fixed"/>
        <w:tblCellMar>
          <w:top w:w="0" w:type="dxa"/>
          <w:left w:w="0" w:type="dxa"/>
          <w:bottom w:w="0" w:type="dxa"/>
          <w:right w:w="0" w:type="dxa"/>
        </w:tblCellMar>
      </w:tblPr>
      <w:tblGrid>
        <w:gridCol w:w="1595"/>
        <w:gridCol w:w="1490"/>
      </w:tblGrid>
      <w:tr>
        <w:trPr/>
        <w:tc>
          <w:tcPr>
            <w:tcW w:w="159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Original issue date </w:t>
            </w:r>
          </w:p>
        </w:tc>
        <w:tc>
          <w:tcPr>
            <w:tcW w:w="1490" w:type="dxa"/>
            <w:tcBorders/>
            <w:vAlign w:val="center"/>
          </w:tcPr>
          <w:p>
            <w:pPr>
              <w:pStyle w:val="TableContents"/>
              <w:bidi w:val="0"/>
              <w:spacing w:before="0" w:after="283"/>
              <w:jc w:val="left"/>
              <w:rPr/>
            </w:pPr>
            <w:r>
              <w:rPr/>
              <w:t xml:space="preserve">March 4, 2026 </w:t>
            </w:r>
          </w:p>
        </w:tc>
      </w:tr>
    </w:tbl>
    <w:p>
      <w:pPr>
        <w:pStyle w:val="TextBody"/>
        <w:bidi w:val="0"/>
        <w:spacing w:before="0" w:after="0"/>
        <w:jc w:val="left"/>
        <w:rPr>
          <w:spacing w:val="0"/>
          <w:bdr w:val="single" w:sz="8" w:space="1" w:color="000000"/>
        </w:rPr>
      </w:pPr>
      <w:r>
        <w:rPr>
          <w:spacing w:val="0"/>
          <w:bdr w:val="single" w:sz="8" w:space="1" w:color="000000"/>
        </w:rPr>
        <w:t> </w:t>
      </w:r>
    </w:p>
    <w:tbl>
      <w:tblPr>
        <w:tblW w:w="3205" w:type="dxa"/>
        <w:jc w:val="left"/>
        <w:tblInd w:w="0" w:type="dxa"/>
        <w:tblLayout w:type="fixed"/>
        <w:tblCellMar>
          <w:top w:w="0" w:type="dxa"/>
          <w:left w:w="0" w:type="dxa"/>
          <w:bottom w:w="0" w:type="dxa"/>
          <w:right w:w="0" w:type="dxa"/>
        </w:tblCellMar>
      </w:tblPr>
      <w:tblGrid>
        <w:gridCol w:w="1715"/>
        <w:gridCol w:w="1490"/>
      </w:tblGrid>
      <w:tr>
        <w:trPr/>
        <w:tc>
          <w:tcPr>
            <w:tcW w:w="171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Stated maturity date </w:t>
            </w:r>
          </w:p>
        </w:tc>
        <w:tc>
          <w:tcPr>
            <w:tcW w:w="1490" w:type="dxa"/>
            <w:tcBorders/>
            <w:vAlign w:val="center"/>
          </w:tcPr>
          <w:p>
            <w:pPr>
              <w:pStyle w:val="TableContents"/>
              <w:bidi w:val="0"/>
              <w:spacing w:before="0" w:after="283"/>
              <w:jc w:val="left"/>
              <w:rPr/>
            </w:pPr>
            <w:r>
              <w:rPr/>
              <w:t xml:space="preserve">March 4, 2029 </w:t>
            </w:r>
          </w:p>
        </w:tc>
      </w:tr>
    </w:tbl>
    <w:p>
      <w:pPr>
        <w:pStyle w:val="TextBody"/>
        <w:bidi w:val="0"/>
        <w:spacing w:before="0" w:after="0"/>
        <w:jc w:val="left"/>
        <w:rPr>
          <w:spacing w:val="0"/>
          <w:bdr w:val="single" w:sz="8" w:space="1" w:color="000000"/>
        </w:rPr>
      </w:pPr>
      <w:r>
        <w:rPr>
          <w:spacing w:val="0"/>
          <w:bdr w:val="single" w:sz="8" w:space="1" w:color="000000"/>
        </w:rPr>
        <w:t> </w:t>
      </w:r>
    </w:p>
    <w:tbl>
      <w:tblPr>
        <w:tblW w:w="3805" w:type="dxa"/>
        <w:jc w:val="left"/>
        <w:tblInd w:w="0" w:type="dxa"/>
        <w:tblLayout w:type="fixed"/>
        <w:tblCellMar>
          <w:top w:w="0" w:type="dxa"/>
          <w:left w:w="0" w:type="dxa"/>
          <w:bottom w:w="0" w:type="dxa"/>
          <w:right w:w="0" w:type="dxa"/>
        </w:tblCellMar>
      </w:tblPr>
      <w:tblGrid>
        <w:gridCol w:w="2315"/>
        <w:gridCol w:w="1490"/>
      </w:tblGrid>
      <w:tr>
        <w:trPr/>
        <w:tc>
          <w:tcPr>
            <w:tcW w:w="231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Date interest starts accruing </w:t>
            </w:r>
          </w:p>
        </w:tc>
        <w:tc>
          <w:tcPr>
            <w:tcW w:w="1490" w:type="dxa"/>
            <w:tcBorders/>
            <w:vAlign w:val="center"/>
          </w:tcPr>
          <w:p>
            <w:pPr>
              <w:pStyle w:val="TableContents"/>
              <w:bidi w:val="0"/>
              <w:spacing w:before="0" w:after="283"/>
              <w:jc w:val="left"/>
              <w:rPr/>
            </w:pPr>
            <w:r>
              <w:rPr/>
              <w:t xml:space="preserve">March 4, 2026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S-2 </w:t>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410"/>
        <w:gridCol w:w="8795"/>
      </w:tblGrid>
      <w:tr>
        <w:trPr/>
        <w:tc>
          <w:tcPr>
            <w:tcW w:w="1410"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Interest payment dates </w:t>
            </w:r>
          </w:p>
        </w:tc>
        <w:tc>
          <w:tcPr>
            <w:tcW w:w="8795" w:type="dxa"/>
            <w:tcBorders/>
            <w:vAlign w:val="center"/>
          </w:tcPr>
          <w:p>
            <w:pPr>
              <w:pStyle w:val="TableContents"/>
              <w:bidi w:val="0"/>
              <w:spacing w:before="0" w:after="0"/>
              <w:jc w:val="left"/>
              <w:rPr/>
            </w:pPr>
            <w:r>
              <w:rPr/>
              <w:t xml:space="preserve">Every March 4 and September 4, commencing September 4, 2026. If an interest payment date is a </w:t>
            </w:r>
          </w:p>
          <w:p>
            <w:pPr>
              <w:pStyle w:val="TableContents"/>
              <w:bidi w:val="0"/>
              <w:spacing w:before="0" w:after="0"/>
              <w:jc w:val="left"/>
              <w:rPr/>
            </w:pPr>
            <w:r>
              <w:rPr/>
              <w:t>non-business</w:t>
            </w:r>
          </w:p>
          <w:p>
            <w:pPr>
              <w:pStyle w:val="TableContents"/>
              <w:bidi w:val="0"/>
              <w:spacing w:before="0" w:after="0"/>
              <w:jc w:val="left"/>
              <w:rPr/>
            </w:pPr>
            <w:r>
              <w:rPr/>
              <w:t xml:space="preserve">day, the applicable interest payment will be made on the next business day, and no additional interest will accrue as a result of such delayed payment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68"/>
        <w:gridCol w:w="9237"/>
      </w:tblGrid>
      <w:tr>
        <w:trPr/>
        <w:tc>
          <w:tcPr>
            <w:tcW w:w="968"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Interest periods </w:t>
            </w:r>
          </w:p>
        </w:tc>
        <w:tc>
          <w:tcPr>
            <w:tcW w:w="9237" w:type="dxa"/>
            <w:tcBorders/>
            <w:vAlign w:val="center"/>
          </w:tcPr>
          <w:p>
            <w:pPr>
              <w:pStyle w:val="TableContents"/>
              <w:bidi w:val="0"/>
              <w:spacing w:before="0" w:after="0"/>
              <w:jc w:val="left"/>
              <w:rPr/>
            </w:pPr>
            <w:r>
              <w:rPr/>
              <w:t xml:space="preserve">The initial interest period will be the period from and including March 4, 2026 to, but excluding, the initial interest payment date, </w:t>
            </w:r>
          </w:p>
          <w:p>
            <w:pPr>
              <w:pStyle w:val="TableContents"/>
              <w:bidi w:val="0"/>
              <w:spacing w:before="0" w:after="0"/>
              <w:jc w:val="left"/>
              <w:rPr/>
            </w:pPr>
            <w:r>
              <w:rPr/>
              <w:t xml:space="preserve">and </w:t>
            </w:r>
          </w:p>
          <w:p>
            <w:pPr>
              <w:pStyle w:val="TableContents"/>
              <w:bidi w:val="0"/>
              <w:spacing w:before="0" w:after="0"/>
              <w:jc w:val="left"/>
              <w:rPr/>
            </w:pPr>
            <w:r>
              <w:rPr/>
              <w:t xml:space="preserve">the subsequent interest periods will be the periods from and including an interest payment date to, but excluding, the next interest payment date or the stated maturity date, as the case may be.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05"/>
        <w:gridCol w:w="7900"/>
      </w:tblGrid>
      <w:tr>
        <w:trPr/>
        <w:tc>
          <w:tcPr>
            <w:tcW w:w="230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Regular record dates for interest </w:t>
            </w:r>
          </w:p>
        </w:tc>
        <w:tc>
          <w:tcPr>
            <w:tcW w:w="7900" w:type="dxa"/>
            <w:tcBorders/>
            <w:vAlign w:val="center"/>
          </w:tcPr>
          <w:p>
            <w:pPr>
              <w:pStyle w:val="TableContents"/>
              <w:bidi w:val="0"/>
              <w:spacing w:before="0" w:after="0"/>
              <w:jc w:val="left"/>
              <w:rPr/>
            </w:pPr>
            <w:r>
              <w:rPr/>
              <w:t xml:space="preserve">Every February 20 and August 20, commencing August 20, 2026; if a record date for interest is a </w:t>
            </w:r>
          </w:p>
          <w:p>
            <w:pPr>
              <w:pStyle w:val="TableContents"/>
              <w:bidi w:val="0"/>
              <w:spacing w:before="0" w:after="0"/>
              <w:jc w:val="left"/>
              <w:rPr/>
            </w:pPr>
            <w:r>
              <w:rPr/>
              <w:t>non-business</w:t>
            </w:r>
          </w:p>
          <w:p>
            <w:pPr>
              <w:pStyle w:val="TableContents"/>
              <w:bidi w:val="0"/>
              <w:spacing w:before="0" w:after="0"/>
              <w:jc w:val="left"/>
              <w:rPr/>
            </w:pPr>
            <w:r>
              <w:rPr/>
              <w:t xml:space="preserve">day, then that record date will be the next business day. </w:t>
            </w:r>
          </w:p>
        </w:tc>
      </w:tr>
    </w:tbl>
    <w:p>
      <w:pPr>
        <w:pStyle w:val="TextBody"/>
        <w:bidi w:val="0"/>
        <w:spacing w:before="0" w:after="0"/>
        <w:jc w:val="left"/>
        <w:rPr>
          <w:spacing w:val="0"/>
          <w:bdr w:val="single" w:sz="8" w:space="1" w:color="000000"/>
        </w:rPr>
      </w:pPr>
      <w:r>
        <w:rPr>
          <w:spacing w:val="0"/>
          <w:bdr w:val="single" w:sz="8" w:space="1" w:color="000000"/>
        </w:rPr>
        <w:t> </w:t>
      </w:r>
    </w:p>
    <w:tbl>
      <w:tblPr>
        <w:tblW w:w="2875" w:type="dxa"/>
        <w:jc w:val="left"/>
        <w:tblInd w:w="0" w:type="dxa"/>
        <w:tblLayout w:type="fixed"/>
        <w:tblCellMar>
          <w:top w:w="0" w:type="dxa"/>
          <w:left w:w="0" w:type="dxa"/>
          <w:bottom w:w="0" w:type="dxa"/>
          <w:right w:w="0" w:type="dxa"/>
        </w:tblCellMar>
      </w:tblPr>
      <w:tblGrid>
        <w:gridCol w:w="1595"/>
        <w:gridCol w:w="1280"/>
      </w:tblGrid>
      <w:tr>
        <w:trPr/>
        <w:tc>
          <w:tcPr>
            <w:tcW w:w="159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Specified currency </w:t>
            </w:r>
          </w:p>
        </w:tc>
        <w:tc>
          <w:tcPr>
            <w:tcW w:w="1280" w:type="dxa"/>
            <w:tcBorders/>
            <w:vAlign w:val="center"/>
          </w:tcPr>
          <w:p>
            <w:pPr>
              <w:pStyle w:val="TableContents"/>
              <w:bidi w:val="0"/>
              <w:spacing w:before="0" w:after="283"/>
              <w:jc w:val="left"/>
              <w:rPr/>
            </w:pPr>
            <w:r>
              <w:rPr/>
              <w:t xml:space="preserve">U.S. Dollars </w:t>
            </w:r>
          </w:p>
        </w:tc>
      </w:tr>
    </w:tbl>
    <w:p>
      <w:pPr>
        <w:pStyle w:val="TextBody"/>
        <w:bidi w:val="0"/>
        <w:spacing w:before="0" w:after="0"/>
        <w:jc w:val="left"/>
        <w:rPr>
          <w:spacing w:val="0"/>
          <w:bdr w:val="single" w:sz="8" w:space="1" w:color="000000"/>
        </w:rPr>
      </w:pPr>
      <w:r>
        <w:rPr>
          <w:spacing w:val="0"/>
          <w:bdr w:val="single" w:sz="8" w:space="1" w:color="000000"/>
        </w:rPr>
        <w:t> </w:t>
      </w:r>
    </w:p>
    <w:tbl>
      <w:tblPr>
        <w:tblW w:w="3745" w:type="dxa"/>
        <w:jc w:val="left"/>
        <w:tblInd w:w="0" w:type="dxa"/>
        <w:tblLayout w:type="fixed"/>
        <w:tblCellMar>
          <w:top w:w="0" w:type="dxa"/>
          <w:left w:w="0" w:type="dxa"/>
          <w:bottom w:w="0" w:type="dxa"/>
          <w:right w:w="0" w:type="dxa"/>
        </w:tblCellMar>
      </w:tblPr>
      <w:tblGrid>
        <w:gridCol w:w="1475"/>
        <w:gridCol w:w="2270"/>
      </w:tblGrid>
      <w:tr>
        <w:trPr/>
        <w:tc>
          <w:tcPr>
            <w:tcW w:w="147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Place of payment </w:t>
            </w:r>
          </w:p>
        </w:tc>
        <w:tc>
          <w:tcPr>
            <w:tcW w:w="2270" w:type="dxa"/>
            <w:tcBorders/>
            <w:vAlign w:val="center"/>
          </w:tcPr>
          <w:p>
            <w:pPr>
              <w:pStyle w:val="TableContents"/>
              <w:bidi w:val="0"/>
              <w:spacing w:before="0" w:after="283"/>
              <w:jc w:val="left"/>
              <w:rPr/>
            </w:pPr>
            <w:r>
              <w:rPr/>
              <w:t xml:space="preserve">The City of New York </w:t>
            </w:r>
          </w:p>
        </w:tc>
      </w:tr>
    </w:tbl>
    <w:p>
      <w:pPr>
        <w:pStyle w:val="TextBody"/>
        <w:bidi w:val="0"/>
        <w:spacing w:before="0" w:after="0"/>
        <w:jc w:val="left"/>
        <w:rPr>
          <w:spacing w:val="0"/>
          <w:bdr w:val="single" w:sz="8" w:space="1" w:color="000000"/>
        </w:rPr>
      </w:pPr>
      <w:r>
        <w:rPr>
          <w:spacing w:val="0"/>
          <w:bdr w:val="single" w:sz="8" w:space="1" w:color="000000"/>
        </w:rPr>
        <w:t> </w:t>
      </w:r>
    </w:p>
    <w:tbl>
      <w:tblPr>
        <w:tblW w:w="7735" w:type="dxa"/>
        <w:jc w:val="left"/>
        <w:tblInd w:w="0" w:type="dxa"/>
        <w:tblLayout w:type="fixed"/>
        <w:tblCellMar>
          <w:top w:w="0" w:type="dxa"/>
          <w:left w:w="0" w:type="dxa"/>
          <w:bottom w:w="0" w:type="dxa"/>
          <w:right w:w="0" w:type="dxa"/>
        </w:tblCellMar>
      </w:tblPr>
      <w:tblGrid>
        <w:gridCol w:w="1505"/>
        <w:gridCol w:w="6230"/>
      </w:tblGrid>
      <w:tr>
        <w:trPr/>
        <w:tc>
          <w:tcPr>
            <w:tcW w:w="150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Ranking of Notes </w:t>
            </w:r>
          </w:p>
        </w:tc>
        <w:tc>
          <w:tcPr>
            <w:tcW w:w="6230" w:type="dxa"/>
            <w:tcBorders/>
            <w:vAlign w:val="center"/>
          </w:tcPr>
          <w:p>
            <w:pPr>
              <w:pStyle w:val="TableContents"/>
              <w:bidi w:val="0"/>
              <w:spacing w:before="0" w:after="283"/>
              <w:jc w:val="left"/>
              <w:rPr/>
            </w:pPr>
            <w:r>
              <w:rPr/>
              <w:t xml:space="preserve">The Notes will be our direct unsecured obligations and will rank: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pari passu</w:t>
            </w:r>
          </w:p>
          <w:p>
            <w:pPr>
              <w:pStyle w:val="TableContents"/>
              <w:bidi w:val="0"/>
              <w:spacing w:before="0" w:after="0"/>
              <w:jc w:val="left"/>
              <w:rPr>
                <w:rFonts w:ascii="Times New Roman" w:hAnsi="Times New Roman"/>
                <w:sz w:val="20"/>
              </w:rPr>
            </w:pPr>
            <w:r>
              <w:rPr>
                <w:rFonts w:ascii="Times New Roman" w:hAnsi="Times New Roman"/>
                <w:sz w:val="20"/>
              </w:rPr>
              <w:t xml:space="preserve">in right of payment with any existing and future unsecured unsubordinated indebtedness, including approximately $185.0 million in aggregate principal amount outstanding under our 4.25% Notes due 2026 (the “2026 Notes”) as </w:t>
            </w:r>
          </w:p>
          <w:p>
            <w:pPr>
              <w:pStyle w:val="TableContents"/>
              <w:bidi w:val="0"/>
              <w:spacing w:before="0" w:after="0"/>
              <w:jc w:val="left"/>
              <w:rPr>
                <w:rFonts w:ascii="Times New Roman" w:hAnsi="Times New Roman"/>
                <w:sz w:val="20"/>
              </w:rPr>
            </w:pPr>
            <w:r>
              <w:rPr>
                <w:rFonts w:ascii="Times New Roman" w:hAnsi="Times New Roman"/>
                <w:sz w:val="20"/>
              </w:rPr>
              <w:t xml:space="preserve">of </w:t>
            </w:r>
          </w:p>
          <w:p>
            <w:pPr>
              <w:pStyle w:val="TableContents"/>
              <w:bidi w:val="0"/>
              <w:spacing w:before="0" w:after="0"/>
              <w:jc w:val="left"/>
              <w:rPr>
                <w:rFonts w:ascii="Times New Roman" w:hAnsi="Times New Roman"/>
                <w:sz w:val="20"/>
              </w:rPr>
            </w:pPr>
            <w:r>
              <w:rPr>
                <w:rFonts w:ascii="Times New Roman" w:hAnsi="Times New Roman"/>
                <w:sz w:val="20"/>
              </w:rPr>
              <w:t xml:space="preserve">December 31, 2025; </w:t>
            </w:r>
          </w:p>
        </w:tc>
      </w:tr>
    </w:tbl>
    <w:p>
      <w:pPr>
        <w:pStyle w:val="TextBody"/>
        <w:bidi w:val="0"/>
        <w:spacing w:before="0" w:after="0"/>
        <w:jc w:val="left"/>
        <w:rPr>
          <w:spacing w:val="0"/>
          <w:bdr w:val="single" w:sz="8" w:space="1" w:color="000000"/>
        </w:rPr>
      </w:pPr>
      <w:r>
        <w:rPr>
          <w:spacing w:val="0"/>
          <w:bdr w:val="single" w:sz="8" w:space="1" w:color="000000"/>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senior to any of our future indebtedness that is expressly subordinated in right of payment to the Notes; </w:t>
            </w:r>
          </w:p>
        </w:tc>
      </w:tr>
    </w:tbl>
    <w:p>
      <w:pPr>
        <w:pStyle w:val="TextBody"/>
        <w:bidi w:val="0"/>
        <w:spacing w:before="0" w:after="0"/>
        <w:jc w:val="left"/>
        <w:rPr>
          <w:spacing w:val="0"/>
          <w:bdr w:val="single" w:sz="8" w:space="1" w:color="000000"/>
        </w:rPr>
      </w:pPr>
      <w:r>
        <w:rPr>
          <w:spacing w:val="0"/>
          <w:bdr w:val="single" w:sz="8" w:space="1" w:color="000000"/>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senior to any series of preferred stock that we may issue in the future;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effectively subordinated in right of payment to all of our existing and future secured indebtedness (including indebtedness that is initially unsecured, but to which we subsequently grant security), to the extent of the value of the assets securing such indebtedness; and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financing vehicles or similar facilities, including without limitation, approximately (i) $488.9 million of borrowings outstanding under our multi-currency senior secured revolving credit facility, as amended and restated with Truist Bank and other lenders (the “Credit Facility”) as of December 31, 2025 and (ii) $287.0 million of our 2036 Asset-Backed Debt, $287.0 million of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2036-R</w:t>
            </w:r>
          </w:p>
          <w:p>
            <w:pPr>
              <w:pStyle w:val="TableContents"/>
              <w:bidi w:val="0"/>
              <w:spacing w:before="0" w:after="0"/>
              <w:jc w:val="left"/>
              <w:rPr>
                <w:rFonts w:ascii="Times New Roman" w:hAnsi="Times New Roman"/>
                <w:sz w:val="20"/>
              </w:rPr>
            </w:pPr>
            <w:r>
              <w:rPr>
                <w:rFonts w:ascii="Times New Roman" w:hAnsi="Times New Roman"/>
                <w:sz w:val="20"/>
              </w:rPr>
              <w:t xml:space="preserve">Asset-Backed Debt and $389.5 million of our 2037 Asset-Backed Debt (collectively, the “Asset-Backed Debt”) as of December 31, 2025.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S-3 </w:t>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Denominations </w:t>
            </w:r>
          </w:p>
        </w:tc>
        <w:tc>
          <w:tcPr>
            <w:tcW w:w="8885" w:type="dxa"/>
            <w:tcBorders/>
            <w:vAlign w:val="center"/>
          </w:tcPr>
          <w:p>
            <w:pPr>
              <w:pStyle w:val="TableContents"/>
              <w:bidi w:val="0"/>
              <w:spacing w:before="0" w:after="283"/>
              <w:jc w:val="left"/>
              <w:rPr/>
            </w:pPr>
            <w:r>
              <w:rPr/>
              <w:t xml:space="preserve">We will issue the Notes in denominations of $2,000 and integral multiples of $1,000 in excess thereof.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39"/>
        <w:gridCol w:w="9266"/>
      </w:tblGrid>
      <w:tr>
        <w:trPr/>
        <w:tc>
          <w:tcPr>
            <w:tcW w:w="939"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Business day </w:t>
            </w:r>
          </w:p>
        </w:tc>
        <w:tc>
          <w:tcPr>
            <w:tcW w:w="9266" w:type="dxa"/>
            <w:tcBorders/>
            <w:vAlign w:val="center"/>
          </w:tcPr>
          <w:p>
            <w:pPr>
              <w:pStyle w:val="TableContents"/>
              <w:bidi w:val="0"/>
              <w:spacing w:before="0" w:after="283"/>
              <w:jc w:val="left"/>
              <w:rPr/>
            </w:pPr>
            <w:r>
              <w:rPr/>
              <w:t xml:space="preserve">Each Monday, Tuesday, Wednesday, Thursday and Friday that is not a day on which banking institutions in The City of New York are authorized or required by law or executive order to close.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163"/>
        <w:gridCol w:w="9042"/>
      </w:tblGrid>
      <w:tr>
        <w:trPr/>
        <w:tc>
          <w:tcPr>
            <w:tcW w:w="1163"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Optional Redemption </w:t>
            </w:r>
          </w:p>
        </w:tc>
        <w:tc>
          <w:tcPr>
            <w:tcW w:w="9042" w:type="dxa"/>
            <w:tcBorders/>
            <w:vAlign w:val="center"/>
          </w:tcPr>
          <w:p>
            <w:pPr>
              <w:pStyle w:val="TableContents"/>
              <w:bidi w:val="0"/>
              <w:spacing w:before="0" w:after="0"/>
              <w:jc w:val="left"/>
              <w:rPr/>
            </w:pPr>
            <w:r>
              <w:rPr/>
              <w:t xml:space="preserve">Prior to December 4, 2028 (three months prior to maturity date of the Notes) (the “Par Call Date”), we may redeem the Notes at our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matured on the Par Call Date) on a semi-annual basis (assuming a </w:t>
            </w:r>
          </w:p>
          <w:p>
            <w:pPr>
              <w:pStyle w:val="TableContents"/>
              <w:bidi w:val="0"/>
              <w:spacing w:before="0" w:after="0"/>
              <w:jc w:val="left"/>
              <w:rPr>
                <w:spacing w:val="0"/>
              </w:rPr>
            </w:pPr>
            <w:r>
              <w:rPr>
                <w:spacing w:val="0"/>
              </w:rPr>
              <w:t>360-day</w:t>
            </w:r>
          </w:p>
          <w:p>
            <w:pPr>
              <w:pStyle w:val="TableContents"/>
              <w:bidi w:val="0"/>
              <w:spacing w:before="0" w:after="0"/>
              <w:jc w:val="left"/>
              <w:rPr/>
            </w:pPr>
            <w:r>
              <w:rPr/>
              <w:t xml:space="preserve">year consisting of twelve </w:t>
            </w:r>
          </w:p>
          <w:p>
            <w:pPr>
              <w:pStyle w:val="TableContents"/>
              <w:bidi w:val="0"/>
              <w:spacing w:before="0" w:after="0"/>
              <w:jc w:val="left"/>
              <w:rPr>
                <w:spacing w:val="0"/>
              </w:rPr>
            </w:pPr>
            <w:r>
              <w:rPr>
                <w:spacing w:val="0"/>
              </w:rPr>
              <w:t>30-day</w:t>
            </w:r>
          </w:p>
          <w:p>
            <w:pPr>
              <w:pStyle w:val="TableContents"/>
              <w:bidi w:val="0"/>
              <w:spacing w:before="0" w:after="0"/>
              <w:jc w:val="left"/>
              <w:rPr/>
            </w:pPr>
            <w:r>
              <w:rPr/>
              <w:t xml:space="preserve">months) at the Treasury Rate plus 50 basis points less (b) interest accrued to the date of redemption, and (2) 100% of the principal amount of the Notes to be redeemed, plus, in either case, accrued and unpaid interest thereon to the redemption date.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On or after the Par Call Date, we may redeem the Notes, in whole or in part, at any time and from time to time, at a redemption price equal to 100% of the principal amount of the Notes being redeemed plus accrued and unpaid interest thereon to the redemption date.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Any exercise of our option to redeem the Notes will be done in compliance with the 1940 Act and the related rules, regulations and interpretations, to the extent applicable.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If we redeem only some of the Notes, Equiniti Trust Company, LLC, as trustee (in such capacity or any successor trustee under the indenture, the “Trustee”), or DTC, as applicable, will determine the method for selection of the particular Notes to be redeemed, in accordance with the 1940 Act, to the extent applicable. Unless we default in payment of the redemption price, on and after the date of redemption interest will cease to accrue on the Notes called for redemption.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43"/>
        <w:gridCol w:w="8562"/>
      </w:tblGrid>
      <w:tr>
        <w:trPr/>
        <w:tc>
          <w:tcPr>
            <w:tcW w:w="1643"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Offer to Purchase upon a Change of Control Repurchase Event </w:t>
            </w:r>
          </w:p>
        </w:tc>
        <w:tc>
          <w:tcPr>
            <w:tcW w:w="8562" w:type="dxa"/>
            <w:tcBorders/>
            <w:vAlign w:val="center"/>
          </w:tcPr>
          <w:p>
            <w:pPr>
              <w:pStyle w:val="TableContents"/>
              <w:bidi w:val="0"/>
              <w:spacing w:before="0" w:after="0"/>
              <w:jc w:val="left"/>
              <w:rPr/>
            </w:pPr>
            <w:r>
              <w:rPr/>
              <w:t>If a Change of Control Repurchase Event (as described under “</w:t>
            </w:r>
          </w:p>
          <w:p>
            <w:pPr>
              <w:pStyle w:val="TableContents"/>
              <w:bidi w:val="0"/>
              <w:spacing w:before="0" w:after="0"/>
              <w:jc w:val="left"/>
              <w:rPr>
                <w:i/>
                <w:caps w:val="false"/>
                <w:smallCaps w:val="false"/>
                <w:spacing w:val="0"/>
              </w:rPr>
            </w:pPr>
            <w:r>
              <w:rPr>
                <w:i/>
                <w:caps w:val="false"/>
                <w:smallCaps w:val="false"/>
                <w:spacing w:val="0"/>
              </w:rPr>
              <w:t>Description of the Notes</w:t>
            </w:r>
          </w:p>
          <w:p>
            <w:pPr>
              <w:pStyle w:val="TableContents"/>
              <w:bidi w:val="0"/>
              <w:spacing w:before="0" w:after="0"/>
              <w:jc w:val="left"/>
              <w:rPr/>
            </w:pPr>
            <w:r>
              <w:rPr/>
              <w:t>”</w:t>
            </w:r>
            <w:r>
              <w:rPr/>
              <w:t xml:space="preserve">)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 </w:t>
            </w:r>
          </w:p>
        </w:tc>
      </w:tr>
    </w:tbl>
    <w:p>
      <w:pPr>
        <w:pStyle w:val="TextBody"/>
        <w:bidi w:val="0"/>
        <w:spacing w:before="0" w:after="0"/>
        <w:jc w:val="left"/>
        <w:rPr>
          <w:spacing w:val="0"/>
          <w:bdr w:val="single" w:sz="8" w:space="1" w:color="000000"/>
        </w:rPr>
      </w:pPr>
      <w:r>
        <w:rPr>
          <w:spacing w:val="0"/>
          <w:bdr w:val="single" w:sz="8" w:space="1" w:color="000000"/>
        </w:rPr>
        <w:t> </w:t>
      </w:r>
    </w:p>
    <w:tbl>
      <w:tblPr>
        <w:tblW w:w="5965" w:type="dxa"/>
        <w:jc w:val="left"/>
        <w:tblInd w:w="0" w:type="dxa"/>
        <w:tblLayout w:type="fixed"/>
        <w:tblCellMar>
          <w:top w:w="0" w:type="dxa"/>
          <w:left w:w="0" w:type="dxa"/>
          <w:bottom w:w="0" w:type="dxa"/>
          <w:right w:w="0" w:type="dxa"/>
        </w:tblCellMar>
      </w:tblPr>
      <w:tblGrid>
        <w:gridCol w:w="1145"/>
        <w:gridCol w:w="4820"/>
      </w:tblGrid>
      <w:tr>
        <w:trPr/>
        <w:tc>
          <w:tcPr>
            <w:tcW w:w="114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Sinking fund </w:t>
            </w:r>
          </w:p>
        </w:tc>
        <w:tc>
          <w:tcPr>
            <w:tcW w:w="4820" w:type="dxa"/>
            <w:tcBorders/>
            <w:vAlign w:val="center"/>
          </w:tcPr>
          <w:p>
            <w:pPr>
              <w:pStyle w:val="TableContents"/>
              <w:bidi w:val="0"/>
              <w:spacing w:before="0" w:after="283"/>
              <w:jc w:val="left"/>
              <w:rPr/>
            </w:pPr>
            <w:r>
              <w:rPr/>
              <w:t xml:space="preserve">The Notes will not be subject to any sinking fund.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 </w:t>
      </w:r>
    </w:p>
    <w:p>
      <w:pPr>
        <w:pStyle w:val="HorizontalLine"/>
        <w:bidi w:val="0"/>
        <w:jc w:val="left"/>
        <w:rPr/>
      </w:pPr>
      <w:r>
        <w:rPr/>
      </w:r>
    </w:p>
    <w:tbl>
      <w:tblPr>
        <w:tblW w:w="5110" w:type="dxa"/>
        <w:jc w:val="left"/>
        <w:tblInd w:w="0" w:type="dxa"/>
        <w:tblLayout w:type="fixed"/>
        <w:tblCellMar>
          <w:top w:w="0" w:type="dxa"/>
          <w:left w:w="0" w:type="dxa"/>
          <w:bottom w:w="0" w:type="dxa"/>
          <w:right w:w="0" w:type="dxa"/>
        </w:tblCellMar>
      </w:tblPr>
      <w:tblGrid>
        <w:gridCol w:w="995"/>
        <w:gridCol w:w="4115"/>
      </w:tblGrid>
      <w:tr>
        <w:trPr/>
        <w:tc>
          <w:tcPr>
            <w:tcW w:w="99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Defeasance </w:t>
            </w:r>
          </w:p>
        </w:tc>
        <w:tc>
          <w:tcPr>
            <w:tcW w:w="4115" w:type="dxa"/>
            <w:tcBorders/>
            <w:vAlign w:val="center"/>
          </w:tcPr>
          <w:p>
            <w:pPr>
              <w:pStyle w:val="TableContents"/>
              <w:bidi w:val="0"/>
              <w:spacing w:before="0" w:after="283"/>
              <w:jc w:val="left"/>
              <w:rPr/>
            </w:pPr>
            <w:r>
              <w:rPr/>
              <w:t xml:space="preserve">The Notes are subject to defeasance by us. </w:t>
            </w:r>
          </w:p>
        </w:tc>
      </w:tr>
    </w:tbl>
    <w:p>
      <w:pPr>
        <w:pStyle w:val="TextBody"/>
        <w:bidi w:val="0"/>
        <w:spacing w:before="0" w:after="0"/>
        <w:jc w:val="left"/>
        <w:rPr>
          <w:spacing w:val="0"/>
          <w:bdr w:val="single" w:sz="8" w:space="1" w:color="000000"/>
        </w:rPr>
      </w:pPr>
      <w:r>
        <w:rPr>
          <w:spacing w:val="0"/>
          <w:bdr w:val="single" w:sz="8" w:space="1" w:color="000000"/>
        </w:rPr>
        <w:t> </w:t>
      </w:r>
    </w:p>
    <w:tbl>
      <w:tblPr>
        <w:tblW w:w="6835" w:type="dxa"/>
        <w:jc w:val="left"/>
        <w:tblInd w:w="0" w:type="dxa"/>
        <w:tblLayout w:type="fixed"/>
        <w:tblCellMar>
          <w:top w:w="0" w:type="dxa"/>
          <w:left w:w="0" w:type="dxa"/>
          <w:bottom w:w="0" w:type="dxa"/>
          <w:right w:w="0" w:type="dxa"/>
        </w:tblCellMar>
      </w:tblPr>
      <w:tblGrid>
        <w:gridCol w:w="1805"/>
        <w:gridCol w:w="5030"/>
      </w:tblGrid>
      <w:tr>
        <w:trPr/>
        <w:tc>
          <w:tcPr>
            <w:tcW w:w="180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Covenant defeasance </w:t>
            </w:r>
          </w:p>
        </w:tc>
        <w:tc>
          <w:tcPr>
            <w:tcW w:w="5030" w:type="dxa"/>
            <w:tcBorders/>
            <w:vAlign w:val="center"/>
          </w:tcPr>
          <w:p>
            <w:pPr>
              <w:pStyle w:val="TableContents"/>
              <w:bidi w:val="0"/>
              <w:spacing w:before="0" w:after="283"/>
              <w:jc w:val="left"/>
              <w:rPr/>
            </w:pPr>
            <w:r>
              <w:rPr/>
              <w:t xml:space="preserve">The Notes are subject to covenant defeasance by us.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613"/>
        <w:gridCol w:w="9592"/>
      </w:tblGrid>
      <w:tr>
        <w:trPr/>
        <w:tc>
          <w:tcPr>
            <w:tcW w:w="613"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Form of Notes </w:t>
            </w:r>
          </w:p>
        </w:tc>
        <w:tc>
          <w:tcPr>
            <w:tcW w:w="9592" w:type="dxa"/>
            <w:tcBorders/>
            <w:vAlign w:val="center"/>
          </w:tcPr>
          <w:p>
            <w:pPr>
              <w:pStyle w:val="TableContents"/>
              <w:bidi w:val="0"/>
              <w:spacing w:before="0" w:after="283"/>
              <w:jc w:val="left"/>
              <w:rPr/>
            </w:pPr>
            <w:r>
              <w:rPr/>
              <w:t xml:space="preserve">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 </w:t>
            </w:r>
          </w:p>
        </w:tc>
      </w:tr>
    </w:tbl>
    <w:p>
      <w:pPr>
        <w:pStyle w:val="TextBody"/>
        <w:bidi w:val="0"/>
        <w:spacing w:before="0" w:after="0"/>
        <w:jc w:val="left"/>
        <w:rPr>
          <w:spacing w:val="0"/>
          <w:bdr w:val="single" w:sz="8" w:space="1" w:color="000000"/>
        </w:rPr>
      </w:pPr>
      <w:r>
        <w:rPr>
          <w:spacing w:val="0"/>
          <w:bdr w:val="single" w:sz="8" w:space="1" w:color="000000"/>
        </w:rPr>
        <w:t> </w:t>
      </w:r>
    </w:p>
    <w:tbl>
      <w:tblPr>
        <w:tblW w:w="5980" w:type="dxa"/>
        <w:jc w:val="left"/>
        <w:tblInd w:w="0" w:type="dxa"/>
        <w:tblLayout w:type="fixed"/>
        <w:tblCellMar>
          <w:top w:w="0" w:type="dxa"/>
          <w:left w:w="0" w:type="dxa"/>
          <w:bottom w:w="0" w:type="dxa"/>
          <w:right w:w="0" w:type="dxa"/>
        </w:tblCellMar>
      </w:tblPr>
      <w:tblGrid>
        <w:gridCol w:w="3005"/>
        <w:gridCol w:w="2975"/>
      </w:tblGrid>
      <w:tr>
        <w:trPr/>
        <w:tc>
          <w:tcPr>
            <w:tcW w:w="300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Trustee, Paying Agent and Registrar </w:t>
            </w:r>
          </w:p>
        </w:tc>
        <w:tc>
          <w:tcPr>
            <w:tcW w:w="2975" w:type="dxa"/>
            <w:tcBorders/>
            <w:vAlign w:val="center"/>
          </w:tcPr>
          <w:p>
            <w:pPr>
              <w:pStyle w:val="TableContents"/>
              <w:bidi w:val="0"/>
              <w:spacing w:before="0" w:after="283"/>
              <w:jc w:val="left"/>
              <w:rPr/>
            </w:pPr>
            <w:r>
              <w:rPr/>
              <w:t xml:space="preserve">Equiniti Trust Company, LLC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56"/>
        <w:gridCol w:w="9149"/>
      </w:tblGrid>
      <w:tr>
        <w:trPr/>
        <w:tc>
          <w:tcPr>
            <w:tcW w:w="1056"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Other covenants </w:t>
            </w:r>
          </w:p>
        </w:tc>
        <w:tc>
          <w:tcPr>
            <w:tcW w:w="9149" w:type="dxa"/>
            <w:tcBorders/>
            <w:vAlign w:val="center"/>
          </w:tcPr>
          <w:p>
            <w:pPr>
              <w:pStyle w:val="TableContents"/>
              <w:bidi w:val="0"/>
              <w:spacing w:before="0" w:after="283"/>
              <w:jc w:val="left"/>
              <w:rPr/>
            </w:pPr>
            <w:r>
              <w:rPr/>
              <w:t xml:space="preserve">In addition to standard covenants relating to payment of principal and interest, maintaining an office where payments may be made or securities can be surrendered for payment and related matters, the following covenants will apply to the Notes: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agree that for the period of time during which the Notes are outstanding, we will not violate Section 18(a)(1)(A) of the 1940 Act as modified by Section 61(a)(1) and (2) of the 1940 Act or any successor provisions, as such obligations may be amended or superseded, giving effect to any exemptive relief granted to us by the SEC.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If, at any time, we are not subject to the reporting requirements of Sections 13 or 15(d) of the Securities Exchange Act of 1934, as amended (the “Exchange Act”), to file any periodic reports with the SEC, we agree to publish on our website and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generally accepted accounting principles (“GAAP”). </w:t>
            </w:r>
          </w:p>
        </w:tc>
      </w:tr>
    </w:tbl>
    <w:p>
      <w:pPr>
        <w:pStyle w:val="TextBody"/>
        <w:bidi w:val="0"/>
        <w:spacing w:before="0" w:after="0"/>
        <w:jc w:val="left"/>
        <w:rPr>
          <w:spacing w:val="0"/>
          <w:bdr w:val="single" w:sz="8" w:space="1" w:color="000000"/>
        </w:rPr>
      </w:pPr>
      <w:r>
        <w:rPr>
          <w:spacing w:val="0"/>
          <w:bdr w:val="single" w:sz="8" w:space="1" w:color="000000"/>
        </w:rPr>
        <w:t> </w:t>
      </w:r>
    </w:p>
    <w:tbl>
      <w:tblPr>
        <w:tblW w:w="7370" w:type="dxa"/>
        <w:jc w:val="left"/>
        <w:tblInd w:w="0" w:type="dxa"/>
        <w:tblLayout w:type="fixed"/>
        <w:tblCellMar>
          <w:top w:w="0" w:type="dxa"/>
          <w:left w:w="0" w:type="dxa"/>
          <w:bottom w:w="0" w:type="dxa"/>
          <w:right w:w="0" w:type="dxa"/>
        </w:tblCellMar>
      </w:tblPr>
      <w:tblGrid>
        <w:gridCol w:w="75"/>
        <w:gridCol w:w="7295"/>
      </w:tblGrid>
      <w:tr>
        <w:trPr/>
        <w:tc>
          <w:tcPr>
            <w:tcW w:w="7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xml:space="preserve">The lien covenant included in the base indenture will not apply to the Notes.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65"/>
        <w:gridCol w:w="9340"/>
      </w:tblGrid>
      <w:tr>
        <w:trPr/>
        <w:tc>
          <w:tcPr>
            <w:tcW w:w="86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Events of Default </w:t>
            </w:r>
          </w:p>
        </w:tc>
        <w:tc>
          <w:tcPr>
            <w:tcW w:w="9340" w:type="dxa"/>
            <w:tcBorders/>
            <w:vAlign w:val="center"/>
          </w:tcPr>
          <w:p>
            <w:pPr>
              <w:pStyle w:val="TableContents"/>
              <w:bidi w:val="0"/>
              <w:spacing w:before="0" w:after="0"/>
              <w:jc w:val="left"/>
              <w:rPr/>
            </w:pPr>
            <w:r>
              <w:rPr/>
              <w:t>If an event of default (as described under “</w:t>
            </w:r>
          </w:p>
          <w:p>
            <w:pPr>
              <w:pStyle w:val="TableContents"/>
              <w:bidi w:val="0"/>
              <w:spacing w:before="0" w:after="0"/>
              <w:jc w:val="left"/>
              <w:rPr>
                <w:i/>
                <w:caps w:val="false"/>
                <w:smallCaps w:val="false"/>
                <w:spacing w:val="0"/>
              </w:rPr>
            </w:pPr>
            <w:r>
              <w:rPr>
                <w:i/>
                <w:caps w:val="false"/>
                <w:smallCaps w:val="false"/>
                <w:spacing w:val="0"/>
              </w:rPr>
              <w:t>Description of the Notes</w:t>
            </w:r>
          </w:p>
          <w:p>
            <w:pPr>
              <w:pStyle w:val="TableContents"/>
              <w:bidi w:val="0"/>
              <w:spacing w:before="0" w:after="0"/>
              <w:jc w:val="left"/>
              <w:rPr/>
            </w:pPr>
            <w:r>
              <w:rPr/>
              <w:t>”</w:t>
            </w:r>
            <w:r>
              <w:rPr/>
              <w:t xml:space="preserve">) on the Notes occurs, the principal amount of the Notes, plus accrued and unpaid interest, may be declared immediately due and payable, subject to conditions set forth in the indenture. These amounts automatically become due and payable in the case of certain types of bankruptcy or insolvency events involving the Company.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S-5 </w:t>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55"/>
        <w:gridCol w:w="9250"/>
      </w:tblGrid>
      <w:tr>
        <w:trPr/>
        <w:tc>
          <w:tcPr>
            <w:tcW w:w="955"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Further Issuances </w:t>
            </w:r>
          </w:p>
        </w:tc>
        <w:tc>
          <w:tcPr>
            <w:tcW w:w="9250" w:type="dxa"/>
            <w:tcBorders/>
            <w:vAlign w:val="center"/>
          </w:tcPr>
          <w:p>
            <w:pPr>
              <w:pStyle w:val="TableContents"/>
              <w:bidi w:val="0"/>
              <w:spacing w:before="0" w:after="283"/>
              <w:jc w:val="left"/>
              <w:rPr/>
            </w:pPr>
            <w:r>
              <w:rPr/>
              <w:t xml:space="preserve">We have the ability to issue additional debt securities under the indenture with terms different from the Notes and, without consent of the holders thereof, to reopen the Notes and issue additional Notes. If we issue additional debt securities, these additional debt securities could have a lien or other security interest greater than that accorded to the holders of the Notes, which are unsecured.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0"/>
        <w:gridCol w:w="8805"/>
      </w:tblGrid>
      <w:tr>
        <w:trPr/>
        <w:tc>
          <w:tcPr>
            <w:tcW w:w="1400"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Global Clearance and Settlement Procedures </w:t>
            </w:r>
          </w:p>
        </w:tc>
        <w:tc>
          <w:tcPr>
            <w:tcW w:w="8805" w:type="dxa"/>
            <w:tcBorders/>
            <w:vAlign w:val="center"/>
          </w:tcPr>
          <w:p>
            <w:pPr>
              <w:pStyle w:val="TableContents"/>
              <w:bidi w:val="0"/>
              <w:spacing w:before="0" w:after="283"/>
              <w:jc w:val="left"/>
              <w:rPr/>
            </w:pPr>
            <w:r>
              <w:rPr/>
              <w:t xml:space="preserve">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34"/>
        <w:gridCol w:w="9371"/>
      </w:tblGrid>
      <w:tr>
        <w:trPr/>
        <w:tc>
          <w:tcPr>
            <w:tcW w:w="834"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Use of Proceeds </w:t>
            </w:r>
          </w:p>
        </w:tc>
        <w:tc>
          <w:tcPr>
            <w:tcW w:w="9371" w:type="dxa"/>
            <w:tcBorders/>
            <w:vAlign w:val="center"/>
          </w:tcPr>
          <w:p>
            <w:pPr>
              <w:pStyle w:val="TableContents"/>
              <w:bidi w:val="0"/>
              <w:spacing w:before="0" w:after="283"/>
              <w:jc w:val="left"/>
              <w:rPr/>
            </w:pPr>
            <w:r>
              <w:rPr/>
              <w:t xml:space="preserve">We estimate that net proceeds we will receive from the sale of the $200.0 million aggregate principal amount of the Notes in this offering will be approximately $195.9 million based on a public offering price of 99.334% of the aggregate principal amount, after deducting the underwriting discounts and commissions of approximately $2.4 million payable by us and estimated offering expenses of approximately $0.4 million payable by us. We expect to use the net proceeds from this offering to repay outstanding obligations under the Credit Facility, to invest in new or existing portfolio companies and for general corporate or strategic purposes. </w:t>
            </w:r>
          </w:p>
        </w:tc>
      </w:tr>
    </w:tbl>
    <w:p>
      <w:pPr>
        <w:pStyle w:val="TextBody"/>
        <w:bidi w:val="0"/>
        <w:spacing w:before="0" w:after="0"/>
        <w:jc w:val="left"/>
        <w:rPr>
          <w:spacing w:val="0"/>
          <w:bdr w:val="single" w:sz="8" w:space="1" w:color="000000"/>
        </w:rPr>
      </w:pPr>
      <w:r>
        <w:rPr>
          <w:spacing w:val="0"/>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00"/>
        <w:gridCol w:w="9205"/>
      </w:tblGrid>
      <w:tr>
        <w:trPr/>
        <w:tc>
          <w:tcPr>
            <w:tcW w:w="1000" w:type="dxa"/>
            <w:tcBorders/>
            <w:vAlign w:val="center"/>
          </w:tcPr>
          <w:p>
            <w:pPr>
              <w:pStyle w:val="TableContents"/>
              <w:bidi w:val="0"/>
              <w:spacing w:before="0" w:after="20"/>
              <w:jc w:val="left"/>
              <w:rPr>
                <w:rFonts w:ascii="Times New Roman" w:hAnsi="Times New Roman"/>
                <w:spacing w:val="0"/>
                <w:sz w:val="20"/>
              </w:rPr>
            </w:pPr>
            <w:r>
              <w:rPr>
                <w:rFonts w:ascii="Times New Roman" w:hAnsi="Times New Roman"/>
                <w:spacing w:val="0"/>
                <w:sz w:val="20"/>
              </w:rPr>
              <w:t xml:space="preserve">Risk Factors </w:t>
            </w:r>
          </w:p>
        </w:tc>
        <w:tc>
          <w:tcPr>
            <w:tcW w:w="9205" w:type="dxa"/>
            <w:tcBorders/>
            <w:vAlign w:val="center"/>
          </w:tcPr>
          <w:p>
            <w:pPr>
              <w:pStyle w:val="TableContents"/>
              <w:bidi w:val="0"/>
              <w:spacing w:before="0" w:after="0"/>
              <w:jc w:val="left"/>
              <w:rPr/>
            </w:pPr>
            <w:r>
              <w:rPr/>
              <w:t>See “</w:t>
            </w:r>
          </w:p>
          <w:p>
            <w:pPr>
              <w:pStyle w:val="TableContents"/>
              <w:bidi w:val="0"/>
              <w:spacing w:before="0" w:after="0"/>
              <w:jc w:val="left"/>
              <w:rPr/>
            </w:pPr>
            <w:hyperlink w:anchor="s894111_5">
              <w:r>
                <w:rPr>
                  <w:rStyle w:val="InternetLink"/>
                  <w:i/>
                  <w:caps w:val="false"/>
                  <w:smallCaps w:val="false"/>
                  <w:spacing w:val="0"/>
                </w:rPr>
                <w:t>Risk Factors</w:t>
              </w:r>
            </w:hyperlink>
          </w:p>
          <w:p>
            <w:pPr>
              <w:pStyle w:val="TableContents"/>
              <w:bidi w:val="0"/>
              <w:spacing w:before="0" w:after="0"/>
              <w:jc w:val="left"/>
              <w:rPr/>
            </w:pPr>
            <w:r>
              <w:rPr/>
              <w:t xml:space="preserve">” </w:t>
            </w:r>
            <w:r>
              <w:rPr/>
              <w:t xml:space="preserve">in this prospectus supplement and beginning on page 13 of the accompanying prospectus for a discussion of risks </w:t>
            </w:r>
          </w:p>
          <w:p>
            <w:pPr>
              <w:pStyle w:val="TableContents"/>
              <w:bidi w:val="0"/>
              <w:spacing w:before="0" w:after="0"/>
              <w:jc w:val="left"/>
              <w:rPr/>
            </w:pPr>
            <w:r>
              <w:rPr/>
              <w:t xml:space="preserve">you </w:t>
            </w:r>
          </w:p>
          <w:p>
            <w:pPr>
              <w:pStyle w:val="TableContents"/>
              <w:bidi w:val="0"/>
              <w:spacing w:before="0" w:after="0"/>
              <w:jc w:val="left"/>
              <w:rPr/>
            </w:pPr>
            <w:r>
              <w:rPr/>
              <w:t xml:space="preserve">should carefully consider before deciding to invest in the Notes.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S-6 </w:t>
      </w:r>
    </w:p>
    <w:p>
      <w:pPr>
        <w:pStyle w:val="HorizontalLine"/>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PROSPECTUS SUPPLEMENT SUMMARY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In this prospectus supplement and the accompanying prospectus, except where the context suggests otherwise, the terms “Company,” “we,” “our” or “us” refer to PennantPark Floating Rate Capital Ltd. and its wholly owned consolidated subsidiaries; </w:t>
      </w:r>
    </w:p>
    <w:p>
      <w:pPr>
        <w:pStyle w:val="TextBody"/>
        <w:bidi w:val="0"/>
        <w:spacing w:before="240" w:after="0"/>
        <w:jc w:val="left"/>
        <w:rPr>
          <w:caps w:val="false"/>
          <w:smallCaps w:val="false"/>
          <w:spacing w:val="0"/>
          <w:bdr w:val="single" w:sz="8" w:space="1" w:color="000000"/>
        </w:rPr>
      </w:pPr>
      <w:r>
        <w:rPr>
          <w:caps w:val="false"/>
          <w:smallCaps w:val="false"/>
          <w:spacing w:val="0"/>
          <w:bdr w:val="single" w:sz="8" w:space="1" w:color="000000"/>
        </w:rPr>
        <w:t>“</w:t>
      </w:r>
      <w:r>
        <w:rPr>
          <w:rFonts w:ascii="Times New Roman" w:hAnsi="Times New Roman"/>
          <w:i/>
          <w:caps w:val="false"/>
          <w:smallCaps w:val="false"/>
          <w:spacing w:val="0"/>
          <w:sz w:val="20"/>
          <w:bdr w:val="single" w:sz="8" w:space="1" w:color="000000"/>
        </w:rPr>
        <w:t>2036-R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Asset-Backed Debt” refers to the issuance by the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2036-R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Securitization Issuers of the following classes of notes pursuant to the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2036-R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Indenture (i) $203 million of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A-1-R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Notes, which bear interest at the three-month secured overnight financing rate (“SOFR”) plus 1.75%, (ii) $10.5 million of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A-2-R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Notes, which bear interest at three-month SOFR plus 1.90%, (iii) $12 million of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Class B-R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Notes, which bear interest at three-month SOFR plus 2.05%, (iv) $28 million of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Notes, which bear interest at three-month SOFR plus 2.75% and (v) $21 million of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D-R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Notes, which bear interest at three-month SOFR plus 4.30%, (B) the issuance by a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2036-R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Securitization Issuer of $64 million of subordinated notes pursuant to the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2036-R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Indenture and (C) the borrowing by the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2036-R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Securitization Issuer of $12.5 million of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Class B-R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Loans, which bear interest at three-month SOFR plus 2.05%; “2036-Debt Securitization refers to the $350.6 million term debt securitization completed by the 2036 Securitization Issuer; “2036 Asset-Backed Debt” refers to the issuance of the AAA(sf)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Class A-1</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Notes, AAA(sf)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Class A-2</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Notes, AA(sf) Class B Notes, A(sf) Class C Notes,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BBB-(sf)</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Class D Notes, and the borrowing issuance of AAA(sf)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Class A-1</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floating rate loans. (the </w:t>
      </w:r>
    </w:p>
    <w:p>
      <w:pPr>
        <w:pStyle w:val="TextBody"/>
        <w:bidi w:val="0"/>
        <w:spacing w:before="240" w:after="0"/>
        <w:jc w:val="left"/>
        <w:rPr>
          <w:caps w:val="false"/>
          <w:smallCaps w:val="false"/>
          <w:spacing w:val="0"/>
          <w:bdr w:val="single" w:sz="8" w:space="1" w:color="000000"/>
        </w:rPr>
      </w:pPr>
      <w:r>
        <w:rPr>
          <w:caps w:val="false"/>
          <w:smallCaps w:val="false"/>
          <w:spacing w:val="0"/>
          <w:bdr w:val="single" w:sz="8" w:space="1" w:color="000000"/>
        </w:rPr>
        <w:t>“</w:t>
      </w:r>
      <w:r>
        <w:rPr>
          <w:rFonts w:ascii="Times New Roman" w:hAnsi="Times New Roman"/>
          <w:i/>
          <w:caps w:val="false"/>
          <w:smallCaps w:val="false"/>
          <w:spacing w:val="0"/>
          <w:sz w:val="20"/>
          <w:bdr w:val="single" w:sz="8" w:space="1" w:color="000000"/>
        </w:rPr>
        <w:t>Class A-1</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Loans” with the 2036-Secured Notes); </w:t>
      </w:r>
    </w:p>
    <w:p>
      <w:pPr>
        <w:pStyle w:val="TextBody"/>
        <w:bidi w:val="0"/>
        <w:spacing w:before="240" w:after="0"/>
        <w:jc w:val="left"/>
        <w:rPr>
          <w:caps w:val="false"/>
          <w:smallCaps w:val="false"/>
          <w:spacing w:val="0"/>
          <w:bdr w:val="single" w:sz="8" w:space="1" w:color="000000"/>
        </w:rPr>
      </w:pPr>
      <w:r>
        <w:rPr>
          <w:caps w:val="false"/>
          <w:smallCaps w:val="false"/>
          <w:spacing w:val="0"/>
          <w:bdr w:val="single" w:sz="8" w:space="1" w:color="000000"/>
        </w:rPr>
        <w:t>“</w:t>
      </w:r>
      <w:r>
        <w:rPr>
          <w:rFonts w:ascii="Times New Roman" w:hAnsi="Times New Roman"/>
          <w:i/>
          <w:caps w:val="false"/>
          <w:smallCaps w:val="false"/>
          <w:spacing w:val="0"/>
          <w:sz w:val="20"/>
          <w:bdr w:val="single" w:sz="8" w:space="1" w:color="000000"/>
        </w:rPr>
        <w:t>2036-R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Securitization Issuers” refers to Securitization Issuer and PennantPark CLO I LLC; “2037 Asset-Backed Debt” refers to (A) the issuance by 2037 Securitization Issuer of the following classes of notes pursuant to the underlying indenture: (i) $220.5 million of AAA(sf)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Class A-1</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Notes, which bear interest at three-month SOFR plus 1.49%, (ii) $19.0 million of AAA(sf)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Class A-2</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Notes, which bear interest at three-month SOFR plus 1.60%, (iii) $28.5 million of AA(sf) Class B Notes, which bear interest at three-month SOFR plus 1.75%, (iv) $38.0 million of A(sf) Class C Notes, which bear interest at three-month SOFR plus 2.20%, (v) $28.5 million of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BBB-(sf)</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Class D Notes, which bear interest at three-month SOFR plus 3.60%, and (vi) $85.1 million of subordinated notes (B) the borrowing by the Issuers of $10.0 million under AAA(sf)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Class A-1LA</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floating rate loans and $45.0 million under AAA(sf)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Class A-1L-B</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floating rate loans, which bear interest at three-month SOFR plus 1.49%; “Code” refers to the Internal Revenue Code of 1986, as amended; </w:t>
      </w:r>
    </w:p>
    <w:p>
      <w:pPr>
        <w:pStyle w:val="TextBody"/>
        <w:bidi w:val="0"/>
        <w:spacing w:before="240" w:after="0"/>
        <w:jc w:val="left"/>
        <w:rPr>
          <w:caps w:val="false"/>
          <w:smallCaps w:val="false"/>
          <w:spacing w:val="0"/>
          <w:bdr w:val="single" w:sz="8" w:space="1" w:color="000000"/>
        </w:rPr>
      </w:pPr>
      <w:r>
        <w:rPr>
          <w:caps w:val="false"/>
          <w:smallCaps w:val="false"/>
          <w:spacing w:val="0"/>
          <w:bdr w:val="single" w:sz="8" w:space="1" w:color="000000"/>
        </w:rPr>
        <w:t>“</w:t>
      </w:r>
      <w:r>
        <w:rPr>
          <w:rFonts w:ascii="Times New Roman" w:hAnsi="Times New Roman"/>
          <w:i/>
          <w:caps w:val="false"/>
          <w:smallCaps w:val="false"/>
          <w:spacing w:val="0"/>
          <w:sz w:val="20"/>
          <w:bdr w:val="single" w:sz="8" w:space="1" w:color="000000"/>
        </w:rPr>
        <w:t>2036-R</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Securitization Issuers” refer to PennantPark CLO I, Ltd., our wholly owned and consolidated subsidiary, and PennantPark CLO I LLC, a wholly owned subsidiary of PennantPark CLO I Ltd.; “Funding I” refers to PennantPark Floating Rate Funding I, LLC; “2037 Securitization Issuer” refers to PennantPark CLO 11, LLC, a consolidated Delaware limited liability company; “2036 Securitization Issuer” refers to PennantPark CLO VIII, LLC; “RIC” refers to a regulated investment company under the Code; and References to our portfolio, our investments, the Credit Facility, and our business include investments we make through our subsidiaries.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General Business of PennantPark Floating Rate Capital Ltd.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PennantPark Floating Rate Capital Ltd. is a BDC whose principal objectives are to generate both current income and capital appreciation while seeking to preserve capital by investing primarily in Floating Rate Loans and other investments made to U.S. middle-market companies.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S-7 </w:t>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Floating Rate Loans to U.S. middle-market companies offer attractive risk-reward to investors due to a limited amount of capital available for such companies. We use the term “middle-market” to refer to companies with annual revenues between $50.0 million and $1.0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w:t>
      </w:r>
    </w:p>
    <w:p>
      <w:pPr>
        <w:pStyle w:val="TextBody"/>
        <w:bidi w:val="0"/>
        <w:spacing w:before="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non-U.S.</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corporations, partnerships and other business entities which operate in various industries and geographical regions.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carefully constructed portfolio by generally targeting an investment size between $5.0 million and $30.0 million, on average, although we expect that this investment size will vary proportionately with the size of our capital base.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Organization and Structure of PennantPark Floating Rate Capital Ltd.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PennantPark Floating Rate Capital Ltd., a Maryland corporation organized in October 2010, is a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closed-end,</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externally managed,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non-diversified</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investment company that has elected to be treated as a BDC under the 1940 Act. In addition, for federal income tax purposes we have elected to be treated, and intend to qualify annually, as a RIC under the Code.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as modified by Section 61, of the 1940 Act governing capital structure and leverage on an aggregate basis with our subsidiaries. Our subsidiaries comply with the provisions of Section 57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entered into an investment management agreement, (the “Investment Management Agreement”), with the Investment Adviser, an external adviser that manages our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day-to-day</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operations. We have also entered into an administration agreement, (the “Administration Agreement”), with the Administrator, which provides the administrative services necessary for us to operate. In addition to furnishing us with clerical, bookkeeping and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S-8 </w:t>
      </w:r>
    </w:p>
    <w:p>
      <w:pPr>
        <w:pStyle w:val="HorizontalLine"/>
        <w:bidi w:val="0"/>
        <w:jc w:val="left"/>
        <w:rPr/>
      </w:pPr>
      <w:r>
        <w:rPr/>
      </w:r>
    </w:p>
    <w:p>
      <w:pPr>
        <w:pStyle w:val="TextBody"/>
        <w:bidi w:val="0"/>
        <w:spacing w:before="0" w:after="0"/>
        <w:ind w:left="0" w:right="0" w:hanging="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record keeping services, the Administrator also oversees our financial records as well as the preparation of our reports to stockholders and reports filed with the SEC under the Administration Agreement.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our Credit Facility, the 2026 Notes, and the Asset-Backed Debt, please see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Management’s Discussion and Analysis of Financial Condition and Results of Operations—Liquidity and Capital Resources”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our most recent Quarterly Report on Form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10-Q</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Our Investment Adviser and Administrator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 xml:space="preserve">We utilize the investing experience and contacts of the Investment Adviser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$28.4 billion in 745 companies with more than 250 different financial sponsors through its managed funds, which includes investments by us totaling $8.7 billion in 545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w:t>
      </w:r>
    </w:p>
    <w:p>
      <w:pPr>
        <w:pStyle w:val="TextBody"/>
        <w:bidi w:val="0"/>
        <w:spacing w:before="240" w:after="0"/>
        <w:jc w:val="left"/>
        <w:rPr>
          <w:caps w:val="false"/>
          <w:smallCaps w:val="false"/>
          <w:spacing w:val="0"/>
          <w:bdr w:val="single" w:sz="8" w:space="1" w:color="000000"/>
        </w:rPr>
      </w:pPr>
      <w:r>
        <w:rPr>
          <w:caps w:val="false"/>
          <w:smallCaps w:val="false"/>
          <w:spacing w:val="0"/>
          <w:bdr w:val="single" w:sz="8" w:space="1" w:color="000000"/>
        </w:rPr>
        <w:t>“</w:t>
      </w:r>
      <w:r>
        <w:rPr>
          <w:rFonts w:ascii="Times New Roman" w:hAnsi="Times New Roman"/>
          <w:i/>
          <w:caps w:val="false"/>
          <w:smallCaps w:val="false"/>
          <w:spacing w:val="0"/>
          <w:sz w:val="20"/>
          <w:bdr w:val="single" w:sz="8" w:space="1" w:color="000000"/>
        </w:rPr>
        <w:t>Risk Factors—Risks Relating to our Business and Structure—There are significant potential conflicts of interest which could impact our investment returns</w:t>
      </w:r>
    </w:p>
    <w:p>
      <w:pPr>
        <w:pStyle w:val="TextBody"/>
        <w:bidi w:val="0"/>
        <w:spacing w:before="24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in our most recent Annual Report on Form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10-K</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w:t>
      </w:r>
    </w:p>
    <w:p>
      <w:pPr>
        <w:pStyle w:val="TextBody"/>
        <w:bidi w:val="0"/>
        <w:spacing w:before="360" w:after="0"/>
        <w:jc w:val="left"/>
        <w:rPr>
          <w:rFonts w:ascii="Times New Roman" w:hAnsi="Times New Roman"/>
          <w:b/>
          <w:spacing w:val="0"/>
          <w:sz w:val="20"/>
          <w:bdr w:val="single" w:sz="8" w:space="1" w:color="000000"/>
        </w:rPr>
      </w:pPr>
      <w:r>
        <w:rPr>
          <w:rFonts w:ascii="Times New Roman" w:hAnsi="Times New Roman"/>
          <w:b/>
          <w:spacing w:val="0"/>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administrative and principal executive offices are located at 1691 Michigan Avenue Miami Beach, Florida 33139. Our common stock is quoted on The New York Stock Exchange under the symbol “PFLT.” Our phone number is (786)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297-9500,</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and our Internet website address is</w:t>
      </w:r>
    </w:p>
    <w:p>
      <w:pPr>
        <w:pStyle w:val="TextBody"/>
        <w:bidi w:val="0"/>
        <w:spacing w:before="120" w:after="0"/>
        <w:jc w:val="left"/>
        <w:rPr>
          <w:rFonts w:ascii="Times New Roman" w:hAnsi="Times New Roman"/>
          <w:i/>
          <w:caps w:val="false"/>
          <w:smallCaps w:val="false"/>
          <w:spacing w:val="0"/>
          <w:sz w:val="20"/>
          <w:u w:val="single"/>
          <w:bdr w:val="single" w:sz="8" w:space="1" w:color="000000"/>
        </w:rPr>
      </w:pPr>
      <w:r>
        <w:rPr>
          <w:rFonts w:ascii="Times New Roman" w:hAnsi="Times New Roman"/>
          <w:i/>
          <w:caps w:val="false"/>
          <w:smallCaps w:val="false"/>
          <w:spacing w:val="0"/>
          <w:sz w:val="20"/>
          <w:u w:val="single"/>
          <w:bdr w:val="single" w:sz="8" w:space="1" w:color="000000"/>
        </w:rPr>
        <w:t>www.pennantpark.com</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w:t>
      </w:r>
    </w:p>
    <w:p>
      <w:pPr>
        <w:pStyle w:val="TextBody"/>
        <w:bidi w:val="0"/>
        <w:spacing w:before="120" w:after="0"/>
        <w:jc w:val="left"/>
        <w:rPr>
          <w:rFonts w:ascii="Times New Roman" w:hAnsi="Times New Roman"/>
          <w:i/>
          <w:caps w:val="false"/>
          <w:smallCaps w:val="false"/>
          <w:spacing w:val="0"/>
          <w:sz w:val="20"/>
          <w:u w:val="single"/>
          <w:bdr w:val="single" w:sz="8" w:space="1" w:color="000000"/>
        </w:rPr>
      </w:pPr>
      <w:r>
        <w:rPr>
          <w:rFonts w:ascii="Times New Roman" w:hAnsi="Times New Roman"/>
          <w:i/>
          <w:caps w:val="false"/>
          <w:smallCaps w:val="false"/>
          <w:spacing w:val="0"/>
          <w:sz w:val="20"/>
          <w:u w:val="single"/>
          <w:bdr w:val="single" w:sz="8" w:space="1" w:color="000000"/>
        </w:rPr>
        <w:t>www.sec.gov</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that contains reports, proxy and information statements, and other information regarding issuers that file electronically with the SEC.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S-9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February 2026, PennantPark Senior Secured Loan Fund II LLC (“PSSL II”) upsized its revolving credit facility to $250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Subsequent to quarter end, we sold approximately $47.5 million of assets to PennantPark Senior Secured Loan Fund I LLC (“PSSL”) and approximately $133 million of assets to PSSL II. Following these transactions and other portfolio activity post the December 31, 2025 quarter end, our total investment portfolio was approximately $2.53 billion and our debt to equity ratio was 1.5x.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February 24, 2026, the 2036 Securitization Issuer refinanced the 2036-Debt Securitization through the issuance of a four-year reinvestment period, twelve-year final maturity $356.5 million debt securitization. As a result, the $287.0 million of external 2036 Asset-Backed Debt outstanding as of December 31, 2025 was refinanced with $287.0 million of replacement secured debt of the 2036 Securitization Issuer due April 2038 (the “</w:t>
      </w:r>
    </w:p>
    <w:p>
      <w:pPr>
        <w:pStyle w:val="TextBody"/>
        <w:bidi w:val="0"/>
        <w:spacing w:before="240" w:after="0"/>
        <w:jc w:val="left"/>
        <w:rPr>
          <w:rFonts w:ascii="Times New Roman" w:hAnsi="Times New Roman"/>
          <w:spacing w:val="0"/>
          <w:sz w:val="20"/>
          <w:u w:val="single"/>
          <w:bdr w:val="single" w:sz="8" w:space="1" w:color="000000"/>
        </w:rPr>
      </w:pPr>
      <w:r>
        <w:rPr>
          <w:rFonts w:ascii="Times New Roman" w:hAnsi="Times New Roman"/>
          <w:spacing w:val="0"/>
          <w:sz w:val="20"/>
          <w:u w:val="single"/>
          <w:bdr w:val="single" w:sz="8" w:space="1" w:color="000000"/>
        </w:rPr>
        <w:t>2038 Asset-Backed Debt</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 The debt issued in this securitization is structured in the following manner: </w:t>
      </w:r>
    </w:p>
    <w:p>
      <w:pPr>
        <w:pStyle w:val="TextBody"/>
        <w:bidi w:val="0"/>
        <w:spacing w:before="0" w:after="0"/>
        <w:jc w:val="left"/>
        <w:rPr>
          <w:bdr w:val="single" w:sz="8" w:space="1" w:color="000000"/>
        </w:rPr>
      </w:pPr>
      <w:r>
        <w:rPr>
          <w:bdr w:val="single" w:sz="8" w:space="1" w:color="000000"/>
        </w:rPr>
        <w:t> </w:t>
      </w:r>
    </w:p>
    <w:tbl>
      <w:tblPr>
        <w:tblW w:w="5015" w:type="dxa"/>
        <w:jc w:val="left"/>
        <w:tblInd w:w="0" w:type="dxa"/>
        <w:tblLayout w:type="fixed"/>
        <w:tblCellMar>
          <w:top w:w="0" w:type="dxa"/>
          <w:left w:w="0" w:type="dxa"/>
          <w:bottom w:w="0" w:type="dxa"/>
          <w:right w:w="0" w:type="dxa"/>
        </w:tblCellMar>
      </w:tblPr>
      <w:tblGrid>
        <w:gridCol w:w="1640"/>
        <w:gridCol w:w="120"/>
        <w:gridCol w:w="140"/>
        <w:gridCol w:w="1220"/>
        <w:gridCol w:w="60"/>
        <w:gridCol w:w="120"/>
        <w:gridCol w:w="171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20"/>
              </w:rPr>
            </w:pPr>
            <w:r>
              <w:rPr>
                <w:rFonts w:ascii="Times New Roman" w:hAnsi="Times New Roman"/>
                <w:b/>
                <w:sz w:val="20"/>
              </w:rPr>
              <w:t>Class</w:t>
            </w:r>
          </w:p>
        </w:tc>
        <w:tc>
          <w:tcPr>
            <w:tcW w:w="12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Par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20"/>
              </w:rPr>
            </w:pPr>
            <w:r>
              <w:rPr>
                <w:rFonts w:ascii="Times New Roman" w:hAnsi="Times New Roman"/>
                <w:b/>
                <w:sz w:val="20"/>
              </w:rPr>
              <w:t>Coupon</w:t>
            </w:r>
          </w:p>
        </w:tc>
      </w:tr>
      <w:tr>
        <w:trPr/>
        <w:tc>
          <w:tcPr>
            <w:tcW w:w="1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A-1-R</w:t>
            </w:r>
          </w:p>
          <w:p>
            <w:pPr>
              <w:pStyle w:val="TableContents"/>
              <w:bidi w:val="0"/>
              <w:spacing w:before="0" w:after="0"/>
              <w:jc w:val="left"/>
              <w:rPr>
                <w:rFonts w:ascii="Times New Roman" w:hAnsi="Times New Roman"/>
                <w:sz w:val="20"/>
              </w:rPr>
            </w:pPr>
            <w:r>
              <w:rPr>
                <w:rFonts w:ascii="Times New Roman" w:hAnsi="Times New Roman"/>
                <w:sz w:val="20"/>
              </w:rPr>
              <w:t>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123,000,000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 Mo SOFR + 1.43%</w:t>
            </w:r>
          </w:p>
        </w:tc>
      </w:tr>
      <w:tr>
        <w:trPr/>
        <w:tc>
          <w:tcPr>
            <w:tcW w:w="1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A-1-R</w:t>
            </w:r>
          </w:p>
          <w:p>
            <w:pPr>
              <w:pStyle w:val="TableContents"/>
              <w:bidi w:val="0"/>
              <w:spacing w:before="0" w:after="0"/>
              <w:jc w:val="left"/>
              <w:rPr>
                <w:rFonts w:ascii="Times New Roman" w:hAnsi="Times New Roman"/>
                <w:sz w:val="20"/>
              </w:rPr>
            </w:pPr>
            <w:r>
              <w:rPr>
                <w:rFonts w:ascii="Times New Roman" w:hAnsi="Times New Roman"/>
                <w:sz w:val="20"/>
              </w:rPr>
              <w:t>Loans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80,000,000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 Mo SOFR + 1.43%</w:t>
            </w:r>
          </w:p>
        </w:tc>
      </w:tr>
      <w:tr>
        <w:trPr/>
        <w:tc>
          <w:tcPr>
            <w:tcW w:w="1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A-2-R</w:t>
            </w:r>
          </w:p>
          <w:p>
            <w:pPr>
              <w:pStyle w:val="TableContents"/>
              <w:bidi w:val="0"/>
              <w:spacing w:before="0" w:after="0"/>
              <w:jc w:val="left"/>
              <w:rPr>
                <w:rFonts w:ascii="Times New Roman" w:hAnsi="Times New Roman"/>
                <w:sz w:val="20"/>
              </w:rPr>
            </w:pPr>
            <w:r>
              <w:rPr>
                <w:rFonts w:ascii="Times New Roman" w:hAnsi="Times New Roman"/>
                <w:sz w:val="20"/>
              </w:rPr>
              <w:t>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 Mo SOFR + 1.60%</w:t>
            </w:r>
          </w:p>
        </w:tc>
      </w:tr>
      <w:tr>
        <w:trPr/>
        <w:tc>
          <w:tcPr>
            <w:tcW w:w="1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B-R</w:t>
            </w:r>
          </w:p>
          <w:p>
            <w:pPr>
              <w:pStyle w:val="TableContents"/>
              <w:bidi w:val="0"/>
              <w:spacing w:before="0" w:after="0"/>
              <w:jc w:val="left"/>
              <w:rPr>
                <w:rFonts w:ascii="Times New Roman" w:hAnsi="Times New Roman"/>
                <w:sz w:val="20"/>
              </w:rPr>
            </w:pPr>
            <w:r>
              <w:rPr>
                <w:rFonts w:ascii="Times New Roman" w:hAnsi="Times New Roman"/>
                <w:sz w:val="20"/>
              </w:rPr>
              <w:t>Loans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26,250,000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 Mo SOFR + 1.75%</w:t>
            </w:r>
          </w:p>
        </w:tc>
      </w:tr>
      <w:tr>
        <w:trPr/>
        <w:tc>
          <w:tcPr>
            <w:tcW w:w="16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C-R</w:t>
            </w:r>
          </w:p>
          <w:p>
            <w:pPr>
              <w:pStyle w:val="TableContents"/>
              <w:bidi w:val="0"/>
              <w:spacing w:before="0" w:after="0"/>
              <w:jc w:val="left"/>
              <w:rPr>
                <w:rFonts w:ascii="Times New Roman" w:hAnsi="Times New Roman"/>
                <w:sz w:val="20"/>
              </w:rPr>
            </w:pPr>
            <w:r>
              <w:rPr>
                <w:rFonts w:ascii="Times New Roman" w:hAnsi="Times New Roman"/>
                <w:sz w:val="20"/>
              </w:rPr>
              <w:t>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3 Mo SOFR + 2.15%</w:t>
            </w:r>
          </w:p>
        </w:tc>
      </w:tr>
      <w:tr>
        <w:trPr/>
        <w:tc>
          <w:tcPr>
            <w:tcW w:w="1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D-R</w:t>
            </w:r>
          </w:p>
          <w:p>
            <w:pPr>
              <w:pStyle w:val="TableContents"/>
              <w:bidi w:val="0"/>
              <w:spacing w:before="0" w:after="0"/>
              <w:jc w:val="left"/>
              <w:rPr>
                <w:rFonts w:ascii="Times New Roman" w:hAnsi="Times New Roman"/>
                <w:sz w:val="20"/>
              </w:rPr>
            </w:pPr>
            <w:r>
              <w:rPr>
                <w:rFonts w:ascii="Times New Roman" w:hAnsi="Times New Roman"/>
                <w:sz w:val="20"/>
              </w:rPr>
              <w:t>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19,250,000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 Mo SOFR + 3.20%</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Subordinated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69,450,000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w:t>
            </w:r>
          </w:p>
        </w:tc>
      </w:tr>
      <w:tr>
        <w:trPr/>
        <w:tc>
          <w:tcPr>
            <w:tcW w:w="16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bdr w:val="single" w:sz="2" w:space="1" w:color="000000"/>
              </w:rPr>
            </w:pPr>
            <w:r>
              <w:rPr>
                <w:bdr w:val="single" w:sz="2" w:space="1" w:color="000000"/>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356,450,000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average weighted cost of capital of the 2038 Asset-Backed Debt decreased to SOFR + 1.65%, compared to the average weighted cost of capital on the 2036 Asset-Backed Debt of SOFR + 2.79% as of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FORWARD-LOOKING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any free writing prospectus, including any documents we incorporate by reference herein or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us, our industry, our beliefs and our assumptions. These forward-looking statements involve risks and uncertainties, including statements as to: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prospective portfolio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political, economic or industry conditions, the interest rate environment or conditions affecting the financial and capital markets that could result in changes to the value of our assets;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fluctuations in interest rates and foreign exchange rates on our business and our portfolio companies;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protracted decline in the liquidity of credit markets on our business;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investments that we expect to make;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relationships with third parties;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our investments in portfolio companies, particularly those having no liquid trading market;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prospective portfolio companies to achieve their objectives;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financings and investments and ability to fund capital commitments to PSSL and PSSL II;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prospective portfolio companies;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price and volume fluctuations in the stock market;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increasing levels of inflation, and its impact on us and our portfolio companies;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Adviser to locate suitable investments for us and to monitor and administer our investments;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future legislation and regulation on our business and our portfolio companies; and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develop and maintain effective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this prospectus supplement and the accompanying prospectus, in the documents incorporated by reference, and elsewhere in this prospectus supplement, the accompanying prospectus and any free writing prospectus, including any documents we incorporate by reference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any documents we incorporate by reference herein or therein, should not be regarded as a representation by us that our plans and objectives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We have based these forward-looking statements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Quarterly Reports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z w:val="20"/>
        </w:rPr>
      </w:pPr>
      <w:r>
        <w:rPr>
          <w:rFonts w:ascii="Times New Roman" w:hAnsi="Times New Roman"/>
          <w:sz w:val="20"/>
        </w:rPr>
        <w:t xml:space="preserve">and Current Reports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You should understand that under Section 27A(b)(2)(B) of the Securities Act and Section 21E(b)(2)(B) of the Exchange Act, the “safe harbor” provisions of the Private Securities Litigation Reform Act of 1995 do not apply to forward-looking statements made in this prospectus supplement, the accompanying prospectus or periodic reports we file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Before you invest in our securities, you should be aware of various risks. In addition to the other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information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contained in this prospectus supplement, the accompanying prospectus, and any free writing prospectus, you should consider carefully the following information and the risk factors incorporated by reference in our most recent Annual Report on Form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10-K</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and any subsequent Quarterly Reports on Form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10-Q</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or Current Reports on Form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8-K</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we file after the date of this prospectus supplement, and all other information contained or incorporated by reference into this prospectus supplement, the accompanying prospectus, and any free writing prospectus, as updated by our subsequent filings under the Exchange Act,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and the market value of the Notes may decline, and an investor may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RISKS RELATED TO THE NOTES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Notes will be unsecured and therefore will be effectively subordinated to any secured indebtedness we have currently incurred or may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December 31, 2025, we had $1.6 billion of debt outstanding of which $185.0 million was unsecured debt of the Company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pari passu</w:t>
      </w:r>
    </w:p>
    <w:p>
      <w:pPr>
        <w:pStyle w:val="TextBody"/>
        <w:bidi w:val="0"/>
        <w:spacing w:before="120" w:after="0"/>
        <w:jc w:val="left"/>
        <w:rPr>
          <w:rFonts w:ascii="Times New Roman" w:hAnsi="Times New Roman"/>
          <w:sz w:val="20"/>
        </w:rPr>
      </w:pPr>
      <w:r>
        <w:rPr>
          <w:rFonts w:ascii="Times New Roman" w:hAnsi="Times New Roman"/>
          <w:sz w:val="20"/>
        </w:rPr>
        <w:t xml:space="preserve">with the Notes and $1.4 billion of which was secured indebtedness of our subsidiaries, and which is therefore effectively senior in right of payment to the Notes.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Notes will be structurally subordinated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exclusively of PennantPark Floating Rate Capital Ltd. and not of any of our subsidiaries. None of our subsidiaries is or acts as a guarantor of the Notes, and the Notes are not required to be guaranteed by any subsidiaries we may acquire or create in the future. Our secured indebtedness with respect to the Credit Facility is held through Funding I, and our secured indebtedness with respect to the 2036 Asset-Backed Debt,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2036-R</w:t>
      </w:r>
    </w:p>
    <w:p>
      <w:pPr>
        <w:pStyle w:val="TextBody"/>
        <w:bidi w:val="0"/>
        <w:spacing w:before="120" w:after="0"/>
        <w:jc w:val="left"/>
        <w:rPr>
          <w:rFonts w:ascii="Times New Roman" w:hAnsi="Times New Roman"/>
          <w:sz w:val="20"/>
        </w:rPr>
      </w:pPr>
      <w:r>
        <w:rPr>
          <w:rFonts w:ascii="Times New Roman" w:hAnsi="Times New Roman"/>
          <w:sz w:val="20"/>
        </w:rPr>
        <w:t xml:space="preserve">Asset-Backed Debt and 2037 Asset-Backed Debt is held through the 2036 Securitization Issuer,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2036-R</w:t>
      </w:r>
    </w:p>
    <w:p>
      <w:pPr>
        <w:pStyle w:val="TextBody"/>
        <w:bidi w:val="0"/>
        <w:spacing w:before="120" w:after="0"/>
        <w:jc w:val="left"/>
        <w:rPr>
          <w:rFonts w:ascii="Times New Roman" w:hAnsi="Times New Roman"/>
          <w:sz w:val="20"/>
        </w:rPr>
      </w:pPr>
      <w:r>
        <w:rPr>
          <w:rFonts w:ascii="Times New Roman" w:hAnsi="Times New Roman"/>
          <w:sz w:val="20"/>
        </w:rPr>
        <w:t xml:space="preserve">Securitization Issuer and the 2037 Securitization Issuer, respectively. The assets of any such subsidiaries are not directly available to satisfy the claims of our creditors, including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December 31, 2025, our subsidiaries had total indebtedness outstanding of $1.4 billion, all of which was secured indebtedness. All of such indebtedness would be structurally senior to the Notes. In addition, our subsidiaries may incur substantial additional indebtedness in the future, all of which would be structurally senior to the Notes.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indenture under which the Notes will be issued contains limited protection for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obligations that would cause a violation of Section 18(a)(1)(A) of the 1940 Act as modified by Section 61(a)(1) and (2) of the 1940 Act or any successor provisions, as such obligations may be amended or superseded, and giving effect to any exemptive relief granted to us by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on, or purchase or redeem or make any payments in respect of, capital stock or other securities ranking junior in right of payment to the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assets (other than certain limited restrictions on our ability to consolidate, merge or sell all or substantially all of our assets);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110"/>
        <w:gridCol w:w="60"/>
        <w:gridCol w:w="3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liens (including liens on the shares of our subsidiaries) or enter into sale and leaseback transactions;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restrictions on the payment of dividends or other amounts to us from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will not require us to offer to purchase the Notes in connection with a change of control or any other event.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 </w:t>
      </w:r>
    </w:p>
    <w:p>
      <w:pPr>
        <w:pStyle w:val="TextBody"/>
        <w:bidi w:val="0"/>
        <w:spacing w:before="240" w:after="0"/>
        <w:jc w:val="left"/>
        <w:rPr>
          <w:rFonts w:ascii="Times New Roman" w:hAnsi="Times New Roman"/>
          <w:sz w:val="20"/>
        </w:rPr>
      </w:pPr>
      <w:r>
        <w:rPr>
          <w:rFonts w:ascii="Times New Roman" w:hAnsi="Times New Roman"/>
          <w:sz w:val="20"/>
        </w:rPr>
        <w:t>Certain of our current debt instruments include more protections for their respective holders than the indenture and the Notes.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 Factors—Risks Relating to Our Business and Structure</w:t>
      </w:r>
    </w:p>
    <w:p>
      <w:pPr>
        <w:pStyle w:val="TextBody"/>
        <w:bidi w:val="0"/>
        <w:spacing w:before="240" w:after="0"/>
        <w:jc w:val="left"/>
        <w:rPr/>
      </w:pPr>
      <w:r>
        <w:rPr/>
        <w:t xml:space="preserve">” </w:t>
      </w:r>
      <w:r>
        <w:rPr>
          <w:rFonts w:ascii="Times New Roman" w:hAnsi="Times New Roman"/>
          <w:sz w:val="20"/>
        </w:rPr>
        <w:t>including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 Factors—Risks Relating to Our Business and Structure—</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We are subject to various covenants under Funding I’s Credit Facility which, if not complied with, could result in reduced availability and/or mandatory prepayments under Funding I’s Credit Facility, our 2026 Notes, and our Asset-Backed Debt</w:t>
      </w:r>
    </w:p>
    <w:p>
      <w:pPr>
        <w:pStyle w:val="TextBody"/>
        <w:bidi w:val="0"/>
        <w:spacing w:before="240" w:after="0"/>
        <w:jc w:val="left"/>
        <w:rPr/>
      </w:pPr>
      <w:r>
        <w:rPr/>
        <w:t xml:space="preserve">” </w:t>
      </w:r>
      <w:r>
        <w:rPr>
          <w:rFonts w:ascii="Times New Roman" w:hAnsi="Times New Roman"/>
          <w:sz w:val="20"/>
        </w:rPr>
        <w:t xml:space="preserve">in our most recent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In addition, other debt we issue or incur in the future could contain more protections for its holders than the indenture governing the Notes and the Notes, including additional covenants and events of default. The issuance or incurrence of any such debt with incremental protections could affect the market for and trading levels and prices of the Notes.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amount of debt outstanding may increase as a result of this offering. Our current indebtedness could adversely affect our business, financial condition and results of operations and our ability to meet our payment obligations under the Notes and our other debt. </w:t>
      </w:r>
    </w:p>
    <w:p>
      <w:pPr>
        <w:pStyle w:val="TextBody"/>
        <w:bidi w:val="0"/>
        <w:spacing w:before="120" w:after="0"/>
        <w:jc w:val="left"/>
        <w:rPr>
          <w:rFonts w:ascii="Times New Roman" w:hAnsi="Times New Roman"/>
          <w:sz w:val="20"/>
        </w:rPr>
      </w:pPr>
      <w:r>
        <w:rPr>
          <w:rFonts w:ascii="Times New Roman" w:hAnsi="Times New Roman"/>
          <w:sz w:val="20"/>
        </w:rPr>
        <w:t xml:space="preserve">The use of debt could have significant consequences on our future operations, including: </w:t>
      </w:r>
    </w:p>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meet our payment and other obligations under the Notes and our other outstanding debt;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resulting in an event of default if we fail to comply with the financial and other restrictive covenants contained in our financing arrangements, which event of default could result in substantially all of our debt becoming immediately due and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reducing the availability of our cash flow to fund investments, acquisitions and other general corporate purposes, and limiting our ability to obtain additional financing for these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subjecting us to the risk of increased sensitivity to interest rate increases on our indebtedness with variable interest rates, including borrowings under our financing arrangements;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and increasing our vulnerability to, changes in our business, the industry in which we operate and the general economy.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factors listed above could have an adverse effect on our business, financial condition and results of operations and our ability to meet our payment obligations under the Notes and our other debt.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optional redemption provision may materially adversely affect your return on the Notes. </w:t>
      </w:r>
    </w:p>
    <w:p>
      <w:pPr>
        <w:pStyle w:val="TextBody"/>
        <w:bidi w:val="0"/>
        <w:spacing w:before="120" w:after="0"/>
        <w:jc w:val="left"/>
        <w:rPr>
          <w:rFonts w:ascii="Times New Roman" w:hAnsi="Times New Roman"/>
          <w:sz w:val="20"/>
        </w:rPr>
      </w:pPr>
      <w:r>
        <w:rPr>
          <w:rFonts w:ascii="Times New Roman" w:hAnsi="Times New Roman"/>
          <w:sz w:val="20"/>
        </w:rPr>
        <w:t>The Notes will be redeemable in whole or in part at any time, or from time to time, at our option, as described in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Description of the Notes—Optional Redemption</w:t>
      </w:r>
    </w:p>
    <w:p>
      <w:pPr>
        <w:pStyle w:val="TextBody"/>
        <w:bidi w:val="0"/>
        <w:spacing w:before="120" w:after="0"/>
        <w:jc w:val="left"/>
        <w:rPr/>
      </w:pPr>
      <w:r>
        <w:rPr/>
        <w:t>”</w:t>
      </w:r>
      <w:r>
        <w:rPr>
          <w:rFonts w:ascii="Times New Roman" w:hAnsi="Times New Roman"/>
          <w:sz w:val="20"/>
        </w:rPr>
        <w:t xml:space="preserve">.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There is currently no public market for the Notes. If an active trading market for the Notes does not develop or is not maintained, you may not be able to sell them. </w:t>
      </w:r>
    </w:p>
    <w:p>
      <w:pPr>
        <w:pStyle w:val="TextBody"/>
        <w:bidi w:val="0"/>
        <w:spacing w:before="120" w:after="0"/>
        <w:jc w:val="left"/>
        <w:rPr>
          <w:rFonts w:ascii="Times New Roman" w:hAnsi="Times New Roman"/>
          <w:sz w:val="20"/>
        </w:rPr>
      </w:pPr>
      <w:r>
        <w:rPr>
          <w:rFonts w:ascii="Times New Roman" w:hAnsi="Times New Roman"/>
          <w:sz w:val="20"/>
        </w:rPr>
        <w:t xml:space="preserve">We cannot assure you that an active and liquid trading market for the Notes will develop or be maintained. We do not intend to list the Notes on any securities exchange or for quotation of the Notes on any automated dealer quotation system. If the Notes are traded after their initial issuance, they may trade at a discount to their public offering price depending on prevailing interest rates, the market for similar securities, our credit ratings, general economic conditions, our financial condition, performance and prospects and other factors. Certain of the underwriters of the Notes have indicated that they will make a market for the Notes, but they may discontinue any such market-making activity at any time in their sole discretion. In addition, any market-making activity will be subject to limits imposed by law. Accordingly, we cannot assure you that a liquid trading market for the Notes will develop or be maintained, that you will be able to sell the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default on our obligations to pay our other indebtedness, we may not be able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Any default under the agreements governing our indebtedness, including a default under the Credit Facility, the 2026 Notes and the Asset-Backed Debt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the Credit Facility, the 2026 Notes, the Asset-Backed Debt or other debt we may incur in the future could elect to terminate their commitments, cease making further loans and institute foreclosure proceedings against our assets, and we could be forced into bankruptcy or liquidation.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If our operating performance declines, we may in the future need to seek to obtain waivers from the required lenders or holders under the agreements relating to the Credit Facility, the 2026 Notes and the Asset-Backed Debt or other debt that we may incur in the future to avoid being in default. If we breach our covenants under the Credit Facility, the 2026 Notes and the Asset-Backed Debt or other debt and seek a waiver, we may not be able to obtain a waiver from the required lenders or holders. If this occurs, we would be in default and our lenders or holders could exercise their rights as described above, and we could be forced into bankruptcy or liquidation. If we are unable to repay debt, lenders or holders having secured obligations, including the lenders or holders under the Credit Facility, the 2026 Notes and the Asset-Backed Debt, could proceed against the collateral securing such debt. Because the Credit Facility and the Asset-Backed Debt have, and any future debt will likely have, customary cross-default provisions, if the indebtedness thereunder or under any future credit facility is accelerated, we may be unable to repay or finance the amounts due.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downgrade, suspension or withdrawal of a credit rating assigned by a rating agency to us or our unsecured debt, if any, or change in the debt markets could cause the liquidity or market value of the Notes to decline significantly. </w:t>
      </w:r>
    </w:p>
    <w:p>
      <w:pPr>
        <w:pStyle w:val="TextBody"/>
        <w:bidi w:val="0"/>
        <w:spacing w:before="120" w:after="0"/>
        <w:jc w:val="left"/>
        <w:rPr>
          <w:rFonts w:ascii="Times New Roman" w:hAnsi="Times New Roman"/>
          <w:sz w:val="20"/>
        </w:rPr>
      </w:pPr>
      <w:r>
        <w:rPr>
          <w:rFonts w:ascii="Times New Roman" w:hAnsi="Times New Roman"/>
          <w:sz w:val="20"/>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not be able to repurchase the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repurchase the Notes upon a Change of Control Repurchase Event because we may not have sufficient funds. Upon a Change of Control Repurchase Event, holders of the Notes may require us to repurchase for cash some or all of the Notes at a repurchase price equal to 100% of the aggregate principal amount of the Notes being repurchased, plus accrued and unpaid interest to, but not including, the repurchase date. Our failure to purchase such tendered Notes upon the occurrence of such Change of Control Repurchase Event would cause an event of default under the indenture governing the Notes and a cross-default under the agreements governing certain of our other indebtedness, which may result in the acceleration of such indebtedness requiring us to repay that indebtedness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we will receive from the sale of the $200.0 million aggregate principal amount of the Notes in this offering will be approximately $195.9 million, based on a public offering price of 99.334%, after deducting the underwriting discounts and commissions of approximately $2.4 million payable by us and estimated offering expenses of approximately $0.4 million payable by us.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expect to use the net proceeds from this offering to repay our outstanding obligations under the Credit Facility, to invest in new or existing portfolio companies and for general corporate or strategic purposes. Affiliates of certain of the underwriters serve as lenders under our Credit Facility. Accordingly, affiliates of certain of the underwriters are expected to receive proceeds from this offering that are used to reduce our outstanding obligations under our Credit Facility.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As of December 31, 2025, the Credit Facility had commitments $768.0 million and an interest rate spread above SOFR (or an alternative risk-free floating interest rate index) of 200 basis points, a maturity date of August 2030 and a revolving period that ends in August 2028. As of December 31, 2025, Funding I had $488.9 million of outstanding borrowings under the Credit Facility. The Credit Facility had a weighted average interest rate of 5.9%, exclusive of the fee on undrawn commitments as of December 31, 2025. As of December 31, 2025, Funding I had $279.1 million of unused borrowing capacity under the Credit Facility, subject to leverage and borrowing base restrictions. The Credit Facility is subject to satisfaction of certain conditions and the regulatory restrictions that the 1940 Act imposes on us as a BDC.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Management’s Discussion and Analysis of Financial Condition and Results of Operations</w:t>
      </w:r>
    </w:p>
    <w:p>
      <w:pPr>
        <w:pStyle w:val="TextBody"/>
        <w:bidi w:val="0"/>
        <w:spacing w:before="240" w:after="0"/>
        <w:jc w:val="left"/>
        <w:rPr>
          <w:spacing w:val="0"/>
        </w:rPr>
      </w:pPr>
      <w:r>
        <w:rPr>
          <w:spacing w:val="0"/>
        </w:rPr>
        <w:t xml:space="preserve">” </w:t>
      </w:r>
      <w:r>
        <w:rPr>
          <w:rFonts w:ascii="Times New Roman" w:hAnsi="Times New Roman"/>
          <w:spacing w:val="0"/>
          <w:sz w:val="20"/>
        </w:rPr>
        <w:t xml:space="preserve">in our most recent Quarterly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may invest the net proceeds from this offering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anticipate receiving in respect of investments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non-temporary</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investments. As a result, any distributions we make during this investment period may be lower than the distributions that we would expect to pay when such proceeds are fully invested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non-temporary</w:t>
      </w:r>
    </w:p>
    <w:p>
      <w:pPr>
        <w:pStyle w:val="TextBody"/>
        <w:bidi w:val="0"/>
        <w:spacing w:before="240" w:after="0"/>
        <w:jc w:val="left"/>
        <w:rPr>
          <w:rFonts w:ascii="Times New Roman" w:hAnsi="Times New Roman"/>
          <w:spacing w:val="0"/>
          <w:sz w:val="20"/>
        </w:rPr>
      </w:pPr>
      <w:r>
        <w:rPr>
          <w:rFonts w:ascii="Times New Roman" w:hAnsi="Times New Roman"/>
          <w:spacing w:val="0"/>
          <w:sz w:val="20"/>
        </w:rPr>
        <w:t>investments.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Business—Regulation —Temporary Investments</w:t>
      </w:r>
    </w:p>
    <w:p>
      <w:pPr>
        <w:pStyle w:val="TextBody"/>
        <w:bidi w:val="0"/>
        <w:spacing w:before="240" w:after="0"/>
        <w:jc w:val="left"/>
        <w:rPr>
          <w:spacing w:val="0"/>
        </w:rPr>
      </w:pPr>
      <w:r>
        <w:rPr>
          <w:spacing w:val="0"/>
        </w:rPr>
        <w:t xml:space="preserve">” </w:t>
      </w:r>
      <w:r>
        <w:rPr>
          <w:rFonts w:ascii="Times New Roman" w:hAnsi="Times New Roman"/>
          <w:spacing w:val="0"/>
          <w:sz w:val="20"/>
        </w:rPr>
        <w:t xml:space="preserve">in our most recently filed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K for more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CAPITALIZATION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capitalization on December 31, 2025 (1) on an actual basis and (2) on an </w:t>
      </w:r>
    </w:p>
    <w:p>
      <w:pPr>
        <w:pStyle w:val="TextBody"/>
        <w:bidi w:val="0"/>
        <w:spacing w:before="240" w:after="0"/>
        <w:jc w:val="left"/>
        <w:rPr>
          <w:rFonts w:ascii="Times New Roman" w:hAnsi="Times New Roman"/>
          <w:sz w:val="20"/>
        </w:rPr>
      </w:pPr>
      <w:r>
        <w:rPr>
          <w:rFonts w:ascii="Times New Roman" w:hAnsi="Times New Roman"/>
          <w:sz w:val="20"/>
        </w:rPr>
        <w:t>as-adjusted</w:t>
      </w:r>
    </w:p>
    <w:p>
      <w:pPr>
        <w:pStyle w:val="TextBody"/>
        <w:bidi w:val="0"/>
        <w:spacing w:before="240" w:after="0"/>
        <w:jc w:val="left"/>
        <w:rPr>
          <w:rFonts w:ascii="Times New Roman" w:hAnsi="Times New Roman"/>
          <w:sz w:val="20"/>
        </w:rPr>
      </w:pPr>
      <w:r>
        <w:rPr>
          <w:rFonts w:ascii="Times New Roman" w:hAnsi="Times New Roman"/>
          <w:sz w:val="20"/>
        </w:rPr>
        <w:t xml:space="preserve">basis to reflect the effects of the sale of $200.0 million aggregate principal amount of Notes in this offering based on a public offering price of 99.334%, after deducting the underwriting discounts and commissions of $2.4 million payable by us and estimated offering expenses of approximately $0.4 million payable by us. The </w:t>
      </w:r>
    </w:p>
    <w:p>
      <w:pPr>
        <w:pStyle w:val="TextBody"/>
        <w:bidi w:val="0"/>
        <w:spacing w:before="240" w:after="0"/>
        <w:jc w:val="left"/>
        <w:rPr>
          <w:rFonts w:ascii="Times New Roman" w:hAnsi="Times New Roman"/>
          <w:sz w:val="20"/>
        </w:rPr>
      </w:pPr>
      <w:r>
        <w:rPr>
          <w:rFonts w:ascii="Times New Roman" w:hAnsi="Times New Roman"/>
          <w:sz w:val="20"/>
        </w:rPr>
        <w:t>as-adjusted</w:t>
      </w:r>
    </w:p>
    <w:p>
      <w:pPr>
        <w:pStyle w:val="TextBody"/>
        <w:bidi w:val="0"/>
        <w:spacing w:before="240" w:after="0"/>
        <w:jc w:val="left"/>
        <w:rPr>
          <w:rFonts w:ascii="Times New Roman" w:hAnsi="Times New Roman"/>
          <w:sz w:val="20"/>
        </w:rPr>
      </w:pPr>
      <w:r>
        <w:rPr>
          <w:rFonts w:ascii="Times New Roman" w:hAnsi="Times New Roman"/>
          <w:sz w:val="20"/>
        </w:rPr>
        <w:t>information is illustrative only; our capitalization following the completion of this offering is subject to further adjustments, such as the potential repayment of certain of the amounts borrowed under the Credit Facility. You should read this table together with “</w:t>
      </w:r>
    </w:p>
    <w:p>
      <w:pPr>
        <w:pStyle w:val="TextBody"/>
        <w:bidi w:val="0"/>
        <w:spacing w:before="240" w:after="0"/>
        <w:jc w:val="left"/>
        <w:rPr>
          <w:rFonts w:ascii="Times New Roman" w:hAnsi="Times New Roman"/>
          <w:i/>
          <w:sz w:val="20"/>
        </w:rPr>
      </w:pPr>
      <w:r>
        <w:rPr>
          <w:rFonts w:ascii="Times New Roman" w:hAnsi="Times New Roman"/>
          <w:i/>
          <w:sz w:val="20"/>
        </w:rPr>
        <w:t>Use of Proceeds</w:t>
      </w:r>
    </w:p>
    <w:p>
      <w:pPr>
        <w:pStyle w:val="TextBody"/>
        <w:bidi w:val="0"/>
        <w:spacing w:before="240" w:after="0"/>
        <w:jc w:val="left"/>
        <w:rPr/>
      </w:pPr>
      <w:r>
        <w:rPr/>
        <w:t xml:space="preserve">” </w:t>
      </w:r>
      <w:r>
        <w:rPr>
          <w:rFonts w:ascii="Times New Roman" w:hAnsi="Times New Roman"/>
          <w:sz w:val="20"/>
        </w:rPr>
        <w:t>set forth in this prospectus supplement for more information. You should also read this table in conjunction with our Consolidated Financial Statements and related notes thereto and the information under the caption “</w:t>
      </w:r>
    </w:p>
    <w:p>
      <w:pPr>
        <w:pStyle w:val="TextBody"/>
        <w:bidi w:val="0"/>
        <w:spacing w:before="240" w:after="0"/>
        <w:jc w:val="left"/>
        <w:rPr>
          <w:rFonts w:ascii="Times New Roman" w:hAnsi="Times New Roman"/>
          <w:i/>
          <w:sz w:val="20"/>
        </w:rPr>
      </w:pPr>
      <w:r>
        <w:rPr>
          <w:rFonts w:ascii="Times New Roman" w:hAnsi="Times New Roman"/>
          <w:i/>
          <w:sz w:val="20"/>
        </w:rPr>
        <w:t>Management’s Discussion and Analysis of Financial Condition and Results of Operations</w:t>
      </w:r>
    </w:p>
    <w:p>
      <w:pPr>
        <w:pStyle w:val="TextBody"/>
        <w:bidi w:val="0"/>
        <w:spacing w:before="240" w:after="0"/>
        <w:jc w:val="left"/>
        <w:rPr/>
      </w:pPr>
      <w:r>
        <w:rPr/>
        <w:t xml:space="preserve">” </w:t>
      </w:r>
      <w:r>
        <w:rPr>
          <w:rFonts w:ascii="Times New Roman" w:hAnsi="Times New Roman"/>
          <w:sz w:val="20"/>
        </w:rPr>
        <w:t xml:space="preserve">included in our most recent Annual Report on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and most recent Quarterly Report on Form </w:t>
      </w:r>
    </w:p>
    <w:p>
      <w:pPr>
        <w:pStyle w:val="TextBody"/>
        <w:bidi w:val="0"/>
        <w:spacing w:before="240" w:after="0"/>
        <w:jc w:val="left"/>
        <w:rPr>
          <w:rFonts w:ascii="Times New Roman" w:hAnsi="Times New Roman"/>
          <w:sz w:val="20"/>
        </w:rPr>
      </w:pPr>
      <w:r>
        <w:rPr>
          <w:rFonts w:ascii="Times New Roman" w:hAnsi="Times New Roman"/>
          <w:sz w:val="20"/>
        </w:rPr>
        <w:t>10-Q.</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35"/>
        <w:gridCol w:w="120"/>
        <w:gridCol w:w="146"/>
        <w:gridCol w:w="1025"/>
        <w:gridCol w:w="162"/>
        <w:gridCol w:w="125"/>
        <w:gridCol w:w="173"/>
        <w:gridCol w:w="1047"/>
        <w:gridCol w:w="172"/>
      </w:tblGrid>
      <w:tr>
        <w:trPr/>
        <w:tc>
          <w:tcPr>
            <w:tcW w:w="7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7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br/>
              <w:t>(unaudited)</w:t>
            </w:r>
          </w:p>
        </w:tc>
        <w:tc>
          <w:tcPr>
            <w:tcW w:w="172" w:type="dxa"/>
            <w:tcBorders/>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left"/>
              <w:rPr/>
            </w:pPr>
            <w:r>
              <w:rPr/>
              <w:t>($ in thousands)</w:t>
            </w:r>
          </w:p>
        </w:tc>
        <w:tc>
          <w:tcPr>
            <w:tcW w:w="12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Actual</w:t>
            </w:r>
          </w:p>
        </w:tc>
        <w:tc>
          <w:tcPr>
            <w:tcW w:w="1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adjusted</w:t>
            </w:r>
          </w:p>
        </w:tc>
        <w:tc>
          <w:tcPr>
            <w:tcW w:w="172"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(cost—$95,264 and $291,132, respectively)</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95,268</w:t>
            </w:r>
          </w:p>
        </w:tc>
        <w:tc>
          <w:tcPr>
            <w:tcW w:w="1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291,136</w:t>
            </w:r>
          </w:p>
        </w:tc>
        <w:tc>
          <w:tcPr>
            <w:tcW w:w="172" w:type="dxa"/>
            <w:tcBorders/>
            <w:shd w:fill="CCEEFF" w:val="clear"/>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Debt</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r>
      <w:tr>
        <w:trPr/>
        <w:tc>
          <w:tcPr>
            <w:tcW w:w="7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Credit Facility payable, at fair value (cost—$488,855)</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488,859</w:t>
            </w:r>
          </w:p>
        </w:tc>
        <w:tc>
          <w:tcPr>
            <w:tcW w:w="1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488,859</w:t>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 Notes payable, net (par—$185,000) (unamortized deferred financing cost of $197)</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184,803</w:t>
            </w:r>
          </w:p>
        </w:tc>
        <w:tc>
          <w:tcPr>
            <w:tcW w:w="1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184,803</w:t>
            </w:r>
          </w:p>
        </w:tc>
        <w:tc>
          <w:tcPr>
            <w:tcW w:w="172" w:type="dxa"/>
            <w:tcBorders/>
            <w:vAlign w:val="center"/>
          </w:tcPr>
          <w:p>
            <w:pPr>
              <w:pStyle w:val="TableContents"/>
              <w:bidi w:val="0"/>
              <w:spacing w:before="0" w:after="283"/>
              <w:jc w:val="left"/>
              <w:rPr>
                <w:sz w:val="4"/>
                <w:szCs w:val="4"/>
              </w:rPr>
            </w:pPr>
            <w:r>
              <w:rPr>
                <w:sz w:val="4"/>
                <w:szCs w:val="4"/>
              </w:rPr>
            </w:r>
          </w:p>
        </w:tc>
      </w:tr>
      <w:tr>
        <w:trPr/>
        <w:tc>
          <w:tcPr>
            <w:tcW w:w="72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2036 Asset-Backed Debt, net (par—$287,000) (unamortized deferred financing cost of $2,238)</w:t>
            </w:r>
          </w:p>
          <w:p>
            <w:pPr>
              <w:pStyle w:val="TableContents"/>
              <w:bidi w:val="0"/>
              <w:spacing w:before="0" w:after="0"/>
              <w:jc w:val="left"/>
              <w:rPr>
                <w:rFonts w:ascii="Times New Roman" w:hAnsi="Times New Roman"/>
                <w:spacing w:val="0"/>
                <w:sz w:val="14"/>
              </w:rPr>
            </w:pPr>
            <w:r>
              <w:rPr>
                <w:rFonts w:ascii="Times New Roman" w:hAnsi="Times New Roman"/>
                <w:spacing w:val="0"/>
                <w:sz w:val="14"/>
              </w:rPr>
              <w:t>(1)</w:t>
            </w:r>
          </w:p>
          <w:p>
            <w:pPr>
              <w:pStyle w:val="TableContents"/>
              <w:bidi w:val="0"/>
              <w:spacing w:before="0" w:after="0"/>
              <w:jc w:val="left"/>
              <w:rPr>
                <w:spacing w:val="0"/>
              </w:rPr>
            </w:pPr>
            <w:r>
              <w:rPr>
                <w:spacing w:val="0"/>
              </w:rPr>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284,762</w:t>
            </w:r>
          </w:p>
        </w:tc>
        <w:tc>
          <w:tcPr>
            <w:tcW w:w="1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284,762</w:t>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2036-R</w:t>
            </w:r>
          </w:p>
          <w:p>
            <w:pPr>
              <w:pStyle w:val="TableContents"/>
              <w:bidi w:val="0"/>
              <w:spacing w:before="0" w:after="0"/>
              <w:jc w:val="left"/>
              <w:rPr>
                <w:rFonts w:ascii="Times New Roman" w:hAnsi="Times New Roman"/>
                <w:sz w:val="20"/>
              </w:rPr>
            </w:pPr>
            <w:r>
              <w:rPr>
                <w:rFonts w:ascii="Times New Roman" w:hAnsi="Times New Roman"/>
                <w:sz w:val="20"/>
              </w:rPr>
              <w:t>Asset-Backed Debt, net (par—$287,000) (unamortized deferred financing cost of $439)</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286,561</w:t>
            </w:r>
          </w:p>
        </w:tc>
        <w:tc>
          <w:tcPr>
            <w:tcW w:w="1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286,561</w:t>
            </w:r>
          </w:p>
        </w:tc>
        <w:tc>
          <w:tcPr>
            <w:tcW w:w="172" w:type="dxa"/>
            <w:tcBorders/>
            <w:vAlign w:val="center"/>
          </w:tcPr>
          <w:p>
            <w:pPr>
              <w:pStyle w:val="TableContents"/>
              <w:bidi w:val="0"/>
              <w:spacing w:before="0" w:after="283"/>
              <w:jc w:val="left"/>
              <w:rPr>
                <w:sz w:val="4"/>
                <w:szCs w:val="4"/>
              </w:rPr>
            </w:pPr>
            <w:r>
              <w:rPr>
                <w:sz w:val="4"/>
                <w:szCs w:val="4"/>
              </w:rPr>
            </w:r>
          </w:p>
        </w:tc>
      </w:tr>
      <w:tr>
        <w:trPr/>
        <w:tc>
          <w:tcPr>
            <w:tcW w:w="7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2037 Asset-Backed Debt, net (par—$389,500) (unamortized deferred financing cost of $2,475)</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387,025</w:t>
            </w:r>
          </w:p>
        </w:tc>
        <w:tc>
          <w:tcPr>
            <w:tcW w:w="1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387,025</w:t>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Notes (par—$200,000), (unamortized deferred financing cost of $4,132)</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195,868</w:t>
            </w:r>
          </w:p>
        </w:tc>
        <w:tc>
          <w:tcPr>
            <w:tcW w:w="172" w:type="dxa"/>
            <w:tcBorders/>
            <w:vAlign w:val="center"/>
          </w:tcPr>
          <w:p>
            <w:pPr>
              <w:pStyle w:val="TableContents"/>
              <w:bidi w:val="0"/>
              <w:spacing w:before="0" w:after="283"/>
              <w:jc w:val="left"/>
              <w:rPr>
                <w:sz w:val="4"/>
                <w:szCs w:val="4"/>
              </w:rPr>
            </w:pPr>
            <w:r>
              <w:rPr>
                <w:sz w:val="4"/>
                <w:szCs w:val="4"/>
              </w:rPr>
            </w:r>
          </w:p>
        </w:tc>
      </w:tr>
      <w:tr>
        <w:trPr/>
        <w:tc>
          <w:tcPr>
            <w:tcW w:w="72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Asset Value</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1025" w:type="dxa"/>
            <w:tcBorders/>
            <w:shd w:fill="CCEEFF" w:val="cle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99,217,896 shares issued and outstanding Par value $0.001 per share and 200,000,000 shares authorized</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99</w:t>
            </w:r>
          </w:p>
        </w:tc>
        <w:tc>
          <w:tcPr>
            <w:tcW w:w="1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99</w:t>
            </w:r>
          </w:p>
        </w:tc>
        <w:tc>
          <w:tcPr>
            <w:tcW w:w="172" w:type="dxa"/>
            <w:tcBorders/>
            <w:vAlign w:val="center"/>
          </w:tcPr>
          <w:p>
            <w:pPr>
              <w:pStyle w:val="TableContents"/>
              <w:bidi w:val="0"/>
              <w:spacing w:before="0" w:after="283"/>
              <w:jc w:val="left"/>
              <w:rPr>
                <w:sz w:val="4"/>
                <w:szCs w:val="4"/>
              </w:rPr>
            </w:pPr>
            <w:r>
              <w:rPr>
                <w:sz w:val="4"/>
                <w:szCs w:val="4"/>
              </w:rPr>
            </w:r>
          </w:p>
        </w:tc>
      </w:tr>
      <w:tr>
        <w:trPr/>
        <w:tc>
          <w:tcPr>
            <w:tcW w:w="72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 in excess of par value</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1,219,502</w:t>
            </w:r>
          </w:p>
        </w:tc>
        <w:tc>
          <w:tcPr>
            <w:tcW w:w="1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1047" w:type="dxa"/>
            <w:tcBorders/>
            <w:shd w:fill="CCEEFF" w:val="clear"/>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1,219,502</w:t>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7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(179,172</w:t>
            </w:r>
          </w:p>
        </w:tc>
        <w:tc>
          <w:tcPr>
            <w:tcW w:w="1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(179,172</w:t>
            </w:r>
          </w:p>
        </w:tc>
        <w:tc>
          <w:tcPr>
            <w:tcW w:w="172" w:type="dxa"/>
            <w:tcBorders/>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single" w:sz="2" w:space="1" w:color="000000"/>
              </w:rPr>
            </w:pPr>
            <w:r>
              <w:rPr>
                <w:bdr w:val="single" w:sz="2" w:space="1" w:color="000000"/>
              </w:rPr>
              <w:t> </w:t>
            </w:r>
          </w:p>
        </w:tc>
        <w:tc>
          <w:tcPr>
            <w:tcW w:w="1047"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assets</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1,040,429</w:t>
            </w:r>
          </w:p>
        </w:tc>
        <w:tc>
          <w:tcPr>
            <w:tcW w:w="1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serif" w:hAnsi="Times New Roman;serif"/>
                <w:spacing w:val="0"/>
                <w:sz w:val="20"/>
              </w:rPr>
            </w:pPr>
            <w:r>
              <w:rPr>
                <w:rFonts w:ascii="Times New Roman;serif" w:hAnsi="Times New Roman;serif"/>
                <w:spacing w:val="0"/>
                <w:sz w:val="20"/>
              </w:rPr>
              <w:t>1,040,429</w:t>
            </w:r>
          </w:p>
        </w:tc>
        <w:tc>
          <w:tcPr>
            <w:tcW w:w="172" w:type="dxa"/>
            <w:tcBorders/>
            <w:shd w:fill="CCEEFF" w:val="clear"/>
            <w:vAlign w:val="center"/>
          </w:tcPr>
          <w:p>
            <w:pPr>
              <w:pStyle w:val="TableContents"/>
              <w:bidi w:val="0"/>
              <w:spacing w:before="0" w:after="283"/>
              <w:jc w:val="left"/>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ind w:left="0" w:right="0" w:hanging="0"/>
        <w:jc w:val="left"/>
        <w:rPr/>
      </w:pPr>
      <w:r>
        <w:rPr/>
        <w:t> </w:t>
      </w:r>
    </w:p>
    <w:tbl>
      <w:tblPr>
        <w:tblW w:w="10120" w:type="dxa"/>
        <w:jc w:val="left"/>
        <w:tblInd w:w="0" w:type="dxa"/>
        <w:tblLayout w:type="fixed"/>
        <w:tblCellMar>
          <w:top w:w="0" w:type="dxa"/>
          <w:left w:w="0" w:type="dxa"/>
          <w:bottom w:w="0" w:type="dxa"/>
          <w:right w:w="0" w:type="dxa"/>
        </w:tblCellMar>
      </w:tblPr>
      <w:tblGrid>
        <w:gridCol w:w="305"/>
        <w:gridCol w:w="9815"/>
      </w:tblGrid>
      <w:tr>
        <w:trPr/>
        <w:tc>
          <w:tcPr>
            <w:tcW w:w="305" w:type="dxa"/>
            <w:tcBorders/>
            <w:vAlign w:val="center"/>
          </w:tcPr>
          <w:p>
            <w:pPr>
              <w:pStyle w:val="TableContents"/>
              <w:bidi w:val="0"/>
              <w:spacing w:before="0" w:after="0"/>
              <w:jc w:val="left"/>
              <w:rPr>
                <w:spacing w:val="0"/>
              </w:rPr>
            </w:pPr>
            <w:r>
              <w:rPr>
                <w:spacing w:val="0"/>
              </w:rPr>
              <w:t>(1)</w:t>
            </w:r>
          </w:p>
        </w:tc>
        <w:tc>
          <w:tcPr>
            <w:tcW w:w="98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2036 Asset-Backed Debt was refinanced on February 24, 2026 through the issuance of the 2038 Asset-Backed Debt. </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S-19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THE NOTES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following description of the particular terms of the Notes supplements and, to the extent inconsistent with, replaces the description of the general terms and provisions of the debt securities set forth in the accompanying prospectus. We will issue the Notes under the base indenture between us and the Trustee, dated as of March 23, 2021, as supplemented by the second supplemental indenture between us and the Trustee, to be dated as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of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settlement date for the Notes (together, the “indenture”). The terms of the Notes include those expressly set forth in the indenture and those made part of the indenture by reference to the Trust Indenture Act of 1939, as amended.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For purposes of this description, references to the “Company,” “we,” “our” or “us” refer only to PennantPark Floating Rate Capital Ltd.,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General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Notes: </w:t>
      </w:r>
    </w:p>
    <w:p>
      <w:pPr>
        <w:pStyle w:val="TextBody"/>
        <w:bidi w:val="0"/>
        <w:spacing w:before="0" w:after="0"/>
        <w:jc w:val="left"/>
        <w:rPr>
          <w:spacing w:val="0"/>
        </w:rPr>
      </w:pPr>
      <w:r>
        <w:rPr>
          <w:spacing w:val="0"/>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4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will be our direct, general unsecured, senior obligations; </w:t>
            </w:r>
          </w:p>
        </w:tc>
      </w:tr>
    </w:tbl>
    <w:p>
      <w:pPr>
        <w:pStyle w:val="TextBody"/>
        <w:bidi w:val="0"/>
        <w:spacing w:before="0" w:after="0"/>
        <w:jc w:val="left"/>
        <w:rPr>
          <w:spacing w:val="0"/>
        </w:rPr>
      </w:pPr>
      <w:r>
        <w:rPr>
          <w:spacing w:val="0"/>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initially be issued in an aggregate principal amount of $200.0 million; </w:t>
            </w:r>
          </w:p>
        </w:tc>
      </w:tr>
    </w:tbl>
    <w:p>
      <w:pPr>
        <w:pStyle w:val="TextBody"/>
        <w:bidi w:val="0"/>
        <w:spacing w:before="0" w:after="0"/>
        <w:jc w:val="left"/>
        <w:rPr>
          <w:spacing w:val="0"/>
        </w:rPr>
      </w:pPr>
      <w:r>
        <w:rPr>
          <w:spacing w:val="0"/>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73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will mature on March 4, 2029, unless earlier redeemed or repurchased, as discussed below;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will bear interest from March 4, 2026 at an annual rate of 6.75% payable semi-annually on March 4 and September 4 of each year, beginning on September 4, 2026; </w:t>
            </w:r>
          </w:p>
        </w:tc>
      </w:tr>
    </w:tbl>
    <w:p>
      <w:pPr>
        <w:pStyle w:val="TextBody"/>
        <w:bidi w:val="0"/>
        <w:spacing w:before="0" w:after="0"/>
        <w:jc w:val="left"/>
        <w:rPr>
          <w:spacing w:val="0"/>
        </w:rPr>
      </w:pPr>
      <w:r>
        <w:rPr>
          <w:spacing w:val="0"/>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51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will be subject to redemption at our option as described under “</w:t>
            </w:r>
          </w:p>
          <w:p>
            <w:pPr>
              <w:pStyle w:val="TableContents"/>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Optional Redemption</w:t>
            </w:r>
          </w:p>
          <w:p>
            <w:pPr>
              <w:pStyle w:val="TableContents"/>
              <w:bidi w:val="0"/>
              <w:spacing w:before="0" w:after="0"/>
              <w:jc w:val="left"/>
              <w:rPr>
                <w:spacing w:val="0"/>
              </w:rPr>
            </w:pPr>
            <w:r>
              <w:rPr>
                <w:spacing w:val="0"/>
              </w:rPr>
              <w:t>”</w:t>
            </w:r>
            <w:r>
              <w:rPr>
                <w:rFonts w:ascii="Times New Roman" w:hAnsi="Times New Roman"/>
                <w:spacing w:val="0"/>
                <w:sz w:val="20"/>
              </w:rPr>
              <w:t xml:space="preserv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will be subject to repurchase by us at the option of the holders following a Change of Control Repurchase Event (as defined below under “</w:t>
            </w:r>
          </w:p>
          <w:p>
            <w:pPr>
              <w:pStyle w:val="TableContents"/>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Offer to Repurchase Upon a Change of Control Repurchase Event</w:t>
            </w:r>
          </w:p>
          <w:p>
            <w:pPr>
              <w:pStyle w:val="TableContents"/>
              <w:bidi w:val="0"/>
              <w:spacing w:before="0" w:after="0"/>
              <w:jc w:val="left"/>
              <w:rPr>
                <w:spacing w:val="0"/>
              </w:rPr>
            </w:pPr>
            <w:r>
              <w:rPr>
                <w:spacing w:val="0"/>
              </w:rPr>
              <w:t>”</w:t>
            </w:r>
            <w:r>
              <w:rPr>
                <w:rFonts w:ascii="Times New Roman" w:hAnsi="Times New Roman"/>
                <w:spacing w:val="0"/>
                <w:sz w:val="20"/>
              </w:rPr>
              <w:t>), at a repurchase price equal to 100% of the principal amount of the Notes to be repurchased,</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plus</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accrued and unpaid interest to, but excluding, the date of repurchase; </w:t>
            </w:r>
          </w:p>
        </w:tc>
      </w:tr>
    </w:tbl>
    <w:p>
      <w:pPr>
        <w:pStyle w:val="TextBody"/>
        <w:bidi w:val="0"/>
        <w:spacing w:before="0" w:after="0"/>
        <w:jc w:val="left"/>
        <w:rPr>
          <w:spacing w:val="0"/>
        </w:rPr>
      </w:pPr>
      <w:r>
        <w:rPr>
          <w:spacing w:val="0"/>
        </w:rPr>
        <w:t> </w:t>
      </w:r>
    </w:p>
    <w:tbl>
      <w:tblPr>
        <w:tblW w:w="8185" w:type="dxa"/>
        <w:jc w:val="left"/>
        <w:tblInd w:w="0" w:type="dxa"/>
        <w:tblLayout w:type="fixed"/>
        <w:tblCellMar>
          <w:top w:w="0" w:type="dxa"/>
          <w:left w:w="0" w:type="dxa"/>
          <w:bottom w:w="0" w:type="dxa"/>
          <w:right w:w="0" w:type="dxa"/>
        </w:tblCellMar>
      </w:tblPr>
      <w:tblGrid>
        <w:gridCol w:w="75"/>
        <w:gridCol w:w="110"/>
        <w:gridCol w:w="60"/>
        <w:gridCol w:w="794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79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will be issued in denominations of $2,000 and integral multiples of $1,000 in excess thereof;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will be represented by one or more registered Notes in global form, but in certain limited circumstances may be represented by Notes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definitive form. See “</w:t>
            </w:r>
          </w:p>
          <w:p>
            <w:pPr>
              <w:pStyle w:val="TableContents"/>
              <w:bidi w:val="0"/>
              <w:spacing w:before="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Book-Entry, Settlement and Clearance</w:t>
            </w:r>
          </w:p>
          <w:p>
            <w:pPr>
              <w:pStyle w:val="TableContents"/>
              <w:bidi w:val="0"/>
              <w:spacing w:before="0" w:after="0"/>
              <w:jc w:val="left"/>
              <w:rPr>
                <w:spacing w:val="0"/>
              </w:rPr>
            </w:pPr>
            <w:r>
              <w:rPr>
                <w:spacing w:val="0"/>
              </w:rPr>
              <w:t>”</w:t>
            </w:r>
            <w:r>
              <w:rPr>
                <w:rFonts w:ascii="Times New Roman" w:hAnsi="Times New Roman"/>
                <w:spacing w:val="0"/>
                <w:sz w:val="20"/>
              </w:rPr>
              <w:t xml:space="preserve">.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The indenture does not limit the amount of debt that may be issued by us or our subsidiaries under the indenture or otherwise. The indenture does not contain any financial covenants and does not restrict us from paying dividends or issuing or repurchasing its other securities. Other than restrictions described under “</w:t>
      </w:r>
    </w:p>
    <w:p>
      <w:pPr>
        <w:pStyle w:val="TextBody"/>
        <w:bidi w:val="0"/>
        <w:spacing w:before="24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Offer to Repurchase Upon a Change of Control Repurchase Event</w:t>
      </w:r>
    </w:p>
    <w:p>
      <w:pPr>
        <w:pStyle w:val="TextBody"/>
        <w:bidi w:val="0"/>
        <w:spacing w:before="240" w:after="0"/>
        <w:jc w:val="left"/>
        <w:rPr>
          <w:spacing w:val="0"/>
        </w:rPr>
      </w:pPr>
      <w:r>
        <w:rPr>
          <w:spacing w:val="0"/>
        </w:rPr>
        <w:t xml:space="preserve">” </w:t>
      </w:r>
      <w:r>
        <w:rPr>
          <w:rFonts w:ascii="Times New Roman" w:hAnsi="Times New Roman"/>
          <w:spacing w:val="0"/>
          <w:sz w:val="20"/>
        </w:rPr>
        <w:t>and “</w:t>
      </w:r>
    </w:p>
    <w:p>
      <w:pPr>
        <w:pStyle w:val="TextBody"/>
        <w:bidi w:val="0"/>
        <w:spacing w:before="240" w:after="0"/>
        <w:jc w:val="left"/>
        <w:rPr>
          <w:caps w:val="false"/>
          <w:smallCaps w:val="false"/>
          <w:spacing w:val="0"/>
        </w:rPr>
      </w:pPr>
      <w:r>
        <w:rPr>
          <w:caps w:val="false"/>
          <w:smallCaps w:val="false"/>
          <w:spacing w:val="0"/>
        </w:rPr>
        <w:t>—</w:t>
      </w:r>
      <w:r>
        <w:rPr>
          <w:rFonts w:ascii="Times New Roman" w:hAnsi="Times New Roman"/>
          <w:i/>
          <w:caps w:val="false"/>
          <w:smallCaps w:val="false"/>
          <w:spacing w:val="0"/>
          <w:sz w:val="20"/>
        </w:rPr>
        <w:t>Merger, Consolidation or Sale of Assets</w:t>
      </w:r>
    </w:p>
    <w:p>
      <w:pPr>
        <w:pStyle w:val="TextBody"/>
        <w:bidi w:val="0"/>
        <w:spacing w:before="240" w:after="0"/>
        <w:jc w:val="left"/>
        <w:rPr>
          <w:spacing w:val="0"/>
        </w:rPr>
      </w:pPr>
      <w:r>
        <w:rPr>
          <w:spacing w:val="0"/>
        </w:rPr>
        <w:t xml:space="preserve">” </w:t>
      </w:r>
      <w:r>
        <w:rPr>
          <w:rFonts w:ascii="Times New Roman" w:hAnsi="Times New Roman"/>
          <w:spacing w:val="0"/>
          <w:sz w:val="20"/>
        </w:rPr>
        <w:t xml:space="preserve">in this prospectus supplement,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 We may, without the consent of the holders, issue additional Notes under the indenture with the same terms (except that the issue date, public offering price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S-20 </w:t>
      </w:r>
    </w:p>
    <w:p>
      <w:pPr>
        <w:pStyle w:val="HorizontalLine"/>
        <w:bidi w:val="0"/>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and initial payment date may be different);</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provided</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that such additional Notes must be part of the same issue as the Notes offered hereby for U.S. federal income tax purposes if represented by the same CUSIP number as the Notes offered hereby and would have to be issued in compliance with the covenants set forth in the indenture.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do not intend to list the Notes on any securities exchange or any automated dealer quotation system.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Payments on the Notes; Paying Agent and Registrar; Transfer and Exchange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will pay the principal of, and interest on, Notes in global form registered in the name of or held by DTC, or its nominee in immediately available funds to DTC or its nominee, as the case may be, as the registered holder of such Global Note (as defined below).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Payment of principal of (and premium, if any) and any such interest on the Notes will be made at the corporate trust office of the Paying Agent, which initially will be the Trustee, in such coin or currency of the U.S. as at the time of payment is legal tender for payment of public and private debts;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provided, however,</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that, in the case of notes that are not in global form, at our option, payment of interest may be made by check mailed to the address of the person entitled thereto as such address will appear in the security register.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transferor will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will have no responsibility to verify or ensure the accuracy of such information.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registered holder of the Notes will be treated as its owner for all purposes.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Interest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Notes will bear cash interest at a rate of 6.75% per year until maturity. Interest on the Notes will accrue from March 4, 2026 or from the most recent date on which interest has been paid or duly provided for. Interest will be payable semi-annually in arrears on March 4 and September 4 of each year, beginning on September 4,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Interest will be paid to the person in whose name a Note is registered at 5:00 p.m. New York City time (the “close of business”) on February 20 or August 20 as the case may be, immediately preceding the relevant interest payment date. Interest on the Notes will be computed on the basis of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360-day</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year composed of twelve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months.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The City of New York or the city in which the corporate trust office of the Trustee is located are authorized or obligated by law or executive order to close.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Ranking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Notes will be the Company’s direct, general unsecured obligations and will rank: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pari passu</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 right of payment with any existing and future unsecured unsubordinated indebtedness, including approximately $185.0 million in aggregate principal amount outstanding under our 2026 Notes as of December 31, 2025;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S-21 </w:t>
      </w:r>
    </w:p>
    <w:p>
      <w:pPr>
        <w:pStyle w:val="HorizontalLine"/>
        <w:bidi w:val="0"/>
        <w:jc w:val="left"/>
        <w:rPr/>
      </w:pPr>
      <w:r>
        <w:rPr/>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senior to any of our future indebtedness that expressly states it is subordinated in right of payment to the Notes; </w:t>
            </w:r>
          </w:p>
        </w:tc>
      </w:tr>
    </w:tbl>
    <w:p>
      <w:pPr>
        <w:pStyle w:val="TextBody"/>
        <w:bidi w:val="0"/>
        <w:spacing w:before="0" w:after="0"/>
        <w:jc w:val="left"/>
        <w:rPr>
          <w:spacing w:val="0"/>
        </w:rPr>
      </w:pPr>
      <w:r>
        <w:rPr>
          <w:spacing w:val="0"/>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56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senior to any series of preferred stock that we may issue in the future;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effectively subordinated in right of payment to all of our existing and future secured indebtedness (including indebtedness that is initially unsecured, but to which we subsequently grant security), to the extent of the value of the assets securing such indebtedness;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structurally subordinated to all existing and future indebtedness and other obligations of any of our subsidiaries, financing vehicles or similar facilities, including as of December 31, 2025 without limitation, approximately (i) $488.9 million of borrowings outstanding under the Credit Facility, to the extent of the value of the assets securing our Credit Facility and (ii) $287.0 million of our 2036 Asset-Backed Debt, $287.0 million of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2036-R</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Asset-Backed Debt and $389.5 million of our 2037 Asset-Backed Debt as of December 31, 2025.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we had $1.6 billion of debt outstanding, of which $185 million was unsecured and unsubordinated indebtedness and $1.4 billion was secured indebtedness. After giving effect to the issuance of the Notes and assuming no repayment of amounts owed under the Credit Facility, our total indebtedness would have been approximately $1.8 billion aggregate principal amount outstanding as of December 31,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Optional Redemption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Prior to the Par Call Date, we may redeem the Notes at our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matured on the Par Call Date) on a semi-annual basis (assuming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360-day</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year consisting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twelve 30-day</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months) at the Treasury Rate plus 50 basis points less (b) interest accrued to the date of redemption, and (2) 100% of the principal amount of the Notes to be redeemed, plus, in either case, accrued and unpaid interest thereon to the redemption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or after the Par Call Date, we may redeem the Notes, in whole or in part, at any time and from time to time, at a redemption price equal to 100% of the principal amount of the Notes being redeemed plus accrued and unpaid interest thereon to the redemption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purposes of calculating the redemption price in connection with the redemption of the Notes, on any redemption date, the following terms have the meanings set forth below: </w:t>
      </w:r>
    </w:p>
    <w:p>
      <w:pPr>
        <w:pStyle w:val="TextBody"/>
        <w:bidi w:val="0"/>
        <w:spacing w:before="240" w:after="0"/>
        <w:jc w:val="left"/>
        <w:rPr>
          <w:spacing w:val="0"/>
        </w:rPr>
      </w:pPr>
      <w:r>
        <w:rPr>
          <w:spacing w:val="0"/>
        </w:rPr>
        <w:t>“</w:t>
      </w:r>
      <w:r>
        <w:rPr>
          <w:rFonts w:ascii="Times New Roman" w:hAnsi="Times New Roman"/>
          <w:spacing w:val="0"/>
          <w:sz w:val="20"/>
        </w:rPr>
        <w:t xml:space="preserve">Treasury Rate” means, with respect to any redemption date, the yield determined by us in accordance with the following two paragraphs.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S-22 </w:t>
      </w:r>
    </w:p>
    <w:p>
      <w:pPr>
        <w:pStyle w:val="HorizontalLine"/>
        <w:bidi w:val="0"/>
        <w:jc w:val="left"/>
        <w:rPr/>
      </w:pPr>
      <w:r>
        <w:rPr/>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Our actions and determinations in determining the redemption price shall be conclusive and binding for all purposes, absent manifest error.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If we choose to redeem any of the Notes, we will deliver a notice of redemption to holders of the Notes not less than 30 nor more than 60 days before the redemption date. Any exercise of our option to redeem the Notes will be done in compliance with the 1940 Act. If we are redeeming less than all of the Notes, the particular Notes to be redeemed will be selected by the Trustee on a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 rata</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basis to the extent practicable, or, if a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 rata</w:t>
      </w:r>
    </w:p>
    <w:p>
      <w:pPr>
        <w:pStyle w:val="TextBody"/>
        <w:bidi w:val="0"/>
        <w:spacing w:before="240" w:after="0"/>
        <w:jc w:val="left"/>
        <w:rPr>
          <w:rFonts w:ascii="Times New Roman" w:hAnsi="Times New Roman"/>
          <w:spacing w:val="0"/>
          <w:sz w:val="20"/>
        </w:rPr>
      </w:pPr>
      <w:r>
        <w:rPr>
          <w:rFonts w:ascii="Times New Roman" w:hAnsi="Times New Roman"/>
          <w:spacing w:val="0"/>
          <w:sz w:val="20"/>
        </w:rPr>
        <w:t>basis is not practicable for any reason, by lot or in such other manner as the Trustee deems fair and appropriate, and in any case in accordance with the applicable procedures of DTC and in accordance with the 1940 Act as directed by the Company;</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provided, however,</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that no such partial redemption will reduce the portion of the principal amount of the Notes not redeemed to less than $2,000.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Unless we default in payment of the redemption price, on and after the redemption date, interest will cease to accrue on the Notes or portions of the Notes called for redemption.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Offer to Repurchase Upon a Change of Control Repurchase Event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If a Change of Control Repurchase Event occurs, unless we have exercised our right to redeem the Notes in full, we will make an offer to each holder of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not including, the date of purchase. Within 30 days following any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S-23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w:t>
      </w:r>
    </w:p>
    <w:p>
      <w:pPr>
        <w:pStyle w:val="TextBody"/>
        <w:bidi w:val="0"/>
        <w:spacing w:before="0" w:after="0"/>
        <w:jc w:val="left"/>
        <w:rPr>
          <w:rFonts w:ascii="Times New Roman" w:hAnsi="Times New Roman"/>
          <w:spacing w:val="0"/>
          <w:sz w:val="20"/>
        </w:rPr>
      </w:pPr>
      <w:r>
        <w:rPr>
          <w:rFonts w:ascii="Times New Roman" w:hAnsi="Times New Roman"/>
          <w:spacing w:val="0"/>
          <w:sz w:val="20"/>
        </w:rPr>
        <w:t>Rule 14e-1</w:t>
      </w:r>
    </w:p>
    <w:p>
      <w:pPr>
        <w:pStyle w:val="TextBody"/>
        <w:bidi w:val="0"/>
        <w:spacing w:before="0" w:after="0"/>
        <w:jc w:val="left"/>
        <w:rPr>
          <w:rFonts w:ascii="Times New Roman" w:hAnsi="Times New Roman"/>
          <w:sz w:val="20"/>
        </w:rPr>
      </w:pPr>
      <w:r>
        <w:rPr>
          <w:rFonts w:ascii="Times New Roman" w:hAnsi="Times New Roman"/>
          <w:sz w:val="20"/>
        </w:rPr>
        <w:t xml:space="preserve">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subject to extension if necessary to comply with the provisions of the 1940 Act and the rules and regulations promulgated thereunder, we will, to the extent lawful: </w:t>
      </w:r>
    </w:p>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290"/>
        <w:gridCol w:w="72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pursuant to our offer;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(2)</w:t>
            </w:r>
          </w:p>
        </w:tc>
        <w:tc>
          <w:tcPr>
            <w:tcW w:w="98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purchase price in respect of all Notes or portions of Notes properly tendered;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(3)</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minimum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 </w:t>
      </w:r>
    </w:p>
    <w:p>
      <w:pPr>
        <w:pStyle w:val="TextBody"/>
        <w:bidi w:val="0"/>
        <w:spacing w:before="240" w:after="0"/>
        <w:jc w:val="left"/>
        <w:rPr>
          <w:rFonts w:ascii="Times New Roman" w:hAnsi="Times New Roman"/>
          <w:sz w:val="20"/>
        </w:rPr>
      </w:pPr>
      <w:r>
        <w:rPr>
          <w:rFonts w:ascii="Times New Roman" w:hAnsi="Times New Roman"/>
          <w:sz w:val="20"/>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Management’s Discussion and Analysis of Financial Condition and Results of Operations—Financial Condition, Liquidity and Capital Resources</w:t>
      </w:r>
    </w:p>
    <w:p>
      <w:pPr>
        <w:pStyle w:val="TextBody"/>
        <w:bidi w:val="0"/>
        <w:spacing w:before="240" w:after="0"/>
        <w:jc w:val="left"/>
        <w:rPr/>
      </w:pPr>
      <w:r>
        <w:rPr/>
        <w:t xml:space="preserve">” </w:t>
      </w:r>
      <w:r>
        <w:rPr>
          <w:rFonts w:ascii="Times New Roman" w:hAnsi="Times New Roman"/>
          <w:sz w:val="20"/>
        </w:rPr>
        <w:t xml:space="preserve">in our most recent Quarterly Report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Form 10-Q</w:t>
      </w:r>
    </w:p>
    <w:p>
      <w:pPr>
        <w:pStyle w:val="TextBody"/>
        <w:bidi w:val="0"/>
        <w:spacing w:before="240" w:after="0"/>
        <w:jc w:val="left"/>
        <w:rPr>
          <w:rFonts w:ascii="Times New Roman" w:hAnsi="Times New Roman"/>
          <w:sz w:val="20"/>
        </w:rPr>
      </w:pPr>
      <w:r>
        <w:rPr>
          <w:rFonts w:ascii="Times New Roman" w:hAnsi="Times New Roman"/>
          <w:sz w:val="20"/>
        </w:rPr>
        <w:t>for the quarter ended December 31, 2025 and incorporated by reference herein, as well as any amendments reflected in subsequent filings with the SEC. Before making any such repurchase of the Notes, we would also have to comply with certain requirements under the Credit Facility to the extent any such requirements remain in effect at such time, or otherwise obtain consent from the lenders under the Credit Facility. Our future financing arrangements may contain similar restrictions and provisions. If the holders of the Notes exercise their right to require us to repurchase Notes upon a Change of Control Repurchase Event, the financial effect of this repurchase could cause a default under our future financing arrangements, even if the Change of Control Repurchase Event itself would not cause a default. It is possible that we will not have sufficient funds at the time of the Change of Control Repurchase Event to make the required repurchase of the Notes and/or our other debt.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Risk Factors—Risks Related to the Notes—We may not be able to repurchase the Notes upon a Change of Control Repurchase Event</w:t>
      </w:r>
    </w:p>
    <w:p>
      <w:pPr>
        <w:pStyle w:val="TextBody"/>
        <w:bidi w:val="0"/>
        <w:spacing w:before="240" w:after="0"/>
        <w:jc w:val="left"/>
        <w:rPr/>
      </w:pPr>
      <w:r>
        <w:rPr/>
        <w:t xml:space="preserve">” </w:t>
      </w:r>
      <w:r>
        <w:rPr>
          <w:rFonts w:ascii="Times New Roman" w:hAnsi="Times New Roman"/>
          <w:sz w:val="20"/>
        </w:rPr>
        <w:t xml:space="preserve">in this prospectus supplement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Notes, the following terms have the meanings set forth below: </w:t>
      </w:r>
    </w:p>
    <w:p>
      <w:pPr>
        <w:pStyle w:val="TextBody"/>
        <w:bidi w:val="0"/>
        <w:spacing w:before="120" w:after="0"/>
        <w:jc w:val="left"/>
        <w:rPr/>
      </w:pPr>
      <w:r>
        <w:rPr/>
        <w:t>“</w:t>
      </w:r>
      <w:r>
        <w:rPr>
          <w:rFonts w:ascii="Times New Roman" w:hAnsi="Times New Roman"/>
          <w:sz w:val="20"/>
        </w:rPr>
        <w:t xml:space="preserve">Below Investment Grade Rating Event” means the Notes are downgraded below Investment Grade by the Rating Agency on any date from the date of the public notice of an arrangement that results in a Change of Control until the end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60-day</w:t>
      </w:r>
    </w:p>
    <w:p>
      <w:pPr>
        <w:pStyle w:val="TextBody"/>
        <w:bidi w:val="0"/>
        <w:spacing w:before="120" w:after="0"/>
        <w:jc w:val="left"/>
        <w:rPr>
          <w:rFonts w:ascii="Times New Roman" w:hAnsi="Times New Roman"/>
          <w:sz w:val="20"/>
        </w:rPr>
      </w:pPr>
      <w:r>
        <w:rPr>
          <w:rFonts w:ascii="Times New Roman" w:hAnsi="Times New Roman"/>
          <w:sz w:val="20"/>
        </w:rPr>
        <w:t xml:space="preserve">period following public notice of the occurrence of a Change of Control (which period shall be extended so long as the rating of the Notes is under publicly announced consideration for possible downgrade by the Rating Agency);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pPr>
      <w:r>
        <w:rPr/>
        <w:t>“</w:t>
      </w:r>
      <w:r>
        <w:rPr>
          <w:rFonts w:ascii="Times New Roman" w:hAnsi="Times New Roman"/>
          <w:sz w:val="20"/>
        </w:rPr>
        <w:t xml:space="preserve">Change of Control” means the occurrence of any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(1)</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sale, lease, transfer, conveyance or other disposition (other than by way of merger or consolidation) in one or a series of related transactions, of all or substantially all of the assets of PennantPark Floating Rate Capital Ltd. and its Controlled Subsidiaries taken as a whole to any “person” or “group” (as those terms are used in Section 13(d)(3) of the Exchange Act), other than to any Permitted Holders;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provided </w:t>
            </w:r>
          </w:p>
          <w:p>
            <w:pPr>
              <w:pStyle w:val="TableContents"/>
              <w:bidi w:val="0"/>
              <w:spacing w:before="0" w:after="0"/>
              <w:jc w:val="left"/>
              <w:rPr>
                <w:rFonts w:ascii="Times New Roman" w:hAnsi="Times New Roman"/>
                <w:sz w:val="20"/>
              </w:rPr>
            </w:pPr>
            <w:r>
              <w:rPr>
                <w:rFonts w:ascii="Times New Roman" w:hAnsi="Times New Roman"/>
                <w:sz w:val="20"/>
              </w:rPr>
              <w:t xml:space="preserve">that, for the avoidance of doubt, a pledge of assets pursuant to any secured debt instrument of PennantPark Floating Rate Capital Ltd. or its Controlled Subsidiaries shall not be deemed to be any such sale, lease, transfer, conveyance or disposition;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13d-3</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13d-5</w:t>
            </w:r>
          </w:p>
          <w:p>
            <w:pPr>
              <w:pStyle w:val="TableContents"/>
              <w:bidi w:val="0"/>
              <w:spacing w:before="0" w:after="0"/>
              <w:jc w:val="left"/>
              <w:rPr>
                <w:rFonts w:ascii="Times New Roman" w:hAnsi="Times New Roman"/>
                <w:sz w:val="20"/>
              </w:rPr>
            </w:pPr>
            <w:r>
              <w:rPr>
                <w:rFonts w:ascii="Times New Roman" w:hAnsi="Times New Roman"/>
                <w:sz w:val="20"/>
              </w:rPr>
              <w:t xml:space="preserve">promulgated under the Exchange Act), directly or indirectly, of more than 50% of the outstanding Voting Stock of PennantPark Floating Rate Capital Ltd., measured by voting power rather than number of shares;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(3)</w:t>
            </w:r>
          </w:p>
        </w:tc>
        <w:tc>
          <w:tcPr>
            <w:tcW w:w="98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by PennantPark Floating Rate Capital Ltd.’s stockholders of any plan or proposal relating to the liquidation or dissolution of PennantPark Floating Rate Capital Ltd. </w:t>
            </w:r>
          </w:p>
        </w:tc>
      </w:tr>
    </w:tbl>
    <w:p>
      <w:pPr>
        <w:pStyle w:val="TextBody"/>
        <w:bidi w:val="0"/>
        <w:spacing w:before="240" w:after="0"/>
        <w:jc w:val="left"/>
        <w:rPr/>
      </w:pPr>
      <w:r>
        <w:rPr/>
        <w:t>“</w:t>
      </w:r>
      <w:r>
        <w:rPr>
          <w:rFonts w:ascii="Times New Roman" w:hAnsi="Times New Roman"/>
          <w:sz w:val="20"/>
        </w:rPr>
        <w:t xml:space="preserve">Change of Control Repurchase Event” means the occurrence of a Change of Control and a Below Investment Grade Rating Event. </w:t>
      </w:r>
    </w:p>
    <w:p>
      <w:pPr>
        <w:pStyle w:val="TextBody"/>
        <w:bidi w:val="0"/>
        <w:spacing w:before="240" w:after="0"/>
        <w:jc w:val="left"/>
        <w:rPr/>
      </w:pPr>
      <w:r>
        <w:rPr/>
        <w:t>“</w:t>
      </w:r>
      <w:r>
        <w:rPr>
          <w:rFonts w:ascii="Times New Roman" w:hAnsi="Times New Roman"/>
          <w:sz w:val="20"/>
        </w:rPr>
        <w:t xml:space="preserve">Controlled Subsidiary” means any subsidiary of PennantPark Floating Rate Capital Ltd., 50% or more of the outstanding equity interests of which are owned by PennantPark Floating Rate Capital Ltd. and its direct or indirect subsidiaries and of which PennantPark Floating Rate Capital Ltd. possesses, directly or indirectly, the power to direct or cause the direction of the management or policies, whether through the ownership of voting equity interests, by agreement or otherwise. </w:t>
      </w:r>
    </w:p>
    <w:p>
      <w:pPr>
        <w:pStyle w:val="TextBody"/>
        <w:bidi w:val="0"/>
        <w:spacing w:before="240" w:after="0"/>
        <w:jc w:val="left"/>
        <w:rPr/>
      </w:pPr>
      <w:r>
        <w:rPr/>
        <w:t>“</w:t>
      </w:r>
      <w:r>
        <w:rPr>
          <w:rFonts w:ascii="Times New Roman" w:hAnsi="Times New Roman"/>
          <w:sz w:val="20"/>
        </w:rPr>
        <w:t xml:space="preserve">DBRS” means DBRS, Inc.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w:t>
      </w:r>
      <w:r>
        <w:rPr>
          <w:rFonts w:ascii="Times New Roman" w:hAnsi="Times New Roman"/>
          <w:sz w:val="20"/>
        </w:rPr>
        <w:t xml:space="preserve">Investment Grade” means a rating of BBB (low) or better by DBRS (or its equivalent under any successor rating categories of DBRS) (or if DBRS ceases to rate the Notes for reasons outside of our control, the equivalent investment grade credit rating from any Rating Agency selected by us as a replacement Rating Agency). </w:t>
      </w:r>
    </w:p>
    <w:p>
      <w:pPr>
        <w:pStyle w:val="TextBody"/>
        <w:bidi w:val="0"/>
        <w:spacing w:before="240" w:after="0"/>
        <w:jc w:val="left"/>
        <w:rPr/>
      </w:pPr>
      <w:r>
        <w:rPr/>
        <w:t>“</w:t>
      </w:r>
      <w:r>
        <w:rPr>
          <w:rFonts w:ascii="Times New Roman" w:hAnsi="Times New Roman"/>
          <w:sz w:val="20"/>
        </w:rPr>
        <w:t xml:space="preserve">Permitted Holders” means (i) us, (ii) one or more of our Controlled Subsidiaries and (iii) the Investment Adviser, any affiliate of the Investment Adviser or any entity that is managed or advised by the Investment Adviser or any of its affiliates that is organized under the laws of a jurisdiction located in the U.S. and in the business of managing or advising clients. </w:t>
      </w:r>
    </w:p>
    <w:p>
      <w:pPr>
        <w:pStyle w:val="TextBody"/>
        <w:bidi w:val="0"/>
        <w:spacing w:before="240" w:after="0"/>
        <w:jc w:val="left"/>
        <w:rPr/>
      </w:pPr>
      <w:r>
        <w:rPr/>
        <w:t>“</w:t>
      </w:r>
      <w:r>
        <w:rPr>
          <w:rFonts w:ascii="Times New Roman" w:hAnsi="Times New Roman"/>
          <w:sz w:val="20"/>
        </w:rPr>
        <w:t xml:space="preserve">Rating Agency” means: </w:t>
      </w:r>
    </w:p>
    <w:p>
      <w:pPr>
        <w:pStyle w:val="TextBody"/>
        <w:bidi w:val="0"/>
        <w:spacing w:before="120" w:after="0"/>
        <w:jc w:val="left"/>
        <w:rPr>
          <w:rFonts w:ascii="Times New Roman" w:hAnsi="Times New Roman"/>
          <w:sz w:val="20"/>
        </w:rPr>
      </w:pPr>
      <w:r>
        <w:rPr>
          <w:rFonts w:ascii="Times New Roman" w:hAnsi="Times New Roman"/>
          <w:sz w:val="20"/>
        </w:rPr>
        <w:t xml:space="preserve">(1) DBRS; and </w:t>
      </w:r>
    </w:p>
    <w:p>
      <w:pPr>
        <w:pStyle w:val="TextBody"/>
        <w:bidi w:val="0"/>
        <w:spacing w:before="240" w:after="0"/>
        <w:jc w:val="left"/>
        <w:rPr>
          <w:rFonts w:ascii="Times New Roman" w:hAnsi="Times New Roman"/>
          <w:sz w:val="20"/>
        </w:rPr>
      </w:pPr>
      <w:r>
        <w:rPr>
          <w:rFonts w:ascii="Times New Roman" w:hAnsi="Times New Roman"/>
          <w:sz w:val="20"/>
        </w:rPr>
        <w:t xml:space="preserve">(2) if DBRS ceases to rate the Notes or fails to make a rating of the Notes publicly available for reasons outside of our control, a “nationally recognized statistical rating organization” as defined in Section 3(a)(62) of the Exchange Act selected by us as a replacement agency for DBRS. </w:t>
      </w:r>
    </w:p>
    <w:p>
      <w:pPr>
        <w:pStyle w:val="TextBody"/>
        <w:bidi w:val="0"/>
        <w:spacing w:before="240" w:after="0"/>
        <w:jc w:val="left"/>
        <w:rPr/>
      </w:pPr>
      <w:r>
        <w:rPr/>
        <w:t>“</w:t>
      </w:r>
      <w:r>
        <w:rPr>
          <w:rFonts w:ascii="Times New Roman" w:hAnsi="Times New Roman"/>
          <w:sz w:val="20"/>
        </w:rPr>
        <w:t xml:space="preserve">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standard covenants relating to payment of principal and interest, maintaining an office where payments may be made or securities can be surrendered for payment and related matters, the following covenants will apply to the Notes, the following covenants shall apply to the Notes.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we will not merge or consolidate with or into any other person (other than a merger of a wholly owned subsidiary into the Company), or sell, transfer, lease, convey or otherwise dispose of all or substantially all our property (provided that, for the avoidance of doubt, a pledge of assets pursuant to any secured debt instrument of the Company or its subsidiaries will not be deemed to be any such sale, transfer, lease, conveyance or disposition; and provided further that this covenant will not apply to any sale, transfer, lease, conveyance, or other disposition of all or substantially all of our property to a wholly owned subsidiary of the Company) in any one transaction or series of related transactions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the surviving person (the “Surviving Person”) or the Surviving Person (if other than the Company) formed by such merger or consolidation or to which such sale, transfer, lease, conveyance or disposition is made will be a corporation or limited liability company or trust organized and existing under the laws of the U.S. or any state or territory thereof or the District of Columbia;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such transaction or series of related transactions, no default or event of default will have occurred and be continuing;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will be deemed to be the transfer of all or substantially all of our property. </w:t>
      </w:r>
    </w:p>
    <w:p>
      <w:pPr>
        <w:pStyle w:val="TextBody"/>
        <w:bidi w:val="0"/>
        <w:spacing w:before="240" w:after="0"/>
        <w:jc w:val="left"/>
        <w:rPr>
          <w:rFonts w:ascii="Times New Roman" w:hAnsi="Times New Roman"/>
          <w:sz w:val="20"/>
        </w:rPr>
      </w:pPr>
      <w:r>
        <w:rPr>
          <w:rFonts w:ascii="Times New Roman" w:hAnsi="Times New Roman"/>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An assumption by any person of obligations under the Notes and the indenture might be deemed for U.S. federal income tax purposes to be an exchange of the Notes for new Notes by the beneficial owners thereof, potentially resulting in recognition of gain or loss for such purposes and possibly other adverse tax consequences to the beneficial owners. Beneficial owners of the Notes should consult their own tax advisors regarding the tax consequences of such an assumption.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Covenants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it will not violate, whether or not the Company is subject thereto, Section 18(a)(1)(A) as modified by Section 61(a) of the 1940 Act or any successor provisions, but giving effect, in either case, to any exemptive relief granted to the Company by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the Company is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its fiscal year end, and unaudited interim consolidated financial statements, within 45 days of its fiscal quarter end (other than its fourth fiscal quarter). All such financial statements will be prepared, in all material respects, in accordance with GAAP, as applicable. Delivery of such financial statements to the Trustee is for informational purposes only and the Trustee’s receipt of such shall not constitute actual or constructive notice of any information contained therein or determinable from information contained therein, including our compliance with any of its covenants hereunder (as to which the Trustee is entitled to rely exclusively on officers’ certificates).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Notes issued thereunder.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Notes without your specific approval. The following is a list of those types of changes: </w:t>
      </w:r>
    </w:p>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the Notes; </w:t>
            </w:r>
          </w:p>
        </w:tc>
      </w:tr>
    </w:tbl>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10"/>
        <w:gridCol w:w="60"/>
        <w:gridCol w:w="3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the Notes;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the Notes following a default;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(except as otherwise described in the accompanying prospectus or this prospectus supplement) or currency of payment on the Notes;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9775" w:type="dxa"/>
        <w:jc w:val="left"/>
        <w:tblInd w:w="0" w:type="dxa"/>
        <w:tblLayout w:type="fixed"/>
        <w:tblCellMar>
          <w:top w:w="0" w:type="dxa"/>
          <w:left w:w="0" w:type="dxa"/>
          <w:bottom w:w="0" w:type="dxa"/>
          <w:right w:w="0" w:type="dxa"/>
        </w:tblCellMar>
      </w:tblPr>
      <w:tblGrid>
        <w:gridCol w:w="75"/>
        <w:gridCol w:w="110"/>
        <w:gridCol w:w="60"/>
        <w:gridCol w:w="9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Notes;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the Notes whose consent is needed to modify or amend the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the Notes whose consent is needed to waive compliance with certain provisions of the indenture or to waive certain defaults;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certain of the provisions of the indenture dealing with supplemental indentures, modification and waiver of past defaults, changes to the quorum or voting requirements or the waiver of certain covenants;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The second type of change does not require any vote by the holders of the Notes. This type is limited to clarifications, establishment of the form or terms of new securities of any series as permitted by the</w:t>
      </w:r>
    </w:p>
    <w:p>
      <w:pPr>
        <w:pStyle w:val="TextBody"/>
        <w:bidi w:val="0"/>
        <w:spacing w:before="120" w:after="0"/>
        <w:jc w:val="left"/>
        <w:rPr>
          <w:rFonts w:ascii="Times New Roman" w:hAnsi="Times New Roman"/>
          <w:sz w:val="20"/>
        </w:rPr>
      </w:pPr>
      <w:r>
        <w:rPr>
          <w:rFonts w:ascii="Times New Roman" w:hAnsi="Times New Roman"/>
          <w:sz w:val="20"/>
        </w:rPr>
        <w:t xml:space="preserve">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Notes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the Notes issued under the indenture, it must be approved by the holders of a majority in principal amount of the Notes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the Notes issued under the indenture, it must be approved by the holders of a majority in aggregate principal amount of all of the Notes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Changes Requiring Your Approval</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the Notes: </w:t>
      </w:r>
    </w:p>
    <w:p>
      <w:pPr>
        <w:pStyle w:val="TextBody"/>
        <w:bidi w:val="0"/>
        <w:spacing w:before="240" w:after="0"/>
        <w:jc w:val="left"/>
        <w:rPr>
          <w:rFonts w:ascii="Times New Roman" w:hAnsi="Times New Roman"/>
          <w:sz w:val="20"/>
        </w:rPr>
      </w:pPr>
      <w:r>
        <w:rPr>
          <w:rFonts w:ascii="Times New Roman" w:hAnsi="Times New Roman"/>
          <w:sz w:val="20"/>
        </w:rPr>
        <w:t>The Notes will not be considered outstanding, and therefore not eligible to vote, if we have deposited or set aside in trust money for their payment or redemption. The Notes will also not be eligible to vote if they have been fully defeased as described later under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Defeasance—Legal Defeasance</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approval may be granted or denied if we seek to change the indenture or the Notes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is an event of default: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(1)</w:t>
            </w:r>
          </w:p>
        </w:tc>
        <w:tc>
          <w:tcPr>
            <w:tcW w:w="98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Notes when due and payable and the default continues for a period of 30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(2)</w:t>
            </w:r>
          </w:p>
        </w:tc>
        <w:tc>
          <w:tcPr>
            <w:tcW w:w="98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(or premium, if any, on) any Note when it becomes due and payable at its maturity, including upon any redemption date or required repurchase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(3)</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(4)</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default by the Company or any of its significant subsidiaries, as defined in Article 1,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1-02</w:t>
            </w:r>
          </w:p>
          <w:p>
            <w:pPr>
              <w:pStyle w:val="TableContents"/>
              <w:bidi w:val="0"/>
              <w:spacing w:before="0" w:after="0"/>
              <w:jc w:val="left"/>
              <w:rPr>
                <w:rFonts w:ascii="Times New Roman" w:hAnsi="Times New Roman"/>
                <w:sz w:val="20"/>
              </w:rPr>
            </w:pPr>
            <w:r>
              <w:rPr>
                <w:rFonts w:ascii="Times New Roman" w:hAnsi="Times New Roman"/>
                <w:sz w:val="20"/>
              </w:rPr>
              <w:t xml:space="preserve">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S-X</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(as applicable to business development companies) (but excluding any subsidiary which is (a)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non-recourse</w:t>
            </w:r>
          </w:p>
          <w:p>
            <w:pPr>
              <w:pStyle w:val="TableContents"/>
              <w:bidi w:val="0"/>
              <w:spacing w:before="0" w:after="0"/>
              <w:jc w:val="left"/>
              <w:rPr>
                <w:rFonts w:ascii="Times New Roman" w:hAnsi="Times New Roman"/>
                <w:sz w:val="20"/>
              </w:rPr>
            </w:pPr>
            <w:r>
              <w:rPr>
                <w:rFonts w:ascii="Times New Roman" w:hAnsi="Times New Roman"/>
                <w:sz w:val="20"/>
              </w:rPr>
              <w:t xml:space="preserve">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will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(5)</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Section 18(a)(1)(C)(ii) and Section 61 of the 1940 Act, or any successor provisions, on the last business day of each of 24 consecutive calendar months, any class of securities will have an asset coverage (as such term is used in the 1940 Act) of less than 100%, giving effect to any amendments to such provisions of the 1940 Act or to any exemptive relief granted to us by the SEC;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(6)</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involving the Company occur and remain undischarged or unstayed for a period of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will become immediately due and payable. Notwithstanding the foregoing, in the case of the events of bankruptcy, insolvency or reorganization described in item (6) above, 100% of the principal of and accrued and unpaid interest on the Notes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No holder of Notes will have any right to institute any proceeding, judicial or otherwise, with respect to the indenture, or for the appointment of a receiver or Trustee, or for any other remedy under the indenture, unless: </w:t>
      </w:r>
    </w:p>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230"/>
        <w:gridCol w:w="98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9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holder has previously given written notice to the Trustee of a continuing event of default with respect to the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(ii)</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Notes have made a written request to the Trustee to institute proceedings in respect of such event of default;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1"/>
        <w:gridCol w:w="9809"/>
      </w:tblGrid>
      <w:tr>
        <w:trPr/>
        <w:tc>
          <w:tcPr>
            <w:tcW w:w="7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(iii)</w:t>
            </w:r>
          </w:p>
        </w:tc>
        <w:tc>
          <w:tcPr>
            <w:tcW w:w="98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have offered to the Trustee security or indemnity satisfactory to the Trustee against the costs, expenses and liabilities to be incurred in compliance with such request;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6"/>
        <w:gridCol w:w="9794"/>
      </w:tblGrid>
      <w:tr>
        <w:trPr/>
        <w:tc>
          <w:tcPr>
            <w:tcW w:w="75"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(iv)</w:t>
            </w:r>
          </w:p>
        </w:tc>
        <w:tc>
          <w:tcPr>
            <w:tcW w:w="97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Trustee for 60 days after its receipt of such notice, request and offer of security or indemnity has failed to institute any such proceeding; and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290"/>
        <w:gridCol w:w="75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(v)</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direction inconsistent with such written request has been given to the Trustee during 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60-day</w:t>
            </w:r>
          </w:p>
          <w:p>
            <w:pPr>
              <w:pStyle w:val="TableContents"/>
              <w:bidi w:val="0"/>
              <w:spacing w:before="0" w:after="0"/>
              <w:jc w:val="left"/>
              <w:rPr>
                <w:rFonts w:ascii="Times New Roman" w:hAnsi="Times New Roman"/>
                <w:sz w:val="20"/>
              </w:rPr>
            </w:pPr>
            <w:r>
              <w:rPr>
                <w:rFonts w:ascii="Times New Roman" w:hAnsi="Times New Roman"/>
                <w:sz w:val="20"/>
              </w:rPr>
              <w:t xml:space="preserve">period by the holders of a majority in principal amount of the outstanding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Note will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will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The Trustee will be under no obligation to exercise any of the rights or powers vested in it by the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provided</w:t>
      </w:r>
    </w:p>
    <w:p>
      <w:pPr>
        <w:pStyle w:val="TextBody"/>
        <w:bidi w:val="0"/>
        <w:spacing w:before="240" w:after="0"/>
        <w:jc w:val="left"/>
        <w:rPr>
          <w:rFonts w:ascii="Times New Roman" w:hAnsi="Times New Roman"/>
          <w:sz w:val="20"/>
        </w:rPr>
      </w:pPr>
      <w:r>
        <w:rPr>
          <w:rFonts w:ascii="Times New Roman" w:hAnsi="Times New Roman"/>
          <w:sz w:val="20"/>
        </w:rPr>
        <w:t xml:space="preserve">that (i) such direction will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will cease to exist, and any event of default arising therefrom will be deemed to have been cured, for every purpose, but no such waiver will extend to any subsequent or other default or event of default or impair any right consequent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required to deliver to the Trustee, within 120 days after the end of each fiscal year, an officers’ certificate stating that to the knowledge of the signers whether we are in default in the performance of any of the terms, provisions or conditions of the indenture. </w:t>
      </w:r>
    </w:p>
    <w:p>
      <w:pPr>
        <w:pStyle w:val="TextBody"/>
        <w:bidi w:val="0"/>
        <w:spacing w:before="240" w:after="0"/>
        <w:jc w:val="left"/>
        <w:rPr>
          <w:rFonts w:ascii="Times New Roman" w:hAnsi="Times New Roman"/>
          <w:sz w:val="20"/>
        </w:rPr>
      </w:pPr>
      <w:r>
        <w:rPr>
          <w:rFonts w:ascii="Times New Roman" w:hAnsi="Times New Roman"/>
          <w:sz w:val="20"/>
        </w:rPr>
        <w:t>Within 90 days after the occurrence of any default under the indenture with respect to the Notes, the Trustee will transmit notice of such default actually known to a responsible officer of the Trustee, unless such default will have been cured or waived;</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provided, however,</w:t>
      </w:r>
    </w:p>
    <w:p>
      <w:pPr>
        <w:pStyle w:val="TextBody"/>
        <w:bidi w:val="0"/>
        <w:spacing w:before="240" w:after="0"/>
        <w:jc w:val="left"/>
        <w:rPr>
          <w:rFonts w:ascii="Times New Roman" w:hAnsi="Times New Roman"/>
          <w:sz w:val="20"/>
        </w:rPr>
      </w:pPr>
      <w:r>
        <w:rPr>
          <w:rFonts w:ascii="Times New Roman" w:hAnsi="Times New Roman"/>
          <w:sz w:val="20"/>
        </w:rPr>
        <w:t xml:space="preserve">that, except in the case of a default in the payment of the principal of (or premium, if any, on) or interest, if any, on any of the Notes, the Trustee will be protected in withholding such notice if and so long as it in good faith determines that withholding of such notice is in the interest of the holders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We may satisfy and discharge its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subject to covenant defeasance and legal defeasance. </w:t>
      </w:r>
    </w:p>
    <w:p>
      <w:pPr>
        <w:pStyle w:val="TextBody"/>
        <w:bidi w:val="0"/>
        <w:spacing w:before="360" w:after="0"/>
        <w:jc w:val="left"/>
        <w:rPr>
          <w:rFonts w:ascii="Times New Roman" w:hAnsi="Times New Roman"/>
          <w:b/>
          <w:sz w:val="20"/>
        </w:rPr>
      </w:pPr>
      <w:r>
        <w:rPr>
          <w:rFonts w:ascii="Times New Roman" w:hAnsi="Times New Roman"/>
          <w:b/>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and officers’ certificate stating that all conditions precedent to covenant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Legal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tax law, as described below, the Company can legally release itself from all payment and other obligations on the Notes (called “defeasance” or “legal defeasance”) if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subject to customary limitations and exclusions, that there has been a change in current U.S. federal tax law or an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Equiniti Trust Company, LLC is the Trustee, Registrar and Paying Agent. Equiniti Trust Company, LLC, in each of its capacities, including as Trustee,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settlement amounts and any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may maintain banking relationships in the ordinary course of business with the Trustee and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with respect to the Notes provided that a successor trustee is appointed to act with respect to these series. In the event that two or more persons are acting as trustee with respect to different series of securities issued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past, present or future director, officer, employee, incorporator or stockholder of the Company, as such, will have any liability for any obligations of the Company’s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it and the Notes will be governed by, and construed in accordance with, the law of the State of New York, without regard to principles of conflicts of laws that would cause the application of laws of another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Settlement and Clearance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 Ownership of beneficial interests in a Global Note will be limited to persons who have accounts with DTC, or DTC participants, or persons who hold interests through DTC participants. We expect that under procedures established by DTC: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a Global Note with DTC’s custodian, DTC will credit portions of the principal amount of the Global Note to the accounts of the DTC participants designated by the underwriters;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Global Notes may not be exchanged for Notes in physical, certificated form except in the limited circumstances described below.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Book-Entry Procedures for Global Notes </w:t>
      </w:r>
    </w:p>
    <w:p>
      <w:pPr>
        <w:pStyle w:val="TextBody"/>
        <w:bidi w:val="0"/>
        <w:spacing w:before="120" w:after="0"/>
        <w:jc w:val="left"/>
        <w:rPr>
          <w:rFonts w:ascii="Times New Roman" w:hAnsi="Times New Roman"/>
          <w:sz w:val="20"/>
        </w:rPr>
      </w:pPr>
      <w:r>
        <w:rPr>
          <w:rFonts w:ascii="Times New Roman" w:hAnsi="Times New Roman"/>
          <w:sz w:val="20"/>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the Company, the Trustee nor the underwriters are responsible for those operations or procedures.</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the Company that it is: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limited purpose trust company organized under the laws of the State of New York;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75"/>
        <w:gridCol w:w="110"/>
        <w:gridCol w:w="6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State Banking Law;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Uniform Commercial Code; and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long as DTC’s nominee is the registered owner of a Global Note, that nominee will be considered the sole owner or holder of the Notes represented by that Global Note for all purposes under the indenture. Except as provided below, owners of beneficial interests in a Global Note: </w:t>
      </w:r>
    </w:p>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Notes represented by the Global Note registered in their names;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certificated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Notes under the indenture for any purpose, including with respect to receiving notices or the giving of any direction, instruction or approval to the Trustee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 </w:t>
      </w:r>
    </w:p>
    <w:p>
      <w:pPr>
        <w:pStyle w:val="TextBody"/>
        <w:bidi w:val="0"/>
        <w:spacing w:before="240" w:after="0"/>
        <w:jc w:val="left"/>
        <w:rPr>
          <w:rFonts w:ascii="Times New Roman" w:hAnsi="Times New Roman"/>
          <w:sz w:val="20"/>
        </w:rPr>
      </w:pPr>
      <w:r>
        <w:rPr>
          <w:rFonts w:ascii="Times New Roman" w:hAnsi="Times New Roman"/>
          <w:sz w:val="20"/>
        </w:rPr>
        <w:t xml:space="preserve">Payments by participants and indirect participants in DTC to the owners of beneficial interests in a Global Note will be governed by standing instructions and customary industry practice and will be the responsibility of those participants or indirect participants and DTC.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same-day</w:t>
      </w:r>
    </w:p>
    <w:p>
      <w:pPr>
        <w:pStyle w:val="TextBody"/>
        <w:bidi w:val="0"/>
        <w:spacing w:before="240" w:after="0"/>
        <w:jc w:val="left"/>
        <w:rPr>
          <w:rFonts w:ascii="Times New Roman" w:hAnsi="Times New Roman"/>
          <w:sz w:val="20"/>
        </w:rPr>
      </w:pPr>
      <w:r>
        <w:rPr>
          <w:rFonts w:ascii="Times New Roman" w:hAnsi="Times New Roman"/>
          <w:sz w:val="20"/>
        </w:rPr>
        <w:t xml:space="preserve">funds settlement applicable to DTC. Euroclear and Clearstream participants may not deliver instructions directly to the DTC depositaries that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are acting for Euroclear or Clearstream.</w:t>
      </w:r>
    </w:p>
    <w:p>
      <w:pPr>
        <w:pStyle w:val="TextBody"/>
        <w:bidi w:val="0"/>
        <w:spacing w:before="240" w:after="0"/>
        <w:jc w:val="left"/>
        <w:rPr>
          <w:rFonts w:ascii="Times New Roman" w:hAnsi="Times New Roman"/>
          <w:sz w:val="20"/>
        </w:rPr>
      </w:pPr>
      <w:r>
        <w:rPr>
          <w:rFonts w:ascii="Times New Roman" w:hAnsi="Times New Roman"/>
          <w:sz w:val="20"/>
        </w:rPr>
        <w:t xml:space="preserve">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or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Transfers between participants in DTC will be effected under DTC’s procedures and will be settled in </w:t>
      </w:r>
    </w:p>
    <w:p>
      <w:pPr>
        <w:pStyle w:val="TextBody"/>
        <w:bidi w:val="0"/>
        <w:spacing w:before="0" w:after="0"/>
        <w:jc w:val="left"/>
        <w:rPr>
          <w:rFonts w:ascii="Times New Roman" w:hAnsi="Times New Roman"/>
          <w:spacing w:val="0"/>
          <w:sz w:val="20"/>
        </w:rPr>
      </w:pPr>
      <w:r>
        <w:rPr>
          <w:rFonts w:ascii="Times New Roman" w:hAnsi="Times New Roman"/>
          <w:spacing w:val="0"/>
          <w:sz w:val="20"/>
        </w:rPr>
        <w:t>same-day</w:t>
      </w:r>
    </w:p>
    <w:p>
      <w:pPr>
        <w:pStyle w:val="TextBody"/>
        <w:bidi w:val="0"/>
        <w:spacing w:before="0" w:after="0"/>
        <w:jc w:val="left"/>
        <w:rPr>
          <w:rFonts w:ascii="Times New Roman" w:hAnsi="Times New Roman"/>
          <w:sz w:val="20"/>
        </w:rPr>
      </w:pPr>
      <w:r>
        <w:rPr>
          <w:rFonts w:ascii="Times New Roman" w:hAnsi="Times New Roman"/>
          <w:sz w:val="20"/>
        </w:rPr>
        <w:t xml:space="preserve">funds.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proposed transfer outside the book entry only system, the Trustee will be provided all information reasonably requested by the Trustee that is necessary to allow the Trustee to comply with any applicable tax reporting obligations, including any cost basis reporting obligations under Section 6045 of the Code. The Trustee may rely on the information provided to it and will have no responsibility to verify or ensure the accuracy of such information.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Notes in physical, certificated form will be issued and delivered to each person that DTC identifies as a beneficial owner of the related Notes only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at any time that it is unwilling or unable to continue as depositary for the Global Notes and a successor depositary is not appointed within 90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DTC ceases to be registered as a clearing agency under the Exchange Act and a successor depositary is not appointed within 90 days;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has occurred and is continuing and such beneficial owner requests that its Notes be issued in physical, certificated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CERTAIN U.S. FEDERAL INCOME TAX CONSIDERATIONS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general summary of certain U.S., or U.S., federal income tax considerations (and, in the case of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(as defined below), certain U.S.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Internal Revenue Service, or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U.S., persons holding the Notes as a hedge against currency risks or as a position in a “straddle,” “hedge,” “constructive sale transaction” or “conversion transaction” for tax purposes, entities that are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tax-exempt</w:t>
      </w:r>
    </w:p>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retirement plans, individual retirement accounts,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tax-deferred</w:t>
      </w:r>
    </w:p>
    <w:p>
      <w:pPr>
        <w:pStyle w:val="TextBody"/>
        <w:bidi w:val="0"/>
        <w:spacing w:before="240" w:after="0"/>
        <w:jc w:val="left"/>
        <w:rPr>
          <w:rFonts w:ascii="Times New Roman" w:hAnsi="Times New Roman"/>
          <w:sz w:val="20"/>
        </w:rPr>
      </w:pPr>
      <w:r>
        <w:rPr>
          <w:rFonts w:ascii="Times New Roman" w:hAnsi="Times New Roman"/>
          <w:sz w:val="20"/>
        </w:rPr>
        <w:t xml:space="preserve">accounts, persons subject to the alternative minimum tax, persons subject to special rules for the taxable year of inclusion under Section 451(b) of the Code, pass-through entities (including partnerships and entities and arrangements classified as partnerships for U.S.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U.S. federal tax laws to you in light of your particular situation, as well as any consequences to you of purchasing, owning and disposing of the Notes under the laws of any other taxing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the term “U.S. holder” means a beneficial owner of a Note that is, for U.S. federal income tax purposes, (i) an individual who is a citizen or resident of the U.S., (ii) a corporation or other entity treated as a corporation for U.S. federal income tax purposes, created or organized in or under the laws of the U.S. or of any political subdivision thereof, (iii) a trust (a) subject to the control of one or more U.S. persons and the primary supervision of a court in the U.S., or (b) that has a valid election (under applicable Treasury Regulations) to be treated as a U.S. person for U.S. federal income tax purposes, or (iv) an estate the income of which is subject to U.S. federal income taxation regardless of its source. The term </w:t>
      </w:r>
    </w:p>
    <w:p>
      <w:pPr>
        <w:pStyle w:val="TextBody"/>
        <w:bidi w:val="0"/>
        <w:spacing w:before="240" w:after="0"/>
        <w:jc w:val="left"/>
        <w:rPr>
          <w:spacing w:val="0"/>
        </w:rPr>
      </w:pPr>
      <w:r>
        <w:rPr>
          <w:spacing w:val="0"/>
        </w:rPr>
        <w:t>“</w:t>
      </w: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means a beneficial owner of a Note that is neither a U.S. holder nor a partnership (including an entity or arrangement treated as a partnership for U.S. federal income tax purposes). An individual may, subject to exceptions, be deemed to be a resident of the U.S. for U.S. federal income tax purposes, as opposed 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non-resident</w:t>
      </w:r>
    </w:p>
    <w:p>
      <w:pPr>
        <w:pStyle w:val="TextBody"/>
        <w:bidi w:val="0"/>
        <w:spacing w:before="240" w:after="0"/>
        <w:jc w:val="left"/>
        <w:rPr>
          <w:rFonts w:ascii="Times New Roman" w:hAnsi="Times New Roman"/>
          <w:sz w:val="20"/>
        </w:rPr>
      </w:pPr>
      <w:r>
        <w:rPr>
          <w:rFonts w:ascii="Times New Roman" w:hAnsi="Times New Roman"/>
          <w:sz w:val="20"/>
        </w:rPr>
        <w:t xml:space="preserve">alien, by, among other ways, being present in the U.S. (i) on at least 31 days in the calendar year, and (ii) for an aggregate of at least 183 days during a three-year period ending in the current calendar year, counting for such purposes all of the days present in the current year,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one-third</w:t>
      </w:r>
    </w:p>
    <w:p>
      <w:pPr>
        <w:pStyle w:val="TextBody"/>
        <w:bidi w:val="0"/>
        <w:spacing w:before="240" w:after="0"/>
        <w:jc w:val="left"/>
        <w:rPr>
          <w:rFonts w:ascii="Times New Roman" w:hAnsi="Times New Roman"/>
          <w:sz w:val="20"/>
        </w:rPr>
      </w:pPr>
      <w:r>
        <w:rPr>
          <w:rFonts w:ascii="Times New Roman" w:hAnsi="Times New Roman"/>
          <w:sz w:val="20"/>
        </w:rPr>
        <w:t xml:space="preserve">of the days present in the immediately preceding year,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one-sixth</w:t>
      </w:r>
    </w:p>
    <w:p>
      <w:pPr>
        <w:pStyle w:val="TextBody"/>
        <w:bidi w:val="0"/>
        <w:spacing w:before="240" w:after="0"/>
        <w:jc w:val="left"/>
        <w:rPr>
          <w:rFonts w:ascii="Times New Roman" w:hAnsi="Times New Roman"/>
          <w:sz w:val="20"/>
        </w:rPr>
      </w:pPr>
      <w:r>
        <w:rPr>
          <w:rFonts w:ascii="Times New Roman" w:hAnsi="Times New Roman"/>
          <w:sz w:val="20"/>
        </w:rPr>
        <w:t xml:space="preserve">of the days present in the second preceding year. Individuals who are residents for such purposes are subject to U.S. federal income tax as if they were U.S. citizens.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 of partnerships holding Notes should consult their own tax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Taxation of Note Holders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Taxation of U.S. Holders </w:t>
      </w:r>
    </w:p>
    <w:p>
      <w:pPr>
        <w:pStyle w:val="TextBody"/>
        <w:bidi w:val="0"/>
        <w:spacing w:before="120" w:after="0"/>
        <w:jc w:val="left"/>
        <w:rPr>
          <w:rFonts w:ascii="Times New Roman" w:hAnsi="Times New Roman"/>
          <w:sz w:val="20"/>
        </w:rPr>
      </w:pPr>
      <w:r>
        <w:rPr>
          <w:rFonts w:ascii="Times New Roman" w:hAnsi="Times New Roman"/>
          <w:sz w:val="20"/>
        </w:rPr>
        <w:t xml:space="preserve">Payments or accruals of interest on a Note generally will be taxable to a U.S. holder as ordinary interest income at the time 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not less than a statutory de minimis amount, the holder will be required to recognize additional interest as “original issue discount” over the term of the instrument, irrespective of the holder’s regular method of tax accounting. We expect that the Notes will not be treated as issued with original issue discount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non-corporate</w:t>
      </w:r>
    </w:p>
    <w:p>
      <w:pPr>
        <w:pStyle w:val="TextBody"/>
        <w:bidi w:val="0"/>
        <w:spacing w:before="240" w:after="0"/>
        <w:jc w:val="left"/>
        <w:rPr>
          <w:rFonts w:ascii="Times New Roman" w:hAnsi="Times New Roman"/>
          <w:sz w:val="20"/>
        </w:rPr>
      </w:pPr>
      <w:r>
        <w:rPr>
          <w:rFonts w:ascii="Times New Roman" w:hAnsi="Times New Roman"/>
          <w:sz w:val="20"/>
        </w:rPr>
        <w:t xml:space="preserve">U.S. holders generally are eligible for reduced rates of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U.S. Treasury Regulations, if a shareholder recognizes a loss with respect to the Notes in excess of certain prescribed thresholds (generally, $2 million or more for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non-corporate</w:t>
      </w:r>
    </w:p>
    <w:p>
      <w:pPr>
        <w:pStyle w:val="TextBody"/>
        <w:bidi w:val="0"/>
        <w:spacing w:before="240" w:after="0"/>
        <w:jc w:val="left"/>
        <w:rPr>
          <w:rFonts w:ascii="Times New Roman" w:hAnsi="Times New Roman"/>
          <w:sz w:val="20"/>
        </w:rPr>
      </w:pPr>
      <w:r>
        <w:rPr>
          <w:rFonts w:ascii="Times New Roman" w:hAnsi="Times New Roman"/>
          <w:sz w:val="20"/>
        </w:rPr>
        <w:t xml:space="preserve">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An additional tax of 3.8% is imposed on certain “net investment income” (or “undistributed net investment income”, in the case of estates and trusts) received by certain taxpayers with modified adjusted gross incomes above certain threshold amounts. “Net investment income” generally includes interest payments and gain recognized from the sale, exchange, redemption or other taxable disposition of the Notes. U.S. holders should consult their own tax advisors regarding the effect, if any, of this tax on their ownership and disposition of the Notes.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Taxation of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Non-U.S.</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Holders </w:t>
      </w:r>
    </w:p>
    <w:p>
      <w:pPr>
        <w:pStyle w:val="TextBody"/>
        <w:bidi w:val="0"/>
        <w:spacing w:before="120" w:after="0"/>
        <w:jc w:val="left"/>
        <w:rPr>
          <w:rFonts w:ascii="Times New Roman" w:hAnsi="Times New Roman"/>
          <w:sz w:val="20"/>
        </w:rPr>
      </w:pPr>
      <w:r>
        <w:rPr>
          <w:rFonts w:ascii="Times New Roman" w:hAnsi="Times New Roman"/>
          <w:sz w:val="20"/>
        </w:rPr>
        <w:t xml:space="preserve">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holder generally will not be subject to U.S. federal income or withholding taxes on payments of principal or interest on a Note provided that in the case of interest on a Note (i) the interest is not effectively connected with the conduct by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holder of a trade or business within the U.S., (ii)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holder is not a controlled foreign corporation related to the Company through sufficient stock ownership, (iii) the recipient is not a bank receiving interest described in Section 881(c)(3)(A) of the Code, (iv)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holder does not own (actually or constructively) 10% or more of the total combined voting power of all classes of stock of the Company, and (v)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holder provides to the applicable withholding agent a statement on an IRS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W-8BEN</w:t>
      </w:r>
    </w:p>
    <w:p>
      <w:pPr>
        <w:pStyle w:val="TextBody"/>
        <w:bidi w:val="0"/>
        <w:spacing w:before="120" w:after="0"/>
        <w:jc w:val="left"/>
        <w:rPr>
          <w:rFonts w:ascii="Times New Roman" w:hAnsi="Times New Roman"/>
          <w:sz w:val="20"/>
        </w:rPr>
      </w:pPr>
      <w:r>
        <w:rPr>
          <w:rFonts w:ascii="Times New Roman" w:hAnsi="Times New Roman"/>
          <w:sz w:val="20"/>
        </w:rPr>
        <w:t xml:space="preserve">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W-8BEN-E</w:t>
      </w:r>
    </w:p>
    <w:p>
      <w:pPr>
        <w:pStyle w:val="TextBody"/>
        <w:bidi w:val="0"/>
        <w:spacing w:before="120" w:after="0"/>
        <w:jc w:val="left"/>
        <w:rPr>
          <w:rFonts w:ascii="Times New Roman" w:hAnsi="Times New Roman"/>
          <w:sz w:val="20"/>
        </w:rPr>
      </w:pPr>
      <w:r>
        <w:rPr>
          <w:rFonts w:ascii="Times New Roman" w:hAnsi="Times New Roman"/>
          <w:sz w:val="20"/>
        </w:rPr>
        <w:t xml:space="preserve">(or other applicable form) signed under penalties of perjury that includes its name and address and certifies that it is not a U.S. person in compliance with applicable requirements, or satisfies documentary evidence requirements for establishing that it is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holder.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holder that is not exempt from tax under these rules generally will be subject to withholding of U.S. federal income tax on payments of interest on the Notes at a rate of 30% unless (i) the interest is effectively connected with the 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 U.S. trade or business, in which case the interest will be subject to U.S. federal income tax on a net income basis as applicable to U.S. holders generally (unless an applicable income tax treaty provides otherwise) and such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holder would be required to provide a properly executed IRS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W-8ECI</w:t>
      </w:r>
    </w:p>
    <w:p>
      <w:pPr>
        <w:pStyle w:val="TextBody"/>
        <w:bidi w:val="0"/>
        <w:spacing w:before="0" w:after="0"/>
        <w:jc w:val="left"/>
        <w:rPr>
          <w:rFonts w:ascii="Times New Roman" w:hAnsi="Times New Roman"/>
          <w:sz w:val="20"/>
        </w:rPr>
      </w:pPr>
      <w:r>
        <w:rPr>
          <w:rFonts w:ascii="Times New Roman" w:hAnsi="Times New Roman"/>
          <w:sz w:val="20"/>
        </w:rPr>
        <w:t xml:space="preserve">in lieu of the certificates described above, or (ii) an applicable income tax treaty provides for a lower rate of, or exemption from, this withholding. In the case of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holder that is a corporation for U.S. federal income tax purposes and that receives income that is effectively connected with the conduct of a U.S. trade or business, such income may also be subject to a branch profits tax (which is generally imposed 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corporation on the actual or deemed repatriation from the U.S. of earnings and profits attributable to a U.S. trade or business) at a 30% rate. The branch profits tax may not apply (or may apply at a reduced rate) if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holder is a qualified resident of a country with which the U.S. has an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To claim the benefit of an income tax treaty or to claim exemption from withholding because interest is effectively connected with a U.S. trade or business,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must timely provide the appropriate, properly executed IRS forms to the applicable withholding agent. These forms may be required to be periodically updated. </w:t>
      </w:r>
    </w:p>
    <w:p>
      <w:pPr>
        <w:pStyle w:val="TextBody"/>
        <w:bidi w:val="0"/>
        <w:spacing w:before="240" w:after="0"/>
        <w:jc w:val="left"/>
        <w:rPr>
          <w:rFonts w:ascii="Times New Roman" w:hAnsi="Times New Roman"/>
          <w:sz w:val="20"/>
        </w:rPr>
      </w:pPr>
      <w:r>
        <w:rPr>
          <w:rFonts w:ascii="Times New Roman" w:hAnsi="Times New Roman"/>
          <w:sz w:val="20"/>
        </w:rPr>
        <w:t xml:space="preserve">Generally,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will not be subject to U.S. federal income or withholding taxes on any amount that constitutes capital gain upon the sale, exchange, redemption or retirement of a Note, provided the gain is not effectively connected with the conduct of a trade or business in the U.S. by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(and, if required by an applicable income tax treaty, is not attributable to a U.S. “permanent establishment” maintained by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Certain other exceptions may be applicable, and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 holder</w:t>
      </w:r>
    </w:p>
    <w:p>
      <w:pPr>
        <w:pStyle w:val="TextBody"/>
        <w:bidi w:val="0"/>
        <w:spacing w:before="240" w:after="0"/>
        <w:jc w:val="left"/>
        <w:rPr>
          <w:rFonts w:ascii="Times New Roman" w:hAnsi="Times New Roman"/>
          <w:sz w:val="20"/>
        </w:rPr>
      </w:pPr>
      <w:r>
        <w:rPr>
          <w:rFonts w:ascii="Times New Roman" w:hAnsi="Times New Roman"/>
          <w:sz w:val="20"/>
        </w:rPr>
        <w:t xml:space="preserve">should consult its tax advisor in this regard. </w:t>
      </w:r>
    </w:p>
    <w:p>
      <w:pPr>
        <w:pStyle w:val="TextBody"/>
        <w:bidi w:val="0"/>
        <w:spacing w:before="240" w:after="0"/>
        <w:jc w:val="left"/>
        <w:rPr>
          <w:rFonts w:ascii="Times New Roman" w:hAnsi="Times New Roman"/>
          <w:sz w:val="20"/>
        </w:rPr>
      </w:pPr>
      <w:r>
        <w:rPr>
          <w:rFonts w:ascii="Times New Roman" w:hAnsi="Times New Roman"/>
          <w:sz w:val="20"/>
        </w:rPr>
        <w:t xml:space="preserve">A Note that is held by an individual who, at the time of death, is not a citizen or resident of the U.S.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 U.S. holder (other than an “exempt recipient,” including a corporation and certain other persons who, 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non-corporate</w:t>
      </w:r>
    </w:p>
    <w:p>
      <w:pPr>
        <w:pStyle w:val="TextBody"/>
        <w:bidi w:val="0"/>
        <w:spacing w:before="120" w:after="0"/>
        <w:jc w:val="left"/>
        <w:rPr>
          <w:rFonts w:ascii="Times New Roman" w:hAnsi="Times New Roman"/>
          <w:sz w:val="20"/>
        </w:rPr>
      </w:pPr>
      <w:r>
        <w:rPr>
          <w:rFonts w:ascii="Times New Roman" w:hAnsi="Times New Roman"/>
          <w:sz w:val="20"/>
        </w:rPr>
        <w:t xml:space="preserve">U.S. holder subject to information reporting fails to furnish a correct taxpayer identification number or otherwise fails to comply with applicable backup withholding requirements, backup withholding at the applicable rate may apply. </w:t>
      </w:r>
    </w:p>
    <w:p>
      <w:pPr>
        <w:pStyle w:val="TextBody"/>
        <w:bidi w:val="0"/>
        <w:spacing w:before="240" w:after="0"/>
        <w:jc w:val="left"/>
        <w:rPr>
          <w:rFonts w:ascii="Times New Roman" w:hAnsi="Times New Roman"/>
          <w:sz w:val="20"/>
        </w:rPr>
      </w:pPr>
      <w:r>
        <w:rPr>
          <w:rFonts w:ascii="Times New Roman" w:hAnsi="Times New Roman"/>
          <w:sz w:val="20"/>
        </w:rPr>
        <w:t xml:space="preserve">If you are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S-38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FATCA Withholding on Payments to Certain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(provisions commonly referred to as “FATCA”) impose a 30% withholding tax on payments of U.S. source interest, and gross proceeds from the sale, redemption, retirement or other disposition of obligations that give rise to U.S. source interest payments, in each case to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entities, including certain foreign financial institutions and investment funds, unless such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entity complies with certain reporting requirements regarding its U.S. account holders and its U.S. owners. An intergovernmental agreement between the U.S. and an applicable foreign country, or future U.S. Treasury regulations or other guidance, may modify these requirements. Accordingly, the entity through which the Notes are held may affect the determination of whether such withholding is required.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FATCA withholding tax will apply to all withholdable payments without regard to whether the beneficial owner of the payment would otherwise be entitled to an exemption from imposition of withholding tax pursuant to an applicable tax treaty with the U.S.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Each prospective purchaser should consult its own tax advisor regarding FATCA and how it may affect such investor in its particular circumstances.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You should consult your own tax advisor with respect to the particular tax consequences to you of an investment in the Notes, including the possible effect of any pending legislation or proposed regulations.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S-39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UNDERWRITING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are offering the Notes described in this prospectus supplement through a number of underwriters. Raymond James &amp; Associates, Inc. is acting as representative of the underwriters. We and the Investment Adviser have entered into an underwriting agreement with the underwriters. Subject to the terms and conditions of the underwriting agreement, we have agreed to sell to the underwriters, and each underwriter has severally agreed to purchase, the aggregate principal amount of notes listed next to its name in the following table: </w:t>
      </w:r>
    </w:p>
    <w:p>
      <w:pPr>
        <w:pStyle w:val="TextBody"/>
        <w:bidi w:val="0"/>
        <w:spacing w:before="0" w:after="0"/>
        <w:jc w:val="left"/>
        <w:rPr>
          <w:spacing w:val="0"/>
        </w:rPr>
      </w:pPr>
      <w:r>
        <w:rPr>
          <w:spacing w:val="0"/>
        </w:rPr>
        <w:t> </w:t>
      </w:r>
    </w:p>
    <w:tbl>
      <w:tblPr>
        <w:tblW w:w="4395" w:type="dxa"/>
        <w:jc w:val="left"/>
        <w:tblInd w:w="0" w:type="dxa"/>
        <w:tblLayout w:type="fixed"/>
        <w:tblCellMar>
          <w:top w:w="0" w:type="dxa"/>
          <w:left w:w="0" w:type="dxa"/>
          <w:bottom w:w="0" w:type="dxa"/>
          <w:right w:w="0" w:type="dxa"/>
        </w:tblCellMar>
      </w:tblPr>
      <w:tblGrid>
        <w:gridCol w:w="2840"/>
        <w:gridCol w:w="120"/>
        <w:gridCol w:w="140"/>
        <w:gridCol w:w="1220"/>
        <w:gridCol w:w="75"/>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0"/>
              <w:jc w:val="left"/>
              <w:rPr>
                <w:b/>
                <w:spacing w:val="0"/>
              </w:rPr>
            </w:pPr>
            <w:r>
              <w:rPr>
                <w:b/>
                <w:spacing w:val="0"/>
              </w:rPr>
              <w:t>Name</w:t>
            </w:r>
          </w:p>
        </w:tc>
        <w:tc>
          <w:tcPr>
            <w:tcW w:w="12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Principal</w:t>
              <w:br/>
              <w:t>Amount</w:t>
              <w:br/>
              <w:t>of Notes</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Raymond James &amp; Associates, Inc.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120,000,000</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Keefe, Bruyette &amp; Woods, Inc.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22,000,000</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Citizens JMP Securities, LLC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22,000,000</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Truist Securities, Inc.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22,000,000</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ING Financial Markets LLC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6,000,000</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Oppenheimer &amp; Co. Inc.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4,000,000</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Regions Securities LLC</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4,000,000</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200,000,000</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non-defaulting</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be increased or the underwriting agreement may be terminated.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and the Investment Adviser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Commissions and Discounts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shows the per Note and total underwriting discounts and commissions that we are to pay to the underwriters in connection with this offering. </w:t>
      </w:r>
    </w:p>
    <w:p>
      <w:pPr>
        <w:pStyle w:val="TextBody"/>
        <w:bidi w:val="0"/>
        <w:spacing w:before="0" w:after="0"/>
        <w:jc w:val="left"/>
        <w:rPr>
          <w:spacing w:val="0"/>
        </w:rPr>
      </w:pPr>
      <w:r>
        <w:rPr>
          <w:spacing w:val="0"/>
        </w:rPr>
        <w:t> </w:t>
      </w:r>
    </w:p>
    <w:tbl>
      <w:tblPr>
        <w:tblW w:w="5635" w:type="dxa"/>
        <w:jc w:val="left"/>
        <w:tblInd w:w="0" w:type="dxa"/>
        <w:tblLayout w:type="fixed"/>
        <w:tblCellMar>
          <w:top w:w="0" w:type="dxa"/>
          <w:left w:w="0" w:type="dxa"/>
          <w:bottom w:w="0" w:type="dxa"/>
          <w:right w:w="0" w:type="dxa"/>
        </w:tblCellMar>
      </w:tblPr>
      <w:tblGrid>
        <w:gridCol w:w="2825"/>
        <w:gridCol w:w="120"/>
        <w:gridCol w:w="74"/>
        <w:gridCol w:w="846"/>
        <w:gridCol w:w="275"/>
        <w:gridCol w:w="60"/>
        <w:gridCol w:w="140"/>
        <w:gridCol w:w="1220"/>
        <w:gridCol w:w="75"/>
      </w:tblGrid>
      <w:tr>
        <w:trPr/>
        <w:tc>
          <w:tcPr>
            <w:tcW w:w="2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0"/>
              <w:jc w:val="center"/>
              <w:rPr>
                <w:b/>
                <w:spacing w:val="0"/>
              </w:rPr>
            </w:pPr>
            <w:r>
              <w:rPr>
                <w:b/>
                <w:spacing w:val="0"/>
              </w:rPr>
              <w:t>Per Note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Public offering price</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99.334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198,668,000</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Underwriting discount (sales load)</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1.200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2,400,000</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before expenses to us</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98.134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196,268,000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The underwriters propose to offer some of the Notes to the public at the public offering price set forth on the cover page of this prospectus supplement and some of the Notes to certain other dealers at the public offering price less a concession not in excess of 0.40% of the</w:t>
      </w:r>
    </w:p>
    <w:p>
      <w:pPr>
        <w:pStyle w:val="TextBody"/>
        <w:bidi w:val="0"/>
        <w:spacing w:before="240" w:after="0"/>
        <w:jc w:val="left"/>
        <w:rPr>
          <w:rFonts w:ascii="Times New Roman" w:hAnsi="Times New Roman"/>
          <w:sz w:val="20"/>
        </w:rPr>
      </w:pPr>
      <w:r>
        <w:rPr>
          <w:rFonts w:ascii="Times New Roman" w:hAnsi="Times New Roman"/>
          <w:sz w:val="20"/>
        </w:rPr>
        <w:t xml:space="preserve">aggregate principal amount of the Notes. The underwriters may allow, and the dealers may reallow, a discount not in excess of 0.25% of the aggregate principal amount of the Notes. After the initial offering of the Notes to the public, the public offering price and other selling terms may be changed. No such change shall change the amount of proceeds to be received by us as set forth on the cover page </w:t>
      </w:r>
    </w:p>
    <w:p>
      <w:pPr>
        <w:pStyle w:val="TextBody"/>
        <w:bidi w:val="0"/>
        <w:spacing w:before="240" w:after="0"/>
        <w:jc w:val="left"/>
        <w:rPr>
          <w:rFonts w:ascii="Times New Roman" w:hAnsi="Times New Roman"/>
          <w:sz w:val="20"/>
        </w:rPr>
      </w:pPr>
      <w:r>
        <w:rPr>
          <w:rFonts w:ascii="Times New Roman" w:hAnsi="Times New Roman"/>
          <w:sz w:val="20"/>
        </w:rPr>
        <w:t xml:space="preserve">of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S-40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expenses of the offering, not including the underwriting discount, are estimated at $0.4 million and are payable by us.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 Sales of Similar Securities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through the closing date without first obtaining the written consent of the representative. This consent may be given at any time without public notice.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Listing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Notes are a new issue of securities with no established trading market. The Notes will not be listed on any securities exchange or quoted on any automated dealer quotation system.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Price Stabilization, Short Positions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Any of these activities may cause the price of the Notes to be higher than the price that otherwise would exist in the open market in the absence of such transactions. These transactions may be effected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over-the-counter</w:t>
      </w:r>
    </w:p>
    <w:p>
      <w:pPr>
        <w:pStyle w:val="TextBody"/>
        <w:bidi w:val="0"/>
        <w:spacing w:before="240" w:after="0"/>
        <w:jc w:val="left"/>
        <w:rPr>
          <w:rFonts w:ascii="Times New Roman" w:hAnsi="Times New Roman"/>
          <w:sz w:val="20"/>
        </w:rPr>
      </w:pPr>
      <w:r>
        <w:rPr>
          <w:rFonts w:ascii="Times New Roman" w:hAnsi="Times New Roman"/>
          <w:sz w:val="20"/>
        </w:rPr>
        <w:t xml:space="preserve">market or otherwise and, if commenced, may be discontinued at any time without any notice relating thereto.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 will engage in these transactions or that these transactions, once commenced, will not be discontinued without notice.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Other Relationships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underwriters and their respective affiliates are full service financial institutions engaged in various activities, which may include sales and trading, commercial and investment banking, advisory, investment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S-41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management, investment research, principal investment, hedging, market making, brokerage, valuation services and other financial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non-financial</w:t>
      </w:r>
    </w:p>
    <w:p>
      <w:pPr>
        <w:pStyle w:val="TextBody"/>
        <w:bidi w:val="0"/>
        <w:spacing w:before="0" w:after="0"/>
        <w:jc w:val="left"/>
        <w:rPr>
          <w:rFonts w:ascii="Times New Roman" w:hAnsi="Times New Roman"/>
          <w:sz w:val="20"/>
        </w:rPr>
      </w:pPr>
      <w:r>
        <w:rPr>
          <w:rFonts w:ascii="Times New Roman" w:hAnsi="Times New Roman"/>
          <w:sz w:val="20"/>
        </w:rPr>
        <w:t xml:space="preserve">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Affiliates of certain of the underwriters serve as lenders under our Credit Facility and may serve as lenders under any future credit facilities. Some of the underwriters and/or their affiliates were underwriters in connection with our initial public offerings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follow-on</w:t>
      </w:r>
    </w:p>
    <w:p>
      <w:pPr>
        <w:pStyle w:val="TextBody"/>
        <w:bidi w:val="0"/>
        <w:spacing w:before="240" w:after="0"/>
        <w:jc w:val="left"/>
        <w:rPr>
          <w:rFonts w:ascii="Times New Roman" w:hAnsi="Times New Roman"/>
          <w:sz w:val="20"/>
        </w:rPr>
      </w:pPr>
      <w:r>
        <w:rPr>
          <w:rFonts w:ascii="Times New Roman" w:hAnsi="Times New Roman"/>
          <w:sz w:val="20"/>
        </w:rPr>
        <w:t xml:space="preserve">public offerings for which they received customary fees. Affiliates of certain of the underwriters serve as lenders under our Credit Facility. Accordingly, affiliates of certain of the underwriters are expected to receive proceeds from this offering that are used to reduce our outstanding obligations under our Credit Facility.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Notes will be made to investors on or about March 4, 2026, which will be the third business day following the date of pricing of the notes (such settlement cycle being herein referred to as “T+5”). Under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15c6-1</w:t>
      </w:r>
    </w:p>
    <w:p>
      <w:pPr>
        <w:pStyle w:val="TextBody"/>
        <w:bidi w:val="0"/>
        <w:spacing w:before="120" w:after="0"/>
        <w:jc w:val="left"/>
        <w:rPr>
          <w:rFonts w:ascii="Times New Roman" w:hAnsi="Times New Roman"/>
          <w:sz w:val="20"/>
        </w:rPr>
      </w:pPr>
      <w:r>
        <w:rPr>
          <w:rFonts w:ascii="Times New Roman" w:hAnsi="Times New Roman"/>
          <w:sz w:val="20"/>
        </w:rPr>
        <w:t xml:space="preserve">under the Exchange Act, trades in the secondary market generally are required to settle in one business day, unless the parties to any such trade expressly agree otherwise. Accordingly, purchasers who wish to trade the Notes prior to one business day prior to the date of delivery hereunder will be required, by virtue of the fact that the Notes initially will settle in T+5 business days, to specify an alternative settlement arrangement at the time of any such trade to prevent a failed settlement.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Principal Business Addresses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principal business address of Raymond James &amp; Associates, Inc. is 880 Carillon Parkway, St. Petersburg, FL 33716.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Other Jurisdictions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Other than in the U.S.,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S-42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The Notes may not be offered, sold or otherwise made available to any retail investor in the European Economic Area, or EEA. For these purposes: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a retail investor means a person who is one (or more) of the following: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 a retail client as defined in point (11) of Article 4(1) of Article 4(1) of Directive 2014/65/EU (as amended or superseded, or MiFID II);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(ii) a customer within the meaning of Directive (EU) 2016/97 (as amended or superseded, the “Insurance Distribution Directive”), where that customer would not qualify as a professional client as defined in point (10) of Article 4(1) of MiFID II;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(iii) not a qualified investor as defined in Regulation (EU) 2017/1129 (as amended or superseded, the “Prospectus Regulation”),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 the expression “offer” includes the communication in any form and by any means of sufficient information on the terms of the offer and the Notes to be offered so as to enable an investor to decide to purchase or subscribe the Notes.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Consequently, no key information document required by Regulation (EU) No 1286/2014 (as amended, or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Regulation from the requirement to publish a prospectus for offers of the Notes. This prospectus is not a prospectus for the purposes of the Prospectus Regulation.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Notice to Prospective Investors in the United Kingdom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Notes are not intended to be offered, sold or otherwise made available to and should not be offered, sold or otherwise made available to any retail investor in the United Kingdom. For the purposes of this provision: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the expression “retail investor” means a person who is one (or more) of the following: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(i)</w:t>
            </w:r>
          </w:p>
        </w:tc>
        <w:tc>
          <w:tcPr>
            <w:tcW w:w="992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 retail client as defined in point (8) of Article 2 of Regulation (EU) No 2017/565 as it forms part of domestic law by virtue of the European Union (Withdrawal) Act 2018 (“EUWA”); or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(ii)</w:t>
            </w:r>
          </w:p>
        </w:tc>
        <w:tc>
          <w:tcPr>
            <w:tcW w:w="989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326"/>
        <w:gridCol w:w="9804"/>
      </w:tblGrid>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(iii)</w:t>
            </w:r>
          </w:p>
        </w:tc>
        <w:tc>
          <w:tcPr>
            <w:tcW w:w="9804"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not a qualified investor as defined in paragraph 15 of Schedule 1 to the Public Offers and Admissions to Trading Regulations 2014/15 (the “UK POAT Regulation”); and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 the expression “offer” includes the communication in any form and by any means of sufficient information on the terms of the offer and the Notes to be offered so as to enable an investor to decide to purchase or subscribe for the Notes.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S-43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has been prepared on the basis that any offer of Notes in the UK will be made pursuant to an exception to the prohibition on offers of “relevant securities” to the public under the UK POAT Regulation from the requirement to publish a prospectus for offers of Notes. This prospectus is not a prospectus for the purposes of the UK POAT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This prospectus and any other material in relation to the Notes is only being distributed to, and is directed only at, persons in the United Kingdom who are “qualified investors” (as defined in the UK POAT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the Notes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 The Notes are not being offered to the public in the United Kingdom.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addition, in the United Kingdom, each underwriter has represented and agreed the Notes may not be offered other than by an underwriter that: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has complied and will comply with all applicable provisions of the FSMA with respect to anything done by it in relation to the Notes in, from or otherwise involving the United Kingdom.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S-44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LEGAL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Certain legal matters regarding the securities offered by this prospectus supplement will be passed upon for PennantPark Floating Rate Capital Ltd. by Dechert LLP and Venable LLP. Certain legal matters in connection with the offering will be passed upon for the underwriters by Kirkland &amp; Ellis LLP.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S-45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related consolidated senior securities table of PennantPark Floating Rate Capital Ltd. as of September 30, 2025 and 2024 and for each of the years in the three-year period ended September 30, 2025 and the effectiveness of internal control over financial reporting as of September 30, 2025 incorporated in this prospectus supplement by reference from the PennantPark Floating Rate Capital Ltd.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September 30, 2025 have been audited by RSM US LLP, an independent registered public accounting firm, as stated in their report, which is incorporated into this prospectus supplement by reference.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S-46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INDEPENDENT AUDITOR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PSSL as of and for the fiscal years ended September 30, 2025 and September 30, 2024 included as Exhibits 99.3 and 99.4, respectively, in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September 30, 2025 have been so included in reliance on the report of RSM US LLP.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S-47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INCORPORATION BY REFERENCE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This prospectus supplement is part of a registration statement that we have filed with the SEC. We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provided, however,</w:t>
      </w:r>
    </w:p>
    <w:p>
      <w:pPr>
        <w:pStyle w:val="TextBody"/>
        <w:bidi w:val="0"/>
        <w:spacing w:before="240" w:after="0"/>
        <w:jc w:val="left"/>
        <w:rPr>
          <w:rFonts w:ascii="Times New Roman" w:hAnsi="Times New Roman"/>
          <w:sz w:val="20"/>
        </w:rPr>
      </w:pPr>
      <w:r>
        <w:rPr>
          <w:rFonts w:ascii="Times New Roman" w:hAnsi="Times New Roman"/>
          <w:sz w:val="20"/>
        </w:rPr>
        <w:t xml:space="preserve">that information “furnished” under Item 2.02 or Item 7.01 of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or other information “furnished” to the SEC which is not deemed filed is not incorporated by reference in this prospectus supplement.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This prospectus supplement incorporates by reference the documents set forth below that have previously been filed with the SEC: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Quarterly Report on </w:t>
            </w:r>
            <w:hyperlink r:id="rId3">
              <w:r>
                <w:rPr>
                  <w:rStyle w:val="InternetLink"/>
                  <w:rFonts w:ascii="Times New Roman" w:hAnsi="Times New Roman"/>
                  <w:sz w:val="20"/>
                </w:rPr>
                <w:t xml:space="preserve">Form </w:t>
              </w:r>
            </w:hyperlink>
            <w:hyperlink r:id="rId4">
              <w:r>
                <w:rPr>
                  <w:rStyle w:val="InternetLink"/>
                  <w:rFonts w:ascii="Times New Roman" w:hAnsi="Times New Roman"/>
                  <w:spacing w:val="0"/>
                  <w:sz w:val="20"/>
                </w:rPr>
                <w:t>10-Q</w:t>
              </w:r>
            </w:hyperlink>
            <w:r>
              <w:rPr>
                <w:rFonts w:ascii="Times New Roman" w:hAnsi="Times New Roman"/>
                <w:sz w:val="20"/>
              </w:rPr>
              <w:t xml:space="preserve"> for the fiscal quarter ended December 31, 2025, filed with the SEC on February 9, 2026; </w:t>
            </w:r>
          </w:p>
        </w:tc>
      </w:tr>
    </w:tbl>
    <w:p>
      <w:pPr>
        <w:pStyle w:val="TextBody"/>
        <w:bidi w:val="0"/>
        <w:spacing w:before="0" w:after="0"/>
        <w:jc w:val="left"/>
        <w:rPr>
          <w:spacing w:val="0"/>
        </w:rPr>
      </w:pPr>
      <w:r>
        <w:rPr>
          <w:spacing w:val="0"/>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5">
              <w:r>
                <w:rPr>
                  <w:rStyle w:val="InternetLink"/>
                  <w:rFonts w:ascii="Times New Roman" w:hAnsi="Times New Roman"/>
                  <w:sz w:val="20"/>
                </w:rPr>
                <w:t xml:space="preserve">Form </w:t>
              </w:r>
            </w:hyperlink>
            <w:hyperlink r:id="rId6">
              <w:r>
                <w:rPr>
                  <w:rStyle w:val="InternetLink"/>
                  <w:rFonts w:ascii="Times New Roman" w:hAnsi="Times New Roman"/>
                  <w:spacing w:val="0"/>
                  <w:sz w:val="20"/>
                </w:rPr>
                <w:t>10-K</w:t>
              </w:r>
            </w:hyperlink>
            <w:r>
              <w:rPr>
                <w:rFonts w:ascii="Times New Roman" w:hAnsi="Times New Roman"/>
                <w:sz w:val="20"/>
              </w:rPr>
              <w:t xml:space="preserve"> for the fiscal year ended September 30, 2025, filed with the SEC on November 24, 2025; </w:t>
            </w:r>
          </w:p>
        </w:tc>
      </w:tr>
    </w:tbl>
    <w:p>
      <w:pPr>
        <w:pStyle w:val="TextBody"/>
        <w:bidi w:val="0"/>
        <w:spacing w:before="0" w:after="0"/>
        <w:jc w:val="left"/>
        <w:rPr>
          <w:spacing w:val="0"/>
        </w:rPr>
      </w:pPr>
      <w:r>
        <w:rPr>
          <w:spacing w:val="0"/>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Current Reports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8-K,</w:t>
            </w:r>
          </w:p>
          <w:p>
            <w:pPr>
              <w:pStyle w:val="TableContents"/>
              <w:bidi w:val="0"/>
              <w:spacing w:before="0" w:after="0"/>
              <w:jc w:val="left"/>
              <w:rPr/>
            </w:pPr>
            <w:r>
              <w:rPr>
                <w:rFonts w:ascii="Times New Roman" w:hAnsi="Times New Roman"/>
                <w:sz w:val="20"/>
              </w:rPr>
              <w:t xml:space="preserve">filed with the SEC on </w:t>
            </w:r>
            <w:hyperlink r:id="rId7">
              <w:r>
                <w:rPr>
                  <w:rStyle w:val="InternetLink"/>
                  <w:rFonts w:ascii="Times New Roman" w:hAnsi="Times New Roman"/>
                  <w:sz w:val="20"/>
                </w:rPr>
                <w:t>November 26, 2025</w:t>
              </w:r>
            </w:hyperlink>
            <w:r>
              <w:rPr>
                <w:rFonts w:ascii="Times New Roman" w:hAnsi="Times New Roman"/>
                <w:sz w:val="20"/>
              </w:rPr>
              <w:t xml:space="preserve"> and </w:t>
            </w:r>
            <w:hyperlink r:id="rId8">
              <w:r>
                <w:rPr>
                  <w:rStyle w:val="InternetLink"/>
                  <w:rFonts w:ascii="Times New Roman" w:hAnsi="Times New Roman"/>
                  <w:sz w:val="20"/>
                </w:rPr>
                <w:t>February 5, 2026</w:t>
              </w:r>
            </w:hyperlink>
            <w:r>
              <w:rPr>
                <w:rFonts w:ascii="Times New Roman" w:hAnsi="Times New Roman"/>
                <w:sz w:val="20"/>
              </w:rPr>
              <w:t xml:space="preserve">;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Definitive Proxy Statement on </w:t>
            </w:r>
            <w:hyperlink r:id="rId9">
              <w:r>
                <w:rPr>
                  <w:rStyle w:val="InternetLink"/>
                  <w:rFonts w:ascii="Times New Roman" w:hAnsi="Times New Roman"/>
                  <w:sz w:val="20"/>
                </w:rPr>
                <w:t>Schedule 14A</w:t>
              </w:r>
            </w:hyperlink>
            <w:r>
              <w:rPr>
                <w:rFonts w:ascii="Times New Roman" w:hAnsi="Times New Roman"/>
                <w:sz w:val="20"/>
              </w:rPr>
              <w:t xml:space="preserve">, filed with the SEC on December 17, 2025 (to the extent incorporated by reference into Part III of our Annual Report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 Form 10-K for</w:t>
            </w:r>
          </w:p>
          <w:p>
            <w:pPr>
              <w:pStyle w:val="TableContents"/>
              <w:bidi w:val="0"/>
              <w:spacing w:before="0" w:after="0"/>
              <w:jc w:val="left"/>
              <w:rPr/>
            </w:pPr>
            <w:r>
              <w:rPr>
                <w:rFonts w:ascii="Times New Roman" w:hAnsi="Times New Roman"/>
                <w:sz w:val="20"/>
              </w:rPr>
              <w:t xml:space="preserve">the fiscal year ended </w:t>
            </w:r>
            <w:hyperlink r:id="rId10">
              <w:r>
                <w:rPr>
                  <w:rStyle w:val="InternetLink"/>
                  <w:rFonts w:ascii="Times New Roman" w:hAnsi="Times New Roman"/>
                  <w:sz w:val="20"/>
                </w:rPr>
                <w:t>September 30, 2025</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To obtain copies of these filings,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Available Information</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S-48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AVAILABLE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We file with or submit to the SEC annual, quarterly and current periodic reports, proxy statements and other information meeting the informational requirements of the Exchange Act. This information is available free of charge by calling us collect at (786) </w:t>
      </w:r>
    </w:p>
    <w:p>
      <w:pPr>
        <w:pStyle w:val="TextBody"/>
        <w:bidi w:val="0"/>
        <w:spacing w:before="240" w:after="0"/>
        <w:jc w:val="left"/>
        <w:rPr>
          <w:rFonts w:ascii="Times New Roman" w:hAnsi="Times New Roman"/>
          <w:spacing w:val="0"/>
          <w:sz w:val="20"/>
        </w:rPr>
      </w:pPr>
      <w:r>
        <w:rPr>
          <w:rFonts w:ascii="Times New Roman" w:hAnsi="Times New Roman"/>
          <w:spacing w:val="0"/>
          <w:sz w:val="20"/>
        </w:rPr>
        <w:t>297-9500</w:t>
      </w:r>
    </w:p>
    <w:p>
      <w:pPr>
        <w:pStyle w:val="TextBody"/>
        <w:bidi w:val="0"/>
        <w:spacing w:before="240" w:after="0"/>
        <w:jc w:val="left"/>
        <w:rPr>
          <w:rFonts w:ascii="Times New Roman" w:hAnsi="Times New Roman"/>
          <w:sz w:val="20"/>
        </w:rPr>
      </w:pPr>
      <w:r>
        <w:rPr>
          <w:rFonts w:ascii="Times New Roman" w:hAnsi="Times New Roman"/>
          <w:sz w:val="20"/>
        </w:rPr>
        <w:t xml:space="preserve">or on our website at </w:t>
      </w:r>
    </w:p>
    <w:p>
      <w:pPr>
        <w:pStyle w:val="TextBody"/>
        <w:bidi w:val="0"/>
        <w:spacing w:before="240" w:after="0"/>
        <w:jc w:val="left"/>
        <w:rPr>
          <w:rFonts w:ascii="Times New Roman" w:hAnsi="Times New Roman"/>
          <w:i/>
          <w:caps w:val="false"/>
          <w:smallCaps w:val="false"/>
          <w:spacing w:val="0"/>
          <w:sz w:val="20"/>
          <w:u w:val="single"/>
        </w:rPr>
      </w:pPr>
      <w:r>
        <w:rPr>
          <w:rFonts w:ascii="Times New Roman" w:hAnsi="Times New Roman"/>
          <w:i/>
          <w:caps w:val="false"/>
          <w:smallCaps w:val="false"/>
          <w:spacing w:val="0"/>
          <w:sz w:val="20"/>
          <w:u w:val="single"/>
        </w:rPr>
        <w:t>www.pennantpark.com</w:t>
      </w:r>
    </w:p>
    <w:p>
      <w:pPr>
        <w:pStyle w:val="TextBody"/>
        <w:bidi w:val="0"/>
        <w:spacing w:before="240" w:after="0"/>
        <w:jc w:val="left"/>
        <w:rPr>
          <w:rFonts w:ascii="Times New Roman" w:hAnsi="Times New Roman"/>
          <w:sz w:val="20"/>
        </w:rPr>
      </w:pPr>
      <w:r>
        <w:rPr>
          <w:rFonts w:ascii="Times New Roman" w:hAnsi="Times New Roman"/>
          <w:sz w:val="20"/>
        </w:rPr>
        <w:t xml:space="preserve">. Except for the documents incorporated by reference into this prospectus supplement and the accompanying prospectus, the 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www.sec.gov</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S-49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60" w:after="0"/>
        <w:jc w:val="center"/>
        <w:rPr>
          <w:rFonts w:ascii="Times New Roman" w:hAnsi="Times New Roman"/>
          <w:b/>
          <w:sz w:val="36"/>
        </w:rPr>
      </w:pPr>
      <w:r>
        <w:rPr>
          <w:rFonts w:ascii="Times New Roman" w:hAnsi="Times New Roman"/>
          <w:b/>
          <w:sz w:val="36"/>
        </w:rPr>
        <w:t xml:space="preserve">$1,000,000,000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209165" cy="527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209165" cy="527050"/>
                    </a:xfrm>
                    <a:prstGeom prst="rect">
                      <a:avLst/>
                    </a:prstGeom>
                  </pic:spPr>
                </pic:pic>
              </a:graphicData>
            </a:graphic>
          </wp:inline>
        </w:drawing>
      </w:r>
      <w:r>
        <w:rPr/>
        <w:t xml:space="preserve"> </w:t>
      </w:r>
    </w:p>
    <w:p>
      <w:pPr>
        <w:pStyle w:val="TextBody"/>
        <w:bidi w:val="0"/>
        <w:spacing w:before="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8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80" w:after="0"/>
        <w:jc w:val="center"/>
        <w:rPr>
          <w:rFonts w:ascii="Times New Roman" w:hAnsi="Times New Roman"/>
          <w:b/>
          <w:sz w:val="28"/>
        </w:rPr>
      </w:pPr>
      <w:r>
        <w:rPr>
          <w:rFonts w:ascii="Times New Roman" w:hAnsi="Times New Roman"/>
          <w:b/>
          <w:sz w:val="28"/>
        </w:rPr>
        <w:t xml:space="preserve">Warrants </w:t>
      </w:r>
    </w:p>
    <w:p>
      <w:pPr>
        <w:pStyle w:val="TextBody"/>
        <w:bidi w:val="0"/>
        <w:spacing w:before="8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8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7"/>
        </w:rPr>
      </w:pPr>
      <w:r>
        <w:rPr>
          <w:rFonts w:ascii="Times New Roman" w:hAnsi="Times New Roman"/>
          <w:sz w:val="17"/>
        </w:rPr>
        <w:t xml:space="preserve">PennantPark Floating Rate Capital Ltd. is a closed-end, externally managed, non-diversified investment company that has elected to be treated as a business development company under the Investment Company Act of 1940, as amended. </w:t>
      </w:r>
    </w:p>
    <w:p>
      <w:pPr>
        <w:pStyle w:val="TextBody"/>
        <w:bidi w:val="0"/>
        <w:spacing w:before="80" w:after="0"/>
        <w:jc w:val="left"/>
        <w:rPr>
          <w:rFonts w:ascii="Times New Roman" w:hAnsi="Times New Roman"/>
          <w:sz w:val="17"/>
        </w:rPr>
      </w:pPr>
      <w:r>
        <w:rPr>
          <w:rFonts w:ascii="Times New Roman" w:hAnsi="Times New Roman"/>
          <w:sz w:val="17"/>
        </w:rPr>
        <w:t xml:space="preserve">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the Secured Overnight Financing Rate, or SOFR, with or without a floor, plus a fixed spread. We can offer no assurances that we will achieve our investment objectives. </w:t>
      </w:r>
    </w:p>
    <w:p>
      <w:pPr>
        <w:pStyle w:val="TextBody"/>
        <w:bidi w:val="0"/>
        <w:spacing w:before="80" w:after="0"/>
        <w:jc w:val="left"/>
        <w:rPr>
          <w:rFonts w:ascii="Times New Roman" w:hAnsi="Times New Roman"/>
          <w:sz w:val="17"/>
        </w:rPr>
      </w:pPr>
      <w:r>
        <w:rPr>
          <w:rFonts w:ascii="Times New Roman" w:hAnsi="Times New Roman"/>
          <w:sz w:val="17"/>
        </w:rPr>
        <w:t xml:space="preserve">We are managed by PennantPark Investment Advisers, LLC. PennantPark Investment Administration, LLC provides the administrative services necessary for us to operate. </w:t>
      </w:r>
    </w:p>
    <w:p>
      <w:pPr>
        <w:pStyle w:val="TextBody"/>
        <w:bidi w:val="0"/>
        <w:spacing w:before="80" w:after="0"/>
        <w:jc w:val="left"/>
        <w:rPr/>
      </w:pPr>
      <w:r>
        <w:rPr>
          <w:rFonts w:ascii="Times New Roman" w:hAnsi="Times New Roman"/>
          <w:sz w:val="17"/>
        </w:rPr>
        <w:t>We may offer, from time to time, in one or more offerings or series, together or separately, up to $1,000,000,000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tx894111_4">
        <w:r>
          <w:rPr>
            <w:rStyle w:val="InternetLink"/>
            <w:rFonts w:ascii="Times New Roman" w:hAnsi="Times New Roman"/>
            <w:sz w:val="17"/>
          </w:rPr>
          <w:t>Risk Factors</w:t>
        </w:r>
      </w:hyperlink>
      <w:r>
        <w:rPr>
          <w:rFonts w:ascii="Times New Roman" w:hAnsi="Times New Roman"/>
          <w:sz w:val="17"/>
        </w:rPr>
        <w:t>” on page 11 and “</w:t>
      </w:r>
      <w:hyperlink w:anchor="tx894111_9">
        <w:r>
          <w:rPr>
            <w:rStyle w:val="InternetLink"/>
            <w:rFonts w:ascii="Times New Roman" w:hAnsi="Times New Roman"/>
            <w:sz w:val="17"/>
          </w:rPr>
          <w:t>Sales of Common Stock Below Net Asset Value</w:t>
        </w:r>
      </w:hyperlink>
      <w:r>
        <w:rPr>
          <w:rFonts w:ascii="Times New Roman" w:hAnsi="Times New Roman"/>
          <w:sz w:val="17"/>
        </w:rPr>
        <w:t xml:space="preserve">” on page 17 of this prospectus for more information. </w:t>
      </w:r>
    </w:p>
    <w:p>
      <w:pPr>
        <w:pStyle w:val="TextBody"/>
        <w:bidi w:val="0"/>
        <w:spacing w:before="80" w:after="0"/>
        <w:jc w:val="left"/>
        <w:rPr>
          <w:rFonts w:ascii="Times New Roman" w:hAnsi="Times New Roman"/>
          <w:sz w:val="17"/>
        </w:rPr>
      </w:pPr>
      <w:r>
        <w:rPr>
          <w:rFonts w:ascii="Times New Roman" w:hAnsi="Times New Roman"/>
          <w:sz w:val="17"/>
        </w:rPr>
        <w:t xml:space="preserve">Our common stock is traded on The New York Stock Exchange under the symbol “PFLT.” Prior to April 14, 2022, our common stock was traded on The Nasdaq Global Select Market under the same symbol. The last reported closing price for our common stock on May 23, 2024 was $11.26 per share, and our NAV on March 31, 2024 was $11.40 per share. </w:t>
      </w:r>
    </w:p>
    <w:p>
      <w:pPr>
        <w:pStyle w:val="TextBody"/>
        <w:bidi w:val="0"/>
        <w:spacing w:before="80" w:after="0"/>
        <w:jc w:val="left"/>
        <w:rPr>
          <w:rFonts w:ascii="Times New Roman" w:hAnsi="Times New Roman"/>
          <w:sz w:val="17"/>
        </w:rPr>
      </w:pPr>
      <w:r>
        <w:rPr>
          <w:rFonts w:ascii="Times New Roman" w:hAnsi="Times New Roman"/>
          <w:sz w:val="17"/>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hAnsi="Times New Roman"/>
          <w:i/>
          <w:sz w:val="17"/>
          <w:u w:val="single"/>
        </w:rPr>
        <w:t>www.pennantpark.com</w:t>
      </w:r>
      <w:r>
        <w:rPr>
          <w:rFonts w:ascii="Times New Roman" w:hAnsi="Times New Roman"/>
          <w:i/>
          <w:sz w:val="17"/>
        </w:rPr>
        <w:t>.</w:t>
      </w:r>
      <w:r>
        <w:rPr>
          <w:rFonts w:ascii="Times New Roman" w:hAnsi="Times New Roman"/>
          <w:sz w:val="17"/>
        </w:rPr>
        <w:t xml:space="preserve"> The information on our website is not incorporated by reference into this prospectus. The SEC also maintains a website at </w:t>
      </w:r>
      <w:r>
        <w:rPr>
          <w:rFonts w:ascii="Times New Roman" w:hAnsi="Times New Roman"/>
          <w:i/>
          <w:sz w:val="17"/>
          <w:u w:val="single"/>
        </w:rPr>
        <w:t>www.sec.gov</w:t>
      </w:r>
      <w:r>
        <w:rPr>
          <w:rFonts w:ascii="Times New Roman" w:hAnsi="Times New Roman"/>
          <w:sz w:val="17"/>
        </w:rPr>
        <w:t xml:space="preserve"> that contains such information free of charge.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pPr>
      <w:r>
        <w:rPr>
          <w:rFonts w:ascii="Times New Roman" w:hAnsi="Times New Roman"/>
          <w:b/>
          <w:sz w:val="20"/>
        </w:rPr>
        <w:t>Investing in our securities involves a high degree of risk, including the risk of the use of leverage. Before buying any of our securities, you should read the discussion of the material risks of investing in us in “</w:t>
      </w:r>
      <w:hyperlink w:anchor="tx894111_4">
        <w:r>
          <w:rPr>
            <w:rStyle w:val="InternetLink"/>
            <w:rFonts w:ascii="Times New Roman" w:hAnsi="Times New Roman"/>
            <w:b/>
            <w:sz w:val="20"/>
          </w:rPr>
          <w:t>Risk Factors</w:t>
        </w:r>
      </w:hyperlink>
      <w:r>
        <w:rPr>
          <w:rFonts w:ascii="Times New Roman" w:hAnsi="Times New Roman"/>
          <w:b/>
          <w:sz w:val="20"/>
        </w:rPr>
        <w:t xml:space="preserve">” beginning on page 11 of this prospectus. </w:t>
      </w:r>
    </w:p>
    <w:p>
      <w:pPr>
        <w:pStyle w:val="TextBody"/>
        <w:bidi w:val="0"/>
        <w:spacing w:before="80" w:after="0"/>
        <w:jc w:val="left"/>
        <w:rPr>
          <w:rFonts w:ascii="Times New Roman" w:hAnsi="Times New Roman"/>
          <w:b/>
          <w:sz w:val="17"/>
        </w:rPr>
      </w:pPr>
      <w:r>
        <w:rPr>
          <w:rFonts w:ascii="Times New Roman" w:hAnsi="Times New Roman"/>
          <w:b/>
          <w:sz w:val="17"/>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b/>
          <w:sz w:val="17"/>
        </w:rPr>
      </w:pPr>
      <w:r>
        <w:rPr>
          <w:rFonts w:ascii="Times New Roman" w:hAnsi="Times New Roman"/>
          <w:b/>
          <w:sz w:val="17"/>
        </w:rPr>
        <w:t xml:space="preserve">This prospectus may not be used to consummate sales of securities unless accompanied by a prospectus supplement. </w:t>
      </w:r>
    </w:p>
    <w:p>
      <w:pPr>
        <w:pStyle w:val="TextBody"/>
        <w:bidi w:val="0"/>
        <w:spacing w:before="80" w:after="0"/>
        <w:jc w:val="center"/>
        <w:rPr>
          <w:rFonts w:ascii="Times New Roman" w:hAnsi="Times New Roman"/>
          <w:b/>
          <w:sz w:val="17"/>
        </w:rPr>
      </w:pPr>
      <w:r>
        <w:rPr>
          <w:rFonts w:ascii="Times New Roman" w:hAnsi="Times New Roman"/>
          <w:b/>
          <w:sz w:val="17"/>
        </w:rPr>
        <w:t xml:space="preserve">Prospectus dated July 17, 2024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 </w:t>
      </w:r>
    </w:p>
    <w:p>
      <w:pPr>
        <w:pStyle w:val="TextBody"/>
        <w:bidi w:val="0"/>
        <w:spacing w:before="480" w:after="0"/>
        <w:jc w:val="center"/>
        <w:rPr>
          <w:rFonts w:ascii="Times New Roman" w:hAnsi="Times New Roman"/>
          <w:b/>
          <w:sz w:val="20"/>
        </w:rPr>
      </w:pPr>
      <w:bookmarkStart w:id="2" w:name="toc1"/>
      <w:bookmarkEnd w:id="2"/>
      <w:r>
        <w:rPr>
          <w:rFonts w:ascii="Times New Roman" w:hAnsi="Times New Roman"/>
          <w:b/>
          <w:sz w:val="20"/>
        </w:rPr>
        <w:t xml:space="preserve">TABLE OF CONTENTS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6365"/>
        <w:gridCol w:w="120"/>
        <w:gridCol w:w="96"/>
        <w:gridCol w:w="419"/>
        <w:gridCol w:w="75"/>
      </w:tblGrid>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3">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5">
              <w:r>
                <w:rPr>
                  <w:rStyle w:val="InternetLink"/>
                  <w:rFonts w:ascii="Times New Roman" w:hAnsi="Times New Roman"/>
                  <w:sz w:val="20"/>
                </w:rPr>
                <w:t>FORWARD-LOOKING STATEMENTS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7">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8">
              <w:r>
                <w:rPr>
                  <w:rStyle w:val="InternetLink"/>
                  <w:rFonts w:ascii="Times New Roman" w:hAnsi="Times New Roman"/>
                  <w:sz w:val="20"/>
                </w:rPr>
                <w:t>PRICE RANGE OF COMMON STOCK</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9">
              <w:r>
                <w:rPr>
                  <w:rStyle w:val="InternetLink"/>
                  <w:rFonts w:ascii="Times New Roman" w:hAnsi="Times New Roman"/>
                  <w:sz w:val="20"/>
                </w:rPr>
                <w:t>SALES OF COMMON STOCK BELOW NET ASSET VALUE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0">
              <w:r>
                <w:rPr>
                  <w:rStyle w:val="InternetLink"/>
                  <w:rFonts w:ascii="Times New Roman" w:hAnsi="Times New Roman"/>
                  <w:sz w:val="20"/>
                </w:rPr>
                <w:t>DISTRIBUTIONS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1">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1a">
              <w:r>
                <w:rPr>
                  <w:rStyle w:val="InternetLink"/>
                  <w:rFonts w:ascii="Times New Roman" w:hAnsi="Times New Roman"/>
                  <w:sz w:val="20"/>
                </w:rPr>
                <w:t>MANAGEMENT OF THE COMPANY</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1b">
              <w:r>
                <w:rPr>
                  <w:rStyle w:val="InternetLink"/>
                  <w:rFonts w:ascii="Times New Roman" w:hAnsi="Times New Roman"/>
                  <w:sz w:val="20"/>
                </w:rPr>
                <w:t>INVESTMENT MANAGEMENT AND ADMINISTRATION AGREEMENT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2">
              <w:r>
                <w:rPr>
                  <w:rStyle w:val="InternetLink"/>
                  <w:rFonts w:ascii="Times New Roman" w:hAnsi="Times New Roman"/>
                  <w:sz w:val="20"/>
                </w:rPr>
                <w:t>PORTFOLIO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3">
              <w:r>
                <w:rPr>
                  <w:rStyle w:val="InternetLink"/>
                  <w:rFonts w:ascii="Times New Roman" w:hAnsi="Times New Roman"/>
                  <w:sz w:val="20"/>
                </w:rPr>
                <w:t>DETERMINATION OF NET ASSET VALUE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4">
              <w:r>
                <w:rPr>
                  <w:rStyle w:val="InternetLink"/>
                  <w:rFonts w:ascii="Times New Roman" w:hAnsi="Times New Roman"/>
                  <w:sz w:val="20"/>
                </w:rPr>
                <w:t>DESCRIPTION OF OUR CAPITAL STOCK</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5">
              <w:r>
                <w:rPr>
                  <w:rStyle w:val="InternetLink"/>
                  <w:rFonts w:ascii="Times New Roman" w:hAnsi="Times New Roman"/>
                  <w:sz w:val="20"/>
                </w:rPr>
                <w:t>DESCRIPTION OF OUR PREFERRED STOCK</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6">
              <w:r>
                <w:rPr>
                  <w:rStyle w:val="InternetLink"/>
                  <w:rFonts w:ascii="Times New Roman" w:hAnsi="Times New Roman"/>
                  <w:sz w:val="20"/>
                </w:rPr>
                <w:t>DESCRIPTION OF OUR WARRANTS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7">
              <w:r>
                <w:rPr>
                  <w:rStyle w:val="InternetLink"/>
                  <w:rFonts w:ascii="Times New Roman" w:hAnsi="Times New Roman"/>
                  <w:sz w:val="20"/>
                </w:rPr>
                <w:t>DESCRIPTION OF OUR SUBSCRIPTION RIGHTS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8">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19">
              <w:r>
                <w:rPr>
                  <w:rStyle w:val="InternetLink"/>
                  <w:rFonts w:ascii="Times New Roman" w:hAnsi="Times New Roman"/>
                  <w:sz w:val="20"/>
                </w:rPr>
                <w:t>BROKERAGE ALLOCATIONS AND OTHER PRACTICES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0">
              <w:r>
                <w:rPr>
                  <w:rStyle w:val="InternetLink"/>
                  <w:rFonts w:ascii="Times New Roman" w:hAnsi="Times New Roman"/>
                  <w:sz w:val="20"/>
                </w:rPr>
                <w:t>MATERIAL U.S. FEDERAL INCOME TAX CONSIDERATIONS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1">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2">
              <w:r>
                <w:rPr>
                  <w:rStyle w:val="InternetLink"/>
                  <w:rFonts w:ascii="Times New Roman" w:hAnsi="Times New Roman"/>
                  <w:sz w:val="20"/>
                </w:rPr>
                <w:t>SUB-ADMINISTRATOR, CUSTODIAN, TRANSFER AGENT AND TRUSTEE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3">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4">
              <w:r>
                <w:rPr>
                  <w:rStyle w:val="InternetLink"/>
                  <w:rFonts w:ascii="Times New Roman" w:hAnsi="Times New Roman"/>
                  <w:sz w:val="20"/>
                </w:rPr>
                <w:t>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5">
              <w:r>
                <w:rPr>
                  <w:rStyle w:val="InternetLink"/>
                  <w:rFonts w:ascii="Times New Roman" w:hAnsi="Times New Roman"/>
                  <w:sz w:val="20"/>
                </w:rPr>
                <w:t>INDEPENDENT AUDITORS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6">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pPr>
            <w:hyperlink w:anchor="tx894111_27">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tx894111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 owned consolidated subsidiaries; “Funding I” refers to PennantPark Floating Rate Funding I, LLC; “Taxable Subsidiary” refers to collectively PFLT Investment Holdings, LLC and PFLT Investment Holdings II, LLC; “PSSL” refers to PennantPark Senior Secured Loan Fund I LLC, an unconsolidated joint venture; “PTSF” refers to PennantPark-TSO Senior Loan Fund, LP, an unconsolidated limited partnership; “PennantPark Investment Advisers” and “Investment Adviser” refer to PennantPark Investment Advisers, LLC; “PennantPark Investment Administration” and “Administrator” refer to PennantPark Investment Administration, LLC;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“2036 Securitization Issuer” refers to PennantPark CLO VIII, LLC; “2036-Debt Securitization” refers to the $350.6 million term debt securitization completed by the 2036 Securitization Issuer; “2036 Asset-Backed Debt” refers to the issuance of the AAA(sf) Class A-1 Notes, AAA(sf) Class A-2 Notes, AA(sf) Class B Notes, A(sf) Class C Notes, BBB-(sf) Class D Notes, and the borrowing issuance of AAA(sf) Class A-1 floating rate loans. References to our portfolio, our investments, our multi-currency, senior secured revolving credit facility, as amended and restated, or the Credit Facility, and our business include investments we make through our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General Business of PennantPark Floating Rate Capital Ltd.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PennantPark Floating Rate Capital Ltd. is a BDC whose objectives are to generate both current income and capital appreciation while seeking to preserve capital by investing primarily in floating rate loans, and other investments made to U.S.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 and Structure of PennantPark Floating Rate Capital Ltd.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Funding I, our wholly owned subsidiary and a special purpose entity, was organized in Delaware as a limited liability company in May 2011. On August 12, 2021, Funding I, as borrower, entered into the Credit Facility, which provides the ability for Funding I to borrow up to $436 million (increased from $386 million on April 9, 2024). The Credit Facility is secured by all of the assets of Funding 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April 2019, our wholly owned subsidiary, the Securitization Issuer, was incorporated in the Cayman Islands as an exempted company with limited liability. We formed the Securitization Issuer in order to complete the Debt Securitization.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in April 2021, we formed PTSF, an unconsolidated limited partnership, organized as a Delaware limited liability partnership. As of March 31, 2024, our capital commitment of $15.3 million is fully funded and we hold 23.08% of the total outstanding Class A Units of PTSF and a 4.99% voting interest in the general partner which manages PTSF. PTSF also invests primarily in middle-market and other corporate debt securities consistent with our strategy.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January 2024, our wholly owned subsidiary, the 2036 Securitization Issuer, was incorporated in Delaware as a limited liability company. We formed the 2036 Securitization Issuer in order to complete the 2036-Debt Securitization.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4, 2022, we formed PFLT Investment Holdings II, LLC, a Delaware limited liability company (“Holdings II”), as a wholly owned subsidiary. On December 31, 2022, we contributed 100% of our interests in PFLT Investment Holdings, LLC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Investment Adviser and Administrator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$20.3 billion in 674 companies with more than 200 different financial sponsors through its managed funds, which includes investments by the Company totaling $5.9 billion in 492 companies. </w:t>
      </w:r>
    </w:p>
    <w:p>
      <w:pPr>
        <w:pStyle w:val="TextBody"/>
        <w:bidi w:val="0"/>
        <w:spacing w:before="240" w:after="0"/>
        <w:jc w:val="left"/>
        <w:rPr/>
      </w:pPr>
      <w:r>
        <w:rPr>
          <w:rFonts w:ascii="Times New Roman" w:hAnsi="Times New Roman"/>
          <w:sz w:val="20"/>
          <w:bdr w:val="single" w:sz="8" w:space="1" w:color="000000"/>
        </w:rPr>
        <w:t xml:space="preserve">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w:t>
      </w:r>
      <w:hyperlink r:id="rId12">
        <w:r>
          <w:rPr>
            <w:rStyle w:val="InternetLink"/>
            <w:rFonts w:ascii="Times New Roman" w:hAnsi="Times New Roman"/>
            <w:sz w:val="20"/>
            <w:bdr w:val="single" w:sz="8" w:space="1" w:color="000000"/>
          </w:rPr>
          <w:t>Form 10-K</w:t>
        </w:r>
      </w:hyperlink>
      <w:r>
        <w:rPr>
          <w:rFonts w:ascii="Times New Roman" w:hAnsi="Times New Roman"/>
          <w:sz w:val="20"/>
          <w:bdr w:val="single" w:sz="8" w:space="1" w:color="000000"/>
        </w:rPr>
        <w:t xml:space="preserve">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Market Opportunity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the limited amount of capital available to middle-market companies, coupled with the desire of these companies for flexible sources of capital, creates an attractive investment environment for us.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We believe middle-market companies have faced difficulty raising debt in private markets.</w:t>
            </w:r>
            <w:r>
              <w:rPr>
                <w:rFonts w:ascii="Times New Roman" w:hAnsi="Times New Roman"/>
                <w:sz w:val="20"/>
              </w:rPr>
              <w:t xml:space="preserve"> From time to time, banks, finance companies, hedge funds and collateralized loan obligation, or CLO, funds have withdrawn, and may again withdraw, capital from the middle-market, resulting in opportunities for alternative funding sources.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We believe middle-market companies have faced difficulty in raising debt through the capital markets.</w:t>
            </w:r>
            <w:r>
              <w:rPr>
                <w:rFonts w:ascii="Times New Roman" w:hAnsi="Times New Roman"/>
                <w:sz w:val="20"/>
              </w:rPr>
              <w:t xml:space="preserve"> 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We believe that credit market dislocation for middle-market companies improves the risk-reward on our investments.</w:t>
            </w:r>
            <w:r>
              <w:rPr>
                <w:rFonts w:ascii="Times New Roman" w:hAnsi="Times New Roman"/>
                <w:sz w:val="20"/>
              </w:rPr>
              <w:t xml:space="preserve"> From time to time, market participants have reduced lending to middle-market and non-investment grade borrowers. As a result, we believe there is less competition in our market, more conservative capital structures, higher yields and stronger covenants.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We believe there is a large pool of uninvested private equity capital likely to seek to combine their capital with sources of debt capital to complete private investments.</w:t>
            </w:r>
            <w:r>
              <w:rPr>
                <w:rFonts w:ascii="Times New Roman" w:hAnsi="Times New Roman"/>
                <w:sz w:val="20"/>
              </w:rPr>
              <w:t xml:space="preserve"> 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We believe there is substantial supply of opportunities resulting from maturing loans that seek refinancing.</w:t>
            </w:r>
            <w:r>
              <w:rPr>
                <w:rFonts w:ascii="Times New Roman" w:hAnsi="Times New Roman"/>
                <w:sz w:val="20"/>
              </w:rPr>
              <w:t xml:space="preserve"> A high volume of 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Proceeds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Distributions on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continue our monthly distributions to our stockholders. Our monthly distributions, if any, are determined by our board of directors. Distributions may include a return of capital. See “Distributions” for more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Dividends on 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preferred stock from time to time, although we have no immediate intention to do so. Any such preferred stock will be a senior security for purposes of the 1940 Act and, accordingly,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are subject to extension. The dividend rate could be variable and determined for each dividend period. See “Description of our Preferred Stock” for more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Plan of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from time to time, up to $1,000,000,000 of our securities, on terms to be determined at the time of each such offering and set forth in a supplement to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A supplement to this prospectus relating to any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not sell securities pursuant to this prospectus without delivering a prospectus supplement describing the terms of the particular securities to be offered and the method of the offering of such securities. See “Plan of Distribution” for more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pPr>
      <w:r>
        <w:rPr>
          <w:rFonts w:ascii="Times New Roman" w:hAnsi="Times New Roman"/>
          <w:sz w:val="20"/>
          <w:bdr w:val="single" w:sz="8" w:space="1" w:color="000000"/>
        </w:rPr>
        <w:t xml:space="preserve">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w:t>
      </w:r>
      <w:hyperlink r:id="rId13">
        <w:r>
          <w:rPr>
            <w:rStyle w:val="InternetLink"/>
            <w:rFonts w:ascii="Times New Roman" w:hAnsi="Times New Roman"/>
            <w:sz w:val="20"/>
            <w:bdr w:val="single" w:sz="8" w:space="1" w:color="000000"/>
          </w:rPr>
          <w:t>Form 10-K</w:t>
        </w:r>
      </w:hyperlink>
      <w:r>
        <w:rPr>
          <w:rFonts w:ascii="Times New Roman" w:hAnsi="Times New Roman"/>
          <w:sz w:val="20"/>
          <w:bdr w:val="single" w:sz="8" w:space="1" w:color="000000"/>
        </w:rPr>
        <w:t xml:space="preserve"> and Quarterly Reports on </w:t>
      </w:r>
      <w:hyperlink r:id="rId14">
        <w:r>
          <w:rPr>
            <w:rStyle w:val="InternetLink"/>
            <w:rFonts w:ascii="Times New Roman" w:hAnsi="Times New Roman"/>
            <w:sz w:val="20"/>
            <w:bdr w:val="single" w:sz="8" w:space="1" w:color="000000"/>
          </w:rPr>
          <w:t>Form 10-Q</w:t>
        </w:r>
      </w:hyperlink>
      <w:r>
        <w:rPr>
          <w:rFonts w:ascii="Times New Roman" w:hAnsi="Times New Roman"/>
          <w:sz w:val="20"/>
          <w:bdr w:val="single" w:sz="8" w:space="1" w:color="000000"/>
        </w:rPr>
        <w:t xml:space="preserve">, as well as any amendments reflected in subsequent filings with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administrative and principal executive offices are located at 1691 Michigan Avenue, Miami Beach, Florida 33139. Our phone number is (786) 297-9500, and our internet website address is </w:t>
      </w:r>
      <w:r>
        <w:rPr>
          <w:rFonts w:ascii="Times New Roman" w:hAnsi="Times New Roman"/>
          <w:i/>
          <w:sz w:val="20"/>
          <w:u w:val="single"/>
          <w:bdr w:val="single" w:sz="8" w:space="1" w:color="000000"/>
        </w:rPr>
        <w:t>www.pennantpark.com</w:t>
      </w:r>
      <w:r>
        <w:rPr>
          <w:rFonts w:ascii="Times New Roman" w:hAnsi="Times New Roman"/>
          <w:sz w:val="20"/>
          <w:bdr w:val="single" w:sz="8" w:space="1" w:color="000000"/>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 w:name="tx894111_2"/>
      <w:bookmarkEnd w:id="4"/>
      <w:r>
        <w:rPr>
          <w:rFonts w:ascii="Times New Roman" w:hAnsi="Times New Roman"/>
          <w:b/>
          <w:sz w:val="20"/>
        </w:rPr>
        <w:t xml:space="preserve">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 </w:t>
      </w:r>
    </w:p>
    <w:p>
      <w:pPr>
        <w:pStyle w:val="TextBody"/>
        <w:bidi w:val="0"/>
        <w:spacing w:before="0" w:after="0"/>
        <w:jc w:val="left"/>
        <w:rPr/>
      </w:pPr>
      <w:r>
        <w:rPr/>
        <w:t> </w:t>
      </w:r>
    </w:p>
    <w:tbl>
      <w:tblPr>
        <w:tblW w:w="9690" w:type="dxa"/>
        <w:jc w:val="left"/>
        <w:tblInd w:w="0" w:type="dxa"/>
        <w:tblLayout w:type="fixed"/>
        <w:tblCellMar>
          <w:top w:w="0" w:type="dxa"/>
          <w:left w:w="0" w:type="dxa"/>
          <w:bottom w:w="0" w:type="dxa"/>
          <w:right w:w="0" w:type="dxa"/>
        </w:tblCellMar>
      </w:tblPr>
      <w:tblGrid>
        <w:gridCol w:w="8390"/>
        <w:gridCol w:w="120"/>
        <w:gridCol w:w="60"/>
        <w:gridCol w:w="560"/>
        <w:gridCol w:w="560"/>
      </w:tblGrid>
      <w:tr>
        <w:trPr/>
        <w:tc>
          <w:tcPr>
            <w:tcW w:w="8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83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r>
      <w:tr>
        <w:trPr/>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load (as a percentage of offering price)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560" w:type="dxa"/>
            <w:tcBorders/>
            <w:vAlign w:val="center"/>
          </w:tcPr>
          <w:p>
            <w:pPr>
              <w:pStyle w:val="TableContents"/>
              <w:bidi w:val="0"/>
              <w:spacing w:before="0" w:after="283"/>
              <w:jc w:val="left"/>
              <w:rPr/>
            </w:pPr>
            <w:r>
              <w:rPr/>
              <w:t>%(1) </w:t>
            </w:r>
          </w:p>
        </w:tc>
      </w:tr>
      <w:tr>
        <w:trPr/>
        <w:tc>
          <w:tcPr>
            <w:tcW w:w="83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expenses (as a percentage of offering price)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(2) </w:t>
            </w:r>
          </w:p>
        </w:tc>
      </w:tr>
      <w:tr>
        <w:trPr/>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 expenses (as a percentage of offering price)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560" w:type="dxa"/>
            <w:tcBorders/>
            <w:vAlign w:val="center"/>
          </w:tcPr>
          <w:p>
            <w:pPr>
              <w:pStyle w:val="TableContents"/>
              <w:bidi w:val="0"/>
              <w:spacing w:before="0" w:after="283"/>
              <w:jc w:val="left"/>
              <w:rPr/>
            </w:pPr>
            <w:r>
              <w:rPr/>
              <w:t> </w:t>
            </w:r>
          </w:p>
        </w:tc>
      </w:tr>
      <w:tr>
        <w:trPr/>
        <w:tc>
          <w:tcPr>
            <w:tcW w:w="83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Estimated annual expenses (as a percentage of average net assets attributable to common shares)(3)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r>
      <w:tr>
        <w:trPr/>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Management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1.98</w:t>
            </w:r>
          </w:p>
        </w:tc>
        <w:tc>
          <w:tcPr>
            <w:tcW w:w="560" w:type="dxa"/>
            <w:tcBorders/>
            <w:vAlign w:val="center"/>
          </w:tcPr>
          <w:p>
            <w:pPr>
              <w:pStyle w:val="TableContents"/>
              <w:bidi w:val="0"/>
              <w:spacing w:before="0" w:after="283"/>
              <w:jc w:val="left"/>
              <w:rPr/>
            </w:pPr>
            <w:r>
              <w:rPr/>
              <w:t>%(4) </w:t>
            </w:r>
          </w:p>
        </w:tc>
      </w:tr>
      <w:tr>
        <w:trPr/>
        <w:tc>
          <w:tcPr>
            <w:tcW w:w="83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Incentive fees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2.76</w:t>
            </w:r>
          </w:p>
        </w:tc>
        <w:tc>
          <w:tcPr>
            <w:tcW w:w="560" w:type="dxa"/>
            <w:tcBorders/>
            <w:shd w:fill="CCEEFF" w:val="clear"/>
            <w:vAlign w:val="center"/>
          </w:tcPr>
          <w:p>
            <w:pPr>
              <w:pStyle w:val="TableContents"/>
              <w:bidi w:val="0"/>
              <w:spacing w:before="0" w:after="283"/>
              <w:jc w:val="left"/>
              <w:rPr/>
            </w:pPr>
            <w:r>
              <w:rPr/>
              <w:t>%(5) </w:t>
            </w:r>
          </w:p>
        </w:tc>
      </w:tr>
      <w:tr>
        <w:trPr/>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on borrowed funds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8.50</w:t>
            </w:r>
          </w:p>
        </w:tc>
        <w:tc>
          <w:tcPr>
            <w:tcW w:w="560" w:type="dxa"/>
            <w:tcBorders/>
            <w:vAlign w:val="center"/>
          </w:tcPr>
          <w:p>
            <w:pPr>
              <w:pStyle w:val="TableContents"/>
              <w:bidi w:val="0"/>
              <w:spacing w:before="0" w:after="283"/>
              <w:jc w:val="left"/>
              <w:rPr/>
            </w:pPr>
            <w:r>
              <w:rPr/>
              <w:t>%(6) </w:t>
            </w:r>
          </w:p>
        </w:tc>
      </w:tr>
      <w:tr>
        <w:trPr/>
        <w:tc>
          <w:tcPr>
            <w:tcW w:w="83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fund fees and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12.26</w:t>
            </w:r>
          </w:p>
        </w:tc>
        <w:tc>
          <w:tcPr>
            <w:tcW w:w="560" w:type="dxa"/>
            <w:tcBorders/>
            <w:shd w:fill="CCEEFF" w:val="clear"/>
            <w:vAlign w:val="center"/>
          </w:tcPr>
          <w:p>
            <w:pPr>
              <w:pStyle w:val="TableContents"/>
              <w:bidi w:val="0"/>
              <w:spacing w:before="0" w:after="283"/>
              <w:jc w:val="left"/>
              <w:rPr/>
            </w:pPr>
            <w:r>
              <w:rPr/>
              <w:t>%(7) </w:t>
            </w:r>
          </w:p>
        </w:tc>
      </w:tr>
      <w:tr>
        <w:trPr/>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1.38</w:t>
            </w:r>
          </w:p>
        </w:tc>
        <w:tc>
          <w:tcPr>
            <w:tcW w:w="560" w:type="dxa"/>
            <w:tcBorders/>
            <w:vAlign w:val="center"/>
          </w:tcPr>
          <w:p>
            <w:pPr>
              <w:pStyle w:val="TableContents"/>
              <w:bidi w:val="0"/>
              <w:spacing w:before="0" w:after="283"/>
              <w:jc w:val="left"/>
              <w:rPr/>
            </w:pPr>
            <w:r>
              <w:rPr/>
              <w:t>%(8) </w:t>
            </w:r>
          </w:p>
        </w:tc>
      </w:tr>
      <w:tr>
        <w:trPr/>
        <w:tc>
          <w:tcPr>
            <w:tcW w:w="83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estimated annual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26.88</w:t>
            </w:r>
          </w:p>
        </w:tc>
        <w:tc>
          <w:tcPr>
            <w:tcW w:w="560" w:type="dxa"/>
            <w:tcBorders/>
            <w:shd w:fill="CCEEFF" w:val="clear"/>
            <w:vAlign w:val="center"/>
          </w:tcPr>
          <w:p>
            <w:pPr>
              <w:pStyle w:val="TableContents"/>
              <w:bidi w:val="0"/>
              <w:spacing w:before="0" w:after="283"/>
              <w:jc w:val="left"/>
              <w:rPr/>
            </w:pPr>
            <w:r>
              <w:rPr/>
              <w:t>%(9)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securities to which any applicable prospectus relates are sold to or through underwriters or agents, a corresponding prospectus supplement will disclose the applicable sales load.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we conduct an offering of our securities, a corresponding prospectus supplement will disclose the estimated amount of offering expenses, the offering price and the offering expenses borne by us as a percentage of the offering price. </w:t>
            </w:r>
          </w:p>
        </w:tc>
      </w:tr>
    </w:tbl>
    <w:tbl>
      <w:tblPr>
        <w:tblW w:w="9310" w:type="dxa"/>
        <w:jc w:val="left"/>
        <w:tblInd w:w="0" w:type="dxa"/>
        <w:tblLayout w:type="fixed"/>
        <w:tblCellMar>
          <w:top w:w="0" w:type="dxa"/>
          <w:left w:w="0" w:type="dxa"/>
          <w:bottom w:w="0" w:type="dxa"/>
          <w:right w:w="0" w:type="dxa"/>
        </w:tblCellMar>
      </w:tblPr>
      <w:tblGrid>
        <w:gridCol w:w="305"/>
        <w:gridCol w:w="9005"/>
      </w:tblGrid>
      <w:tr>
        <w:trPr/>
        <w:tc>
          <w:tcPr>
            <w:tcW w:w="305" w:type="dxa"/>
            <w:tcBorders/>
            <w:vAlign w:val="center"/>
          </w:tcPr>
          <w:p>
            <w:pPr>
              <w:pStyle w:val="TableContents"/>
              <w:bidi w:val="0"/>
              <w:spacing w:before="0" w:after="283"/>
              <w:jc w:val="left"/>
              <w:rPr/>
            </w:pPr>
            <w:r>
              <w:rPr/>
              <w:t>(3)</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assets attributable to common shares equals average net assets for the fiscal quarter ended March 31, 2024.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(4)</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management fee is calculated at an annual rate of 1.00% of our average adjusted gross assets on March 31, 2024.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(5)</w:t>
            </w:r>
          </w:p>
        </w:tc>
        <w:tc>
          <w:tcPr>
            <w:tcW w:w="9970" w:type="dxa"/>
            <w:tcBorders/>
            <w:vAlign w:val="center"/>
          </w:tcPr>
          <w:p>
            <w:pPr>
              <w:pStyle w:val="TableContents"/>
              <w:bidi w:val="0"/>
              <w:spacing w:before="0" w:after="0"/>
              <w:jc w:val="left"/>
              <w:rPr/>
            </w:pPr>
            <w:r>
              <w:rPr>
                <w:rFonts w:ascii="Times New Roman" w:hAnsi="Times New Roman"/>
                <w:sz w:val="20"/>
              </w:rPr>
              <w:t xml:space="preserve">The portion of incentive fees paid with respect to net investment income and capital gains, if any, is based on actual amounts incurred during the fiscal quarter ended March 31, 2024.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quarter ended March 31, 2024. For more detailed information about the incentive fee, please see “Item 1. Business—Investment Management Agreement” and “Item 1. Business—Investment Advisory Fees” in our most recent Annual Report on </w:t>
            </w:r>
            <w:r>
              <w:fldChar w:fldCharType="begin"/>
            </w:r>
            <w:r>
              <w:rPr>
                <w:rStyle w:val="InternetLink"/>
                <w:sz w:val="20"/>
                <w:rFonts w:ascii="Times New Roman" w:hAnsi="Times New Roman"/>
              </w:rPr>
              <w:instrText xml:space="preserve"> HYPERLINK "http://www.sec.gov/Archives/edgar/data/../../../ix?doc=/Archives/edgar/data/1504619/000095017023068908/pflt-20230930.htm" \l "item_1_business"</w:instrText>
            </w:r>
            <w:r>
              <w:rPr>
                <w:rStyle w:val="InternetLink"/>
                <w:sz w:val="20"/>
                <w:rFonts w:ascii="Times New Roman" w:hAnsi="Times New Roman"/>
              </w:rPr>
              <w:fldChar w:fldCharType="separate"/>
            </w:r>
            <w:r>
              <w:rPr>
                <w:rStyle w:val="InternetLink"/>
                <w:rFonts w:ascii="Times New Roman" w:hAnsi="Times New Roman"/>
                <w:sz w:val="20"/>
              </w:rPr>
              <w:t>Form 10-K</w:t>
            </w:r>
            <w:r>
              <w:rPr>
                <w:rStyle w:val="InternetLink"/>
                <w:sz w:val="20"/>
                <w:rFonts w:ascii="Times New Roman" w:hAnsi="Times New Roman"/>
              </w:rPr>
              <w:fldChar w:fldCharType="end"/>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March 31, 2024, we had $168.9 million in borrowings outstanding under the Credit Facility, $185.0 million outstanding under of 2026 Notes, $226.3 million outstanding under the 2031 Asset-Backed Debt and $287.0 million outstanding under the 2036 Asset-Backed Debt. We may use proceeds of an offering of securities under any applicable registration statement to repay outstanding obligations under our existing financing arrangements or other indebtedness. After completing any such offering, we may continue to borrow under our existing financing arrangements to finance our investment objectives. We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have estimated the annual interest expense on borrowed funds and we caution you that our actual interest expense in the future will depend on prevailing interest rates and our rate of borrowing, which may be substantially higher than the amount provided in this table.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(7)</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March 31, 2024, annualized for a full year. Expenses for PSSL may fluctuate over time and may be substantially higher or lower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stockholders indirectly bear 23.08% of the expenses of our investment in PTSF. A management fee equal to 0.50% per annum of the gross assets of PTSF and its subsidiaries is charged by PennantPark Investment Advisers in connection with PTSF and the entity is subject to an incentive fee of 20% of residual income proceeds after the internal rate of return on the equity has reached at least 12%. For this chart, PTSF fees and operating expenses are based on our share of the actual fees and operating expenses of PTSF for the fiscal quarter ended March 31, 2024, annualized for a full year. Expenses for PTSF may fluctuate over time and may be substantially higher or lower in the future.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(8)</w:t>
            </w:r>
          </w:p>
        </w:tc>
        <w:tc>
          <w:tcPr>
            <w:tcW w:w="9957" w:type="dxa"/>
            <w:tcBorders/>
            <w:vAlign w:val="center"/>
          </w:tcPr>
          <w:p>
            <w:pPr>
              <w:pStyle w:val="TableContents"/>
              <w:bidi w:val="0"/>
              <w:spacing w:before="0" w:after="0"/>
              <w:jc w:val="left"/>
              <w:rPr/>
            </w:pPr>
            <w:r>
              <w:rPr/>
              <w:t>“</w:t>
            </w:r>
            <w:r>
              <w:rPr>
                <w:rFonts w:ascii="Times New Roman" w:hAnsi="Times New Roman"/>
                <w:sz w:val="20"/>
              </w:rPr>
              <w:t xml:space="preserve">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quarter ended March 31, 2024, annualized for a full year.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(9)</w:t>
            </w:r>
          </w:p>
        </w:tc>
        <w:tc>
          <w:tcPr>
            <w:tcW w:w="9965" w:type="dxa"/>
            <w:tcBorders/>
            <w:vAlign w:val="center"/>
          </w:tcPr>
          <w:p>
            <w:pPr>
              <w:pStyle w:val="TableContents"/>
              <w:bidi w:val="0"/>
              <w:spacing w:before="0" w:after="0"/>
              <w:jc w:val="left"/>
              <w:rPr/>
            </w:pPr>
            <w:r>
              <w:rPr/>
              <w:t>“</w:t>
            </w:r>
            <w:r>
              <w:rPr>
                <w:rFonts w:ascii="Times New Roman" w:hAnsi="Times New Roman"/>
                <w:sz w:val="20"/>
              </w:rPr>
              <w:t xml:space="preserve">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12.21% of average total assets.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Example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example illustrates the projected dollar amount of total cumulative expenses that you would pay on a $1,000 hypothetical investment in common shares, assuming (1) a 3.0% sales load (underwriting discounts and commissions) and offering expenses totaling 0.50%, (2) total net estimated annual expenses of 24.12% of average net assets attributable to common shares as set forth in the table above (other than performance-based incentive fees) and (3) a 5% annual return.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90"/>
        <w:gridCol w:w="60"/>
        <w:gridCol w:w="215"/>
        <w:gridCol w:w="585"/>
        <w:gridCol w:w="60"/>
        <w:gridCol w:w="60"/>
        <w:gridCol w:w="215"/>
        <w:gridCol w:w="585"/>
        <w:gridCol w:w="60"/>
        <w:gridCol w:w="60"/>
        <w:gridCol w:w="215"/>
        <w:gridCol w:w="585"/>
        <w:gridCol w:w="60"/>
        <w:gridCol w:w="60"/>
        <w:gridCol w:w="184"/>
        <w:gridCol w:w="736"/>
        <w:gridCol w:w="75"/>
      </w:tblGrid>
      <w:tr>
        <w:trPr/>
        <w:tc>
          <w:tcPr>
            <w:tcW w:w="6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90" w:type="dxa"/>
            <w:tcBorders/>
            <w:vAlign w:val="center"/>
          </w:tcPr>
          <w:p>
            <w:pPr>
              <w:pStyle w:val="TableContents"/>
              <w:bidi w:val="0"/>
              <w:spacing w:before="0" w:after="283"/>
              <w:jc w:val="left"/>
              <w:rPr>
                <w:b/>
              </w:rPr>
            </w:pPr>
            <w:r>
              <w:rPr>
                <w:b/>
              </w:rPr>
              <w:t>You would pay the following expenses on a $1,000 common stock investment</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1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10 Years</w:t>
            </w:r>
          </w:p>
        </w:tc>
        <w:tc>
          <w:tcPr>
            <w:tcW w:w="75" w:type="dxa"/>
            <w:tcBorders/>
            <w:vAlign w:val="center"/>
          </w:tcPr>
          <w:p>
            <w:pPr>
              <w:pStyle w:val="TableContents"/>
              <w:bidi w:val="0"/>
              <w:spacing w:before="0" w:after="283"/>
              <w:jc w:val="left"/>
              <w:rPr/>
            </w:pPr>
            <w:r>
              <w:rPr/>
              <w:t> </w:t>
            </w:r>
          </w:p>
        </w:tc>
      </w:tr>
      <w:tr>
        <w:trPr/>
        <w:tc>
          <w:tcPr>
            <w:tcW w:w="63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Assuming a 5% annual return (assumes no return from net realized capital gains or net unrealized capital appreciation)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1,004</w:t>
            </w:r>
          </w:p>
        </w:tc>
        <w:tc>
          <w:tcPr>
            <w:tcW w:w="75" w:type="dxa"/>
            <w:tcBorders/>
            <w:shd w:fill="CCEEFF" w:val="clear"/>
            <w:vAlign w:val="center"/>
          </w:tcPr>
          <w:p>
            <w:pPr>
              <w:pStyle w:val="TableContents"/>
              <w:bidi w:val="0"/>
              <w:spacing w:before="0" w:after="283"/>
              <w:jc w:val="left"/>
              <w:rPr/>
            </w:pPr>
            <w:r>
              <w:rPr/>
              <w:t> </w:t>
            </w:r>
          </w:p>
        </w:tc>
      </w:tr>
      <w:tr>
        <w:trPr/>
        <w:tc>
          <w:tcPr>
            <w:tcW w:w="6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Assuming a 5% annual return (assumes return only from realized capital gains and thus subject to the capital gains incentive fee)</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253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566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766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736" w:type="dxa"/>
            <w:tcBorders/>
            <w:vAlign w:val="center"/>
          </w:tcPr>
          <w:p>
            <w:pPr>
              <w:pStyle w:val="TableContents"/>
              <w:bidi w:val="0"/>
              <w:spacing w:before="0" w:after="283"/>
              <w:jc w:val="right"/>
              <w:rPr/>
            </w:pPr>
            <w:r>
              <w:rPr/>
              <w:t>1,004</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pPr>
      <w:r>
        <w:rPr>
          <w:rFonts w:ascii="Times New Roman" w:hAnsi="Times New Roman"/>
          <w:sz w:val="20"/>
        </w:rPr>
        <w:t xml:space="preserve">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for more information in our most recent Annual Report on </w:t>
      </w:r>
      <w:r>
        <w:fldChar w:fldCharType="begin"/>
      </w:r>
      <w:r>
        <w:rPr>
          <w:rStyle w:val="InternetLink"/>
          <w:sz w:val="20"/>
          <w:rFonts w:ascii="Times New Roman" w:hAnsi="Times New Roman"/>
        </w:rPr>
        <w:instrText xml:space="preserve"> HYPERLINK "http://www.sec.gov/Archives/edgar/data/../../../ix?doc=/Archives/edgar/data/1504619/000095017023068908/pflt-20230930.htm" \l "item_5_market_for_registrants_common_equ"</w:instrText>
      </w:r>
      <w:r>
        <w:rPr>
          <w:rStyle w:val="InternetLink"/>
          <w:sz w:val="20"/>
          <w:rFonts w:ascii="Times New Roman" w:hAnsi="Times New Roman"/>
        </w:rPr>
        <w:fldChar w:fldCharType="separate"/>
      </w:r>
      <w:r>
        <w:rPr>
          <w:rStyle w:val="InternetLink"/>
          <w:rFonts w:ascii="Times New Roman" w:hAnsi="Times New Roman"/>
          <w:sz w:val="20"/>
        </w:rPr>
        <w:t>Form 10-K</w:t>
      </w:r>
      <w:r>
        <w:rPr>
          <w:rStyle w:val="InternetLink"/>
          <w:sz w:val="20"/>
          <w:rFonts w:ascii="Times New Roman" w:hAnsi="Times New Roman"/>
        </w:rPr>
        <w:fldChar w:fldCharType="end"/>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 w:name="tx894111_3"/>
      <w:bookmarkEnd w:id="5"/>
      <w:r>
        <w:rPr>
          <w:rFonts w:ascii="Times New Roman" w:hAnsi="Times New Roman"/>
          <w:b/>
          <w:sz w:val="20"/>
        </w:rPr>
        <w:t xml:space="preserve">FINANCIAL HIGHLIGHTS </w:t>
      </w:r>
    </w:p>
    <w:p>
      <w:pPr>
        <w:pStyle w:val="TextBody"/>
        <w:bidi w:val="0"/>
        <w:spacing w:before="240" w:after="0"/>
        <w:jc w:val="left"/>
        <w:rPr/>
      </w:pPr>
      <w:r>
        <w:rPr>
          <w:rFonts w:ascii="Times New Roman" w:hAnsi="Times New Roman"/>
          <w:sz w:val="20"/>
        </w:rPr>
        <w:t xml:space="preserve">The financial data set forth in the following table as of and for the years ended September 30, 2023, 2022, 2021, 2020, 2019, 2018, 2017, 2016, 2015 and 2014 are derived from our consolidated financial statements, which have been audited by an independent registered public accounting firm for those periods. The financial data set forth in the following table as of and for the six months ended March 31, 2024 is derived from our unaudited consolidated financial statements, but in the opinion of management, reflects all adjustments (consisting only of normal recurring adjustments) that are necessary to present fairly the results of such interim period. Interim results as of and for the six months ended March 31, 2024 are not necessarily indicative of the results that may be expected for the year ending September 30, 2024. This financial data should be read in conjunction with our Consolidated Financial Statements and related notes thereto and “Management’s Discussion and Analysis of Financial Condition and Results of Operations” included in our most recent Annual Report on </w:t>
      </w:r>
      <w:hyperlink r:id="rId15">
        <w:r>
          <w:rPr>
            <w:rStyle w:val="InternetLink"/>
            <w:rFonts w:ascii="Times New Roman" w:hAnsi="Times New Roman"/>
            <w:sz w:val="20"/>
          </w:rPr>
          <w:t>Form 10-K</w:t>
        </w:r>
      </w:hyperlink>
      <w:r>
        <w:rPr>
          <w:rFonts w:ascii="Times New Roman" w:hAnsi="Times New Roman"/>
          <w:sz w:val="20"/>
        </w:rPr>
        <w:t xml:space="preserve"> and our most recent Quarterly Report on </w:t>
      </w:r>
      <w:hyperlink r:id="rId16">
        <w:r>
          <w:rPr>
            <w:rStyle w:val="InternetLink"/>
            <w:rFonts w:ascii="Times New Roman" w:hAnsi="Times New Roman"/>
            <w:sz w:val="20"/>
          </w:rPr>
          <w:t>Form 10-Q</w:t>
        </w:r>
      </w:hyperlink>
      <w:r>
        <w:rPr>
          <w:rFonts w:ascii="Times New Roman" w:hAnsi="Times New Roman"/>
          <w:sz w:val="20"/>
        </w:rPr>
        <w:t xml:space="preserve">. </w:t>
      </w:r>
    </w:p>
    <w:p>
      <w:pPr>
        <w:pStyle w:val="TextBody"/>
        <w:bidi w:val="0"/>
        <w:spacing w:before="0" w:after="0"/>
        <w:jc w:val="left"/>
        <w:rPr/>
      </w:pPr>
      <w:r>
        <w:rPr/>
        <w:t> </w:t>
      </w:r>
    </w:p>
    <w:tbl>
      <w:tblPr>
        <w:tblW w:w="18530" w:type="dxa"/>
        <w:jc w:val="left"/>
        <w:tblInd w:w="0" w:type="dxa"/>
        <w:tblLayout w:type="fixed"/>
        <w:tblCellMar>
          <w:top w:w="0" w:type="dxa"/>
          <w:left w:w="0" w:type="dxa"/>
          <w:bottom w:w="0" w:type="dxa"/>
          <w:right w:w="0" w:type="dxa"/>
        </w:tblCellMar>
      </w:tblPr>
      <w:tblGrid>
        <w:gridCol w:w="1190"/>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75"/>
        <w:gridCol w:w="60"/>
        <w:gridCol w:w="140"/>
        <w:gridCol w:w="1100"/>
        <w:gridCol w:w="290"/>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w:t>
              <w:br/>
              <w:t>six months</w:t>
              <w:br/>
              <w:t>ended in</w:t>
              <w:br/>
              <w:t>March 31,</w:t>
              <w:br/>
              <w:t>2024</w:t>
              <w:br/>
              <w:t>(unaudited)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2014</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Per Share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asset value, beginning of period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14.10</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investment income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realized and unrealized (loss) gain (1)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0.26</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increase in net assets resulting from operations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Distribution of net investment income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(0.84</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Distribution of realized gains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(0.24</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distributions to stockholders (1),(2)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Accretive (dilutive) effect of common stock issuance and acquisition of MCG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asset value, end of period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14.40</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Per share market value,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12.79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13.78</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return*(3)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66.47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8.05</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Shares outstanding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63,228,138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58,734,702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45,345,638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38,880,728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38,772,074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38,772,074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38,772,074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32,480,074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26,730,074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26,730,074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14,898,056</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Ratios**/ Supplemental Data: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Ratio of operating expenses to average net assets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4.45</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Ratio of debt related expenses to average net assets (5)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1.95</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Ratio of total expenses to average net assets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6.40</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Ratio of net investment income to average net assets (5)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7.77</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assets at end of period (in thousands)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720,711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653,605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527,092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490,611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477,270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503,057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535,842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457,906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375,907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372,890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214,528</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Weighted average debt outstanding (in thousands)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667,111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615,068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698,765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622,739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737,209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512,135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354,322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269,320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140,218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123,924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147,599</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Weighted average debt per share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9.91</w:t>
            </w:r>
          </w:p>
        </w:tc>
        <w:tc>
          <w:tcPr>
            <w:tcW w:w="290" w:type="dxa"/>
            <w:tcBorders/>
            <w:shd w:fill="CCEEFF"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Asset coverage per unit (6)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1,825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2,780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2,601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13,598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2,469</w:t>
            </w:r>
          </w:p>
        </w:tc>
        <w:tc>
          <w:tcPr>
            <w:tcW w:w="29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Portfolio turnover ratio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62.74</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 The expense and investment income ratios above do not reflect the Company’s proportionate share of income and expenses of PSSL and PTSF. </w:t>
      </w:r>
    </w:p>
    <w:p>
      <w:pPr>
        <w:pStyle w:val="TextBody"/>
        <w:bidi w:val="0"/>
        <w:spacing w:lineRule="atLeast" w:line="160" w:before="0" w:after="40"/>
        <w:jc w:val="left"/>
        <w:rPr>
          <w:bdr w:val="single" w:sz="2" w:space="1" w:color="000000"/>
        </w:rPr>
      </w:pPr>
      <w:r>
        <w:rPr>
          <w:bdr w:val="single" w:sz="2" w:space="1" w:color="000000"/>
        </w:rPr>
        <w:t> </w:t>
      </w:r>
    </w:p>
    <w:tbl>
      <w:tblPr>
        <w:tblW w:w="3925" w:type="dxa"/>
        <w:jc w:val="left"/>
        <w:tblInd w:w="0" w:type="dxa"/>
        <w:tblLayout w:type="fixed"/>
        <w:tblCellMar>
          <w:top w:w="0" w:type="dxa"/>
          <w:left w:w="0" w:type="dxa"/>
          <w:bottom w:w="0" w:type="dxa"/>
          <w:right w:w="0" w:type="dxa"/>
        </w:tblCellMar>
      </w:tblPr>
      <w:tblGrid>
        <w:gridCol w:w="155"/>
        <w:gridCol w:w="3770"/>
      </w:tblGrid>
      <w:tr>
        <w:trPr/>
        <w:tc>
          <w:tcPr>
            <w:tcW w:w="155"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annualized for periods less than one year. </w:t>
            </w:r>
          </w:p>
        </w:tc>
      </w:tr>
    </w:tbl>
    <w:tbl>
      <w:tblPr>
        <w:tblW w:w="9685" w:type="dxa"/>
        <w:jc w:val="left"/>
        <w:tblInd w:w="0" w:type="dxa"/>
        <w:tblLayout w:type="fixed"/>
        <w:tblCellMar>
          <w:top w:w="0" w:type="dxa"/>
          <w:left w:w="0" w:type="dxa"/>
          <w:bottom w:w="0" w:type="dxa"/>
          <w:right w:w="0" w:type="dxa"/>
        </w:tblCellMar>
      </w:tblPr>
      <w:tblGrid>
        <w:gridCol w:w="275"/>
        <w:gridCol w:w="9410"/>
      </w:tblGrid>
      <w:tr>
        <w:trPr/>
        <w:tc>
          <w:tcPr>
            <w:tcW w:w="275"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Re-occuring investment income and expenses included in these ratios are annualized for periods less than one year. </w:t>
            </w:r>
          </w:p>
        </w:tc>
      </w:tr>
    </w:tbl>
    <w:tbl>
      <w:tblPr>
        <w:tblW w:w="6595" w:type="dxa"/>
        <w:jc w:val="left"/>
        <w:tblInd w:w="0" w:type="dxa"/>
        <w:tblLayout w:type="fixed"/>
        <w:tblCellMar>
          <w:top w:w="0" w:type="dxa"/>
          <w:left w:w="0" w:type="dxa"/>
          <w:bottom w:w="0" w:type="dxa"/>
          <w:right w:w="0" w:type="dxa"/>
        </w:tblCellMar>
      </w:tblPr>
      <w:tblGrid>
        <w:gridCol w:w="305"/>
        <w:gridCol w:w="6290"/>
      </w:tblGrid>
      <w:tr>
        <w:trPr/>
        <w:tc>
          <w:tcPr>
            <w:tcW w:w="305" w:type="dxa"/>
            <w:tcBorders/>
            <w:vAlign w:val="center"/>
          </w:tcPr>
          <w:p>
            <w:pPr>
              <w:pStyle w:val="TableContents"/>
              <w:bidi w:val="0"/>
              <w:spacing w:before="0" w:after="283"/>
              <w:jc w:val="left"/>
              <w:rPr/>
            </w:pPr>
            <w:r>
              <w:rPr/>
              <w:t>(1)</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weighted average shares outstanding for the respective periods.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tax status of distributions is calculated in accordance with income tax regulations, which may differ from amounts determined under GAAP, and reported on Form 1099-DIV each calendar year. </w:t>
            </w:r>
          </w:p>
        </w:tc>
      </w:tr>
    </w:tbl>
    <w:tbl>
      <w:tblPr>
        <w:tblW w:w="9490" w:type="dxa"/>
        <w:jc w:val="left"/>
        <w:tblInd w:w="0" w:type="dxa"/>
        <w:tblLayout w:type="fixed"/>
        <w:tblCellMar>
          <w:top w:w="0" w:type="dxa"/>
          <w:left w:w="0" w:type="dxa"/>
          <w:bottom w:w="0" w:type="dxa"/>
          <w:right w:w="0" w:type="dxa"/>
        </w:tblCellMar>
      </w:tblPr>
      <w:tblGrid>
        <w:gridCol w:w="305"/>
        <w:gridCol w:w="9185"/>
      </w:tblGrid>
      <w:tr>
        <w:trPr/>
        <w:tc>
          <w:tcPr>
            <w:tcW w:w="305" w:type="dxa"/>
            <w:tcBorders/>
            <w:vAlign w:val="center"/>
          </w:tcPr>
          <w:p>
            <w:pPr>
              <w:pStyle w:val="TableContents"/>
              <w:bidi w:val="0"/>
              <w:spacing w:before="0" w:after="283"/>
              <w:jc w:val="left"/>
              <w:rPr/>
            </w:pPr>
            <w:r>
              <w:rPr/>
              <w:t>(3)</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change in market price per share during the period and assumes distributions, if any, are reinvested.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283"/>
              <w:jc w:val="left"/>
              <w:rPr/>
            </w:pPr>
            <w:r>
              <w:rPr/>
              <w:t>(4)</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debt related costs.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(5)</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interest and expenses on debt (annualized) as well as Credit Facility amendment and debt issuance costs, if any (not annualized).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(6)</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tx894111_4"/>
      <w:bookmarkEnd w:id="6"/>
      <w:r>
        <w:rPr>
          <w:rFonts w:ascii="Times New Roman" w:hAnsi="Times New Roman"/>
          <w:b/>
          <w:sz w:val="20"/>
        </w:rPr>
        <w:t xml:space="preserve">RISK FACTORS </w:t>
      </w:r>
    </w:p>
    <w:p>
      <w:pPr>
        <w:pStyle w:val="TextBody"/>
        <w:bidi w:val="0"/>
        <w:spacing w:before="240" w:after="0"/>
        <w:jc w:val="left"/>
        <w:rPr/>
      </w:pPr>
      <w:r>
        <w:rPr>
          <w:rFonts w:ascii="Times New Roman" w:hAnsi="Times New Roman"/>
          <w:sz w:val="20"/>
        </w:rPr>
        <w:t xml:space="preserve">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w:t>
      </w:r>
      <w:hyperlink r:id="rId17">
        <w:r>
          <w:rPr>
            <w:rStyle w:val="InternetLink"/>
            <w:rFonts w:ascii="Times New Roman" w:hAnsi="Times New Roman"/>
            <w:sz w:val="20"/>
          </w:rPr>
          <w:t>Form 10-K</w:t>
        </w:r>
      </w:hyperlink>
      <w:r>
        <w:rPr>
          <w:rFonts w:ascii="Times New Roman" w:hAnsi="Times New Roman"/>
          <w:sz w:val="20"/>
        </w:rPr>
        <w:t xml:space="preserve"> for the fiscal year ended September 30, 2023, filed on December 8, 2023,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x894111_5"/>
      <w:bookmarkEnd w:id="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prospective portfolio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political, economic or industry conditions, the interest rate environment or conditions affecting the financial and capital markets that could result in changes to the value of our assets;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protracted decline in the liquidity of credit markets on our business;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investments that we expect to make;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fluctuations in interest rates and foreign exchange rates on our business and our portfolio companies;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relationships with third parties;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our investments in portfolio companies, particularly those having no liquid trading market;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prospective portfolio companies to achieve their objectives;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financings and investments and ability to fund capital commitments to PSSL;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110"/>
        <w:gridCol w:w="60"/>
        <w:gridCol w:w="7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prospective portfolio companies;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price and volume fluctuations in the stock market;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increasing levels of inflation, and its impact on us and our portfolio companies;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Investment Adviser to locate suitable investments for us and to monitor and administer our investments;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future legislation and regulation on our business and our portfolio companies;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ongoing Russia-Ukraine and Hamas-Israel conflicts and other world economic and political issues; and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develop and maintain effective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any of those assumptions could prove to be inaccurate, and as a result, the forward-looking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Forms 10-K and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x894111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or a free writing prospectus we have authorized for use in connection with a specific offering, we may use the net proceeds from selling securities pursuant to this prospectus to reduce our then-outstanding debt obligations, to invest in new or existing portfolio companies, to capitalize a subsidiary or for other general corporate or strategic purposes. </w:t>
      </w:r>
    </w:p>
    <w:p>
      <w:pPr>
        <w:pStyle w:val="TextBody"/>
        <w:bidi w:val="0"/>
        <w:spacing w:before="240" w:after="0"/>
        <w:jc w:val="left"/>
        <w:rPr/>
      </w:pPr>
      <w:r>
        <w:rPr>
          <w:rFonts w:ascii="Times New Roman" w:hAnsi="Times New Roman"/>
          <w:sz w:val="20"/>
        </w:rPr>
        <w:t xml:space="preserve">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w:t>
      </w:r>
      <w:hyperlink r:id="rId18">
        <w:r>
          <w:rPr>
            <w:rStyle w:val="InternetLink"/>
            <w:rFonts w:ascii="Times New Roman" w:hAnsi="Times New Roman"/>
            <w:sz w:val="20"/>
          </w:rPr>
          <w:t>Form 10-K</w:t>
        </w:r>
      </w:hyperlink>
      <w:r>
        <w:rPr>
          <w:rFonts w:ascii="Times New Roman" w:hAnsi="Times New Roman"/>
          <w:sz w:val="20"/>
        </w:rPr>
        <w:t xml:space="preserve">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tx894111_7"/>
      <w:bookmarkEnd w:id="9"/>
      <w:r>
        <w:rPr>
          <w:rFonts w:ascii="Times New Roman" w:hAnsi="Times New Roman"/>
          <w:b/>
          <w:sz w:val="20"/>
        </w:rPr>
        <w:t xml:space="preserve">SENIOR SECURITIES </w:t>
      </w:r>
    </w:p>
    <w:p>
      <w:pPr>
        <w:pStyle w:val="TextBody"/>
        <w:bidi w:val="0"/>
        <w:spacing w:before="240" w:after="0"/>
        <w:jc w:val="left"/>
        <w:rPr/>
      </w:pPr>
      <w:r>
        <w:rPr>
          <w:rFonts w:ascii="Times New Roman" w:hAnsi="Times New Roman"/>
          <w:sz w:val="20"/>
        </w:rPr>
        <w:t xml:space="preserve">Information about our senior securities is shown in the following table as of the end of the fiscal quarter ended March 31, 2024 and as of September 30, 2023, 2022, 2021, 2020, 2019, 2018, 2017, 2016, 2015, and 2014. The report of RSM US LLP, an independent registered public accounting firm, on our senior securities table as of September 30, 2023 is included in our most recent Annual Report on </w:t>
      </w:r>
      <w:hyperlink r:id="rId19">
        <w:r>
          <w:rPr>
            <w:rStyle w:val="InternetLink"/>
            <w:rFonts w:ascii="Times New Roman" w:hAnsi="Times New Roman"/>
            <w:sz w:val="20"/>
          </w:rPr>
          <w:t>Form 10-K</w:t>
        </w:r>
      </w:hyperlink>
      <w:r>
        <w:rPr>
          <w:rFonts w:ascii="Times New Roman" w:hAnsi="Times New Roman"/>
          <w:sz w:val="20"/>
        </w:rPr>
        <w:t xml:space="preserve">, filed on December 8, 2023, and is incorporated by reference into the registration statement of which this prospectus is a part. </w:t>
      </w:r>
    </w:p>
    <w:p>
      <w:pPr>
        <w:pStyle w:val="TextBody"/>
        <w:bidi w:val="0"/>
        <w:spacing w:before="0" w:after="0"/>
        <w:jc w:val="left"/>
        <w:rPr/>
      </w:pPr>
      <w:r>
        <w:rPr/>
        <w:t> </w:t>
      </w:r>
    </w:p>
    <w:tbl>
      <w:tblPr>
        <w:tblW w:w="8059" w:type="dxa"/>
        <w:jc w:val="left"/>
        <w:tblInd w:w="0" w:type="dxa"/>
        <w:tblLayout w:type="fixed"/>
        <w:tblCellMar>
          <w:top w:w="0" w:type="dxa"/>
          <w:left w:w="0" w:type="dxa"/>
          <w:bottom w:w="0" w:type="dxa"/>
          <w:right w:w="0" w:type="dxa"/>
        </w:tblCellMar>
      </w:tblPr>
      <w:tblGrid>
        <w:gridCol w:w="2855"/>
        <w:gridCol w:w="120"/>
        <w:gridCol w:w="239"/>
        <w:gridCol w:w="1370"/>
        <w:gridCol w:w="60"/>
        <w:gridCol w:w="120"/>
        <w:gridCol w:w="272"/>
        <w:gridCol w:w="1323"/>
        <w:gridCol w:w="60"/>
        <w:gridCol w:w="120"/>
        <w:gridCol w:w="270"/>
        <w:gridCol w:w="1175"/>
        <w:gridCol w:w="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b/>
              </w:rPr>
            </w:pPr>
            <w:r>
              <w:rPr>
                <w:b/>
              </w:rPr>
              <w:t>Class and Year/Period</w:t>
            </w:r>
          </w:p>
        </w:tc>
        <w:tc>
          <w:tcPr>
            <w:tcW w:w="12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rPr>
            </w:pPr>
            <w:r>
              <w:rPr>
                <w:b/>
              </w:rPr>
              <w:t>Total Amount</w:t>
              <w:br/>
              <w:t>Outstanding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center"/>
              <w:rPr>
                <w:b/>
              </w:rPr>
            </w:pPr>
            <w:r>
              <w:rPr>
                <w:b/>
              </w:rPr>
              <w:t>Asset Coverage</w:t>
              <w:br/>
              <w:t>Per Unit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Average</w:t>
              <w:br/>
              <w:t>Market Value</w:t>
              <w:br/>
              <w:t>Per Unit (3)</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Credit Facility</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13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2024 (as of March 31, 2024)</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right"/>
              <w:rPr/>
            </w:pPr>
            <w:r>
              <w:rPr/>
              <w:t>168,855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283"/>
              <w:jc w:val="right"/>
              <w:rPr/>
            </w:pPr>
            <w:r>
              <w:rPr/>
              <w:t>1,825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2023</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9,400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2,304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2022</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168,830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1,784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2021</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219,400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1,746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2020</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308,599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1,677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2019</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265,308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1,786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2018</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333,728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2,122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2017</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253,783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2,780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2016</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232,908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2,601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2015</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29,600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13,598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2014</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146,400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2,469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2023 Notes</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13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2023</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right"/>
              <w:rPr/>
            </w:pPr>
            <w:r>
              <w:rPr/>
              <w:t>76,219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283"/>
              <w:jc w:val="right"/>
              <w:rPr/>
            </w:pPr>
            <w:r>
              <w:rPr/>
              <w:t>2,304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2022</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97,006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1,784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2021</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117,793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1,746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2020</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138,580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1,677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2019</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138,580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1,786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2018</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138,580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2,122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2026 Notes</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2024 (as of March 31, 2024)</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185,000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323" w:type="dxa"/>
            <w:tcBorders/>
            <w:shd w:fill="CCEEFF" w:val="clear"/>
            <w:vAlign w:val="center"/>
          </w:tcPr>
          <w:p>
            <w:pPr>
              <w:pStyle w:val="TableContents"/>
              <w:bidi w:val="0"/>
              <w:spacing w:before="0" w:after="283"/>
              <w:jc w:val="right"/>
              <w:rPr/>
            </w:pPr>
            <w:r>
              <w:rPr/>
              <w:t>1,825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2023</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185,000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2,304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2022</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185,000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1,784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2021</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1,746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2031 Asset-Backed Debt</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13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2024 (as of March 31, 2024)</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right"/>
              <w:rPr/>
            </w:pPr>
            <w:r>
              <w:rPr/>
              <w:t>226,259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283"/>
              <w:jc w:val="right"/>
              <w:rPr/>
            </w:pPr>
            <w:r>
              <w:rPr/>
              <w:t>1,825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2023</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228,000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2,304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2022</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228,000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1,784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2021</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228,000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1,746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Fiscal 2020</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228,000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323" w:type="dxa"/>
            <w:tcBorders/>
            <w:vAlign w:val="center"/>
          </w:tcPr>
          <w:p>
            <w:pPr>
              <w:pStyle w:val="TableContents"/>
              <w:bidi w:val="0"/>
              <w:spacing w:before="0" w:after="283"/>
              <w:jc w:val="right"/>
              <w:rPr/>
            </w:pPr>
            <w:r>
              <w:rPr/>
              <w:t>1,677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2019</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228,000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23" w:type="dxa"/>
            <w:tcBorders/>
            <w:shd w:fill="CCEEFF" w:val="clear"/>
            <w:vAlign w:val="center"/>
          </w:tcPr>
          <w:p>
            <w:pPr>
              <w:pStyle w:val="TableContents"/>
              <w:bidi w:val="0"/>
              <w:spacing w:before="0" w:after="283"/>
              <w:jc w:val="right"/>
              <w:rPr/>
            </w:pPr>
            <w:r>
              <w:rPr/>
              <w:t>1,786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2036 Asset-Backed Debt</w:t>
            </w:r>
          </w:p>
        </w:tc>
        <w:tc>
          <w:tcPr>
            <w:tcW w:w="12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Fiscal 2024 (as of March 31, 2024)</w:t>
            </w:r>
          </w:p>
        </w:tc>
        <w:tc>
          <w:tcPr>
            <w:tcW w:w="12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287,000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323" w:type="dxa"/>
            <w:tcBorders/>
            <w:shd w:fill="CCEEFF" w:val="clear"/>
            <w:vAlign w:val="center"/>
          </w:tcPr>
          <w:p>
            <w:pPr>
              <w:pStyle w:val="TableContents"/>
              <w:bidi w:val="0"/>
              <w:spacing w:before="0" w:after="283"/>
              <w:jc w:val="right"/>
              <w:rPr/>
            </w:pPr>
            <w:r>
              <w:rPr/>
              <w:t>1,825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265" w:type="dxa"/>
        <w:jc w:val="left"/>
        <w:tblInd w:w="0" w:type="dxa"/>
        <w:tblLayout w:type="fixed"/>
        <w:tblCellMar>
          <w:top w:w="0" w:type="dxa"/>
          <w:left w:w="0" w:type="dxa"/>
          <w:bottom w:w="0" w:type="dxa"/>
          <w:right w:w="0" w:type="dxa"/>
        </w:tblCellMar>
      </w:tblPr>
      <w:tblGrid>
        <w:gridCol w:w="305"/>
        <w:gridCol w:w="8960"/>
      </w:tblGrid>
      <w:tr>
        <w:trPr/>
        <w:tc>
          <w:tcPr>
            <w:tcW w:w="305" w:type="dxa"/>
            <w:tcBorders/>
            <w:vAlign w:val="center"/>
          </w:tcPr>
          <w:p>
            <w:pPr>
              <w:pStyle w:val="TableContents"/>
              <w:bidi w:val="0"/>
              <w:spacing w:before="0" w:after="283"/>
              <w:jc w:val="left"/>
              <w:rPr>
                <w:b/>
              </w:rPr>
            </w:pPr>
            <w:r>
              <w:rPr>
                <w:b/>
              </w:rPr>
              <w:t>(1)</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cost of each class of senior securities outstanding at the end of the period presented in thousands (000s).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b/>
              </w:rPr>
            </w:pPr>
            <w:r>
              <w:rPr>
                <w:b/>
              </w:rPr>
              <w:t>(2) </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 </w:t>
            </w:r>
          </w:p>
        </w:tc>
      </w:tr>
    </w:tbl>
    <w:tbl>
      <w:tblPr>
        <w:tblW w:w="8710" w:type="dxa"/>
        <w:jc w:val="left"/>
        <w:tblInd w:w="0" w:type="dxa"/>
        <w:tblLayout w:type="fixed"/>
        <w:tblCellMar>
          <w:top w:w="0" w:type="dxa"/>
          <w:left w:w="0" w:type="dxa"/>
          <w:bottom w:w="0" w:type="dxa"/>
          <w:right w:w="0" w:type="dxa"/>
        </w:tblCellMar>
      </w:tblPr>
      <w:tblGrid>
        <w:gridCol w:w="305"/>
        <w:gridCol w:w="8405"/>
      </w:tblGrid>
      <w:tr>
        <w:trPr/>
        <w:tc>
          <w:tcPr>
            <w:tcW w:w="305" w:type="dxa"/>
            <w:tcBorders/>
            <w:vAlign w:val="center"/>
          </w:tcPr>
          <w:p>
            <w:pPr>
              <w:pStyle w:val="TableContents"/>
              <w:bidi w:val="0"/>
              <w:spacing w:before="0" w:after="283"/>
              <w:jc w:val="left"/>
              <w:rPr>
                <w:b/>
              </w:rPr>
            </w:pPr>
            <w:r>
              <w:rPr>
                <w:b/>
              </w:rPr>
              <w:t>(3)</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as senior securities are not registered for public trading in the United States of America.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x894111_8"/>
      <w:bookmarkEnd w:id="10"/>
      <w:r>
        <w:rPr>
          <w:rFonts w:ascii="Times New Roman" w:hAnsi="Times New Roman"/>
          <w:b/>
          <w:sz w:val="20"/>
        </w:rPr>
        <w:t xml:space="preserve">PRICE RANGE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2022, listing and trading of the Company’s common stock commenced on the New York Stock Exchange after the Company voluntarily withdrew the principal listing of its common stock from the Nasdaq Global Stock Market effective at market close on April 13, 2022. Our common stock trades on the New York Stock Exchange under the symbol “PFLT.” The following table lists the high and low closing sale prices for our common stock, the closing sale prices as a premium or (discount) to our NAV per share and distributions per share for each full quarterly period within the fiscal years ended September 30, 2023 and 2022, and each full fiscal quarter since the beginning of the fiscal year ended September 30,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92"/>
        <w:gridCol w:w="120"/>
        <w:gridCol w:w="148"/>
        <w:gridCol w:w="595"/>
        <w:gridCol w:w="60"/>
        <w:gridCol w:w="120"/>
        <w:gridCol w:w="171"/>
        <w:gridCol w:w="687"/>
        <w:gridCol w:w="73"/>
        <w:gridCol w:w="147"/>
        <w:gridCol w:w="171"/>
        <w:gridCol w:w="691"/>
        <w:gridCol w:w="60"/>
        <w:gridCol w:w="120"/>
        <w:gridCol w:w="312"/>
        <w:gridCol w:w="1360"/>
        <w:gridCol w:w="275"/>
        <w:gridCol w:w="60"/>
        <w:gridCol w:w="251"/>
        <w:gridCol w:w="1420"/>
        <w:gridCol w:w="292"/>
        <w:gridCol w:w="60"/>
        <w:gridCol w:w="268"/>
        <w:gridCol w:w="1072"/>
        <w:gridCol w:w="80"/>
      </w:tblGrid>
      <w:tr>
        <w:trPr/>
        <w:tc>
          <w:tcPr>
            <w:tcW w:w="15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59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6"/>
            <w:tcBorders/>
            <w:vAlign w:val="center"/>
          </w:tcPr>
          <w:p>
            <w:pPr>
              <w:pStyle w:val="TableContents"/>
              <w:bidi w:val="0"/>
              <w:spacing w:before="0" w:after="283"/>
              <w:jc w:val="center"/>
              <w:rPr>
                <w:b/>
              </w:rPr>
            </w:pPr>
            <w:r>
              <w:rPr>
                <w:b/>
              </w:rPr>
              <w:t>Closing Sale Prices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2"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Premium /</w:t>
            </w:r>
          </w:p>
          <w:p>
            <w:pPr>
              <w:pStyle w:val="TableContents"/>
              <w:bidi w:val="0"/>
              <w:spacing w:before="0" w:after="0"/>
              <w:jc w:val="center"/>
              <w:rPr>
                <w:rFonts w:ascii="Times New Roman" w:hAnsi="Times New Roman"/>
                <w:b/>
                <w:sz w:val="16"/>
              </w:rPr>
            </w:pPr>
            <w:r>
              <w:rPr>
                <w:rFonts w:ascii="Times New Roman" w:hAnsi="Times New Roman"/>
                <w:b/>
                <w:sz w:val="16"/>
              </w:rPr>
              <w:t>(Discount)</w:t>
            </w:r>
          </w:p>
          <w:p>
            <w:pPr>
              <w:pStyle w:val="TableContents"/>
              <w:bidi w:val="0"/>
              <w:spacing w:before="0" w:after="20"/>
              <w:jc w:val="center"/>
              <w:rPr>
                <w:rFonts w:ascii="Times New Roman" w:hAnsi="Times New Roman"/>
                <w:b/>
                <w:sz w:val="16"/>
              </w:rPr>
            </w:pPr>
            <w:r>
              <w:rPr>
                <w:rFonts w:ascii="Times New Roman" w:hAnsi="Times New Roman"/>
                <w:b/>
                <w:sz w:val="16"/>
              </w:rPr>
              <w:t>of High 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Premium /</w:t>
            </w:r>
          </w:p>
          <w:p>
            <w:pPr>
              <w:pStyle w:val="TableContents"/>
              <w:bidi w:val="0"/>
              <w:spacing w:before="0" w:after="0"/>
              <w:jc w:val="center"/>
              <w:rPr>
                <w:rFonts w:ascii="Times New Roman" w:hAnsi="Times New Roman"/>
                <w:b/>
                <w:sz w:val="16"/>
              </w:rPr>
            </w:pPr>
            <w:r>
              <w:rPr>
                <w:rFonts w:ascii="Times New Roman" w:hAnsi="Times New Roman"/>
                <w:b/>
                <w:sz w:val="16"/>
              </w:rPr>
              <w:t>(Discount)</w:t>
            </w:r>
          </w:p>
          <w:p>
            <w:pPr>
              <w:pStyle w:val="TableContents"/>
              <w:bidi w:val="0"/>
              <w:spacing w:before="0" w:after="20"/>
              <w:jc w:val="center"/>
              <w:rPr>
                <w:rFonts w:ascii="Times New Roman" w:hAnsi="Times New Roman"/>
                <w:b/>
                <w:sz w:val="16"/>
              </w:rPr>
            </w:pPr>
            <w:r>
              <w:rPr>
                <w:rFonts w:ascii="Times New Roman" w:hAnsi="Times New Roman"/>
                <w:b/>
                <w:sz w:val="16"/>
              </w:rPr>
              <w:t>of Low Sale</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Distributions</w:t>
            </w:r>
          </w:p>
        </w:tc>
        <w:tc>
          <w:tcPr>
            <w:tcW w:w="80" w:type="dxa"/>
            <w:tcBorders/>
            <w:vAlign w:val="center"/>
          </w:tcPr>
          <w:p>
            <w:pPr>
              <w:pStyle w:val="TableContents"/>
              <w:bidi w:val="0"/>
              <w:spacing w:before="0" w:after="283"/>
              <w:jc w:val="left"/>
              <w:rPr/>
            </w:pPr>
            <w:r>
              <w:rPr/>
              <w:t> </w:t>
            </w:r>
          </w:p>
        </w:tc>
      </w:tr>
      <w:tr>
        <w:trPr/>
        <w:tc>
          <w:tcPr>
            <w:tcW w:w="1592" w:type="dxa"/>
            <w:tcBorders/>
            <w:vAlign w:val="center"/>
          </w:tcPr>
          <w:p>
            <w:pPr>
              <w:pStyle w:val="TableContents"/>
              <w:bidi w:val="0"/>
              <w:spacing w:before="0" w:after="283"/>
              <w:jc w:val="left"/>
              <w:rPr>
                <w:b/>
              </w:rPr>
            </w:pPr>
            <w:r>
              <w:rPr>
                <w:b/>
              </w:rPr>
              <w:t>Period</w:t>
            </w:r>
          </w:p>
        </w:tc>
        <w:tc>
          <w:tcPr>
            <w:tcW w:w="120" w:type="dxa"/>
            <w:tcBorders/>
            <w:vAlign w:val="center"/>
          </w:tcPr>
          <w:p>
            <w:pPr>
              <w:pStyle w:val="TableContents"/>
              <w:bidi w:val="0"/>
              <w:spacing w:before="0" w:after="283"/>
              <w:jc w:val="left"/>
              <w:rPr/>
            </w:pPr>
            <w:r>
              <w:rPr/>
              <w:t>  </w:t>
            </w:r>
          </w:p>
        </w:tc>
        <w:tc>
          <w:tcPr>
            <w:tcW w:w="743" w:type="dxa"/>
            <w:gridSpan w:val="2"/>
            <w:tcBorders/>
            <w:vAlign w:val="center"/>
          </w:tcPr>
          <w:p>
            <w:pPr>
              <w:pStyle w:val="TableContents"/>
              <w:bidi w:val="0"/>
              <w:spacing w:before="0" w:after="283"/>
              <w:jc w:val="center"/>
              <w:rPr>
                <w:b/>
              </w:rPr>
            </w:pPr>
            <w:r>
              <w:rPr>
                <w:b/>
              </w:rPr>
              <w:t>NAV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center"/>
              <w:rPr>
                <w:b/>
              </w:rPr>
            </w:pPr>
            <w:r>
              <w:rPr>
                <w:b/>
              </w:rPr>
              <w:t>High</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center"/>
              <w:rPr>
                <w:b/>
              </w:rPr>
            </w:pPr>
            <w:r>
              <w:rPr>
                <w:b/>
              </w:rPr>
              <w:t>Low</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2" w:type="dxa"/>
            <w:gridSpan w:val="2"/>
            <w:tcBorders/>
            <w:vAlign w:val="center"/>
          </w:tcPr>
          <w:p>
            <w:pPr>
              <w:pStyle w:val="TableContents"/>
              <w:bidi w:val="0"/>
              <w:spacing w:before="0" w:after="283"/>
              <w:jc w:val="center"/>
              <w:rPr>
                <w:b/>
              </w:rPr>
            </w:pPr>
            <w:r>
              <w:rPr>
                <w:b/>
              </w:rPr>
              <w:t>Price to NAV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1" w:type="dxa"/>
            <w:gridSpan w:val="2"/>
            <w:tcBorders/>
            <w:vAlign w:val="center"/>
          </w:tcPr>
          <w:p>
            <w:pPr>
              <w:pStyle w:val="TableContents"/>
              <w:bidi w:val="0"/>
              <w:spacing w:before="0" w:after="283"/>
              <w:jc w:val="center"/>
              <w:rPr>
                <w:b/>
              </w:rPr>
            </w:pPr>
            <w:r>
              <w:rPr>
                <w:b/>
              </w:rPr>
              <w:t>Price to NAV (2)</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Declared</w:t>
            </w:r>
          </w:p>
        </w:tc>
        <w:tc>
          <w:tcPr>
            <w:tcW w:w="80" w:type="dxa"/>
            <w:tcBorders/>
            <w:vAlign w:val="center"/>
          </w:tcPr>
          <w:p>
            <w:pPr>
              <w:pStyle w:val="TableContents"/>
              <w:bidi w:val="0"/>
              <w:spacing w:before="0" w:after="283"/>
              <w:jc w:val="left"/>
              <w:rPr/>
            </w:pPr>
            <w:r>
              <w:rPr/>
              <w:t> </w:t>
            </w:r>
          </w:p>
        </w:tc>
      </w:tr>
      <w:tr>
        <w:trPr/>
        <w:tc>
          <w:tcPr>
            <w:tcW w:w="159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September 30, 2024</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7"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3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07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15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595" w:type="dxa"/>
            <w:tcBorders/>
            <w:vAlign w:val="center"/>
          </w:tcPr>
          <w:p>
            <w:pPr>
              <w:pStyle w:val="TableContents"/>
              <w:bidi w:val="0"/>
              <w:spacing w:before="0" w:after="283"/>
              <w:jc w:val="right"/>
              <w:rPr/>
            </w:pPr>
            <w:r>
              <w:rPr/>
              <w:t>11.40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687" w:type="dxa"/>
            <w:tcBorders/>
            <w:vAlign w:val="center"/>
          </w:tcPr>
          <w:p>
            <w:pPr>
              <w:pStyle w:val="TableContents"/>
              <w:bidi w:val="0"/>
              <w:spacing w:before="0" w:after="283"/>
              <w:jc w:val="right"/>
              <w:rPr/>
            </w:pPr>
            <w:r>
              <w:rPr/>
              <w:t>12.61</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right"/>
              <w:rPr/>
            </w:pPr>
            <w:r>
              <w:rPr/>
              <w:t>11.09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(3</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1072" w:type="dxa"/>
            <w:tcBorders/>
            <w:vAlign w:val="center"/>
          </w:tcPr>
          <w:p>
            <w:pPr>
              <w:pStyle w:val="TableContents"/>
              <w:bidi w:val="0"/>
              <w:spacing w:before="0" w:after="283"/>
              <w:jc w:val="right"/>
              <w:rPr/>
            </w:pPr>
            <w:r>
              <w:rPr/>
              <w:t>0.308</w:t>
            </w:r>
          </w:p>
        </w:tc>
        <w:tc>
          <w:tcPr>
            <w:tcW w:w="80" w:type="dxa"/>
            <w:tcBorders/>
            <w:vAlign w:val="center"/>
          </w:tcPr>
          <w:p>
            <w:pPr>
              <w:pStyle w:val="TableContents"/>
              <w:bidi w:val="0"/>
              <w:spacing w:before="0" w:after="283"/>
              <w:jc w:val="left"/>
              <w:rPr/>
            </w:pPr>
            <w:r>
              <w:rPr/>
              <w:t> </w:t>
            </w:r>
          </w:p>
        </w:tc>
      </w:tr>
      <w:tr>
        <w:trPr/>
        <w:tc>
          <w:tcPr>
            <w:tcW w:w="15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11.20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12.24</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9.71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(13</w:t>
            </w:r>
          </w:p>
        </w:tc>
        <w:tc>
          <w:tcPr>
            <w:tcW w:w="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0.308</w:t>
            </w:r>
          </w:p>
        </w:tc>
        <w:tc>
          <w:tcPr>
            <w:tcW w:w="80" w:type="dxa"/>
            <w:tcBorders/>
            <w:shd w:fill="CCEEFF" w:val="clear"/>
            <w:vAlign w:val="center"/>
          </w:tcPr>
          <w:p>
            <w:pPr>
              <w:pStyle w:val="TableContents"/>
              <w:bidi w:val="0"/>
              <w:spacing w:before="0" w:after="283"/>
              <w:jc w:val="left"/>
              <w:rPr/>
            </w:pPr>
            <w:r>
              <w:rPr/>
              <w:t> </w:t>
            </w:r>
          </w:p>
        </w:tc>
      </w:tr>
      <w:tr>
        <w:trPr/>
        <w:tc>
          <w:tcPr>
            <w:tcW w:w="159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September 30, 2023</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5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595" w:type="dxa"/>
            <w:tcBorders/>
            <w:shd w:fill="CCEEFF" w:val="clear"/>
            <w:vAlign w:val="center"/>
          </w:tcPr>
          <w:p>
            <w:pPr>
              <w:pStyle w:val="TableContents"/>
              <w:bidi w:val="0"/>
              <w:spacing w:before="0" w:after="283"/>
              <w:jc w:val="right"/>
              <w:rPr/>
            </w:pPr>
            <w:r>
              <w:rPr/>
              <w:t>11.13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11.39</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10.32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(7</w:t>
            </w:r>
          </w:p>
        </w:tc>
        <w:tc>
          <w:tcPr>
            <w:tcW w:w="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072" w:type="dxa"/>
            <w:tcBorders/>
            <w:shd w:fill="CCEEFF" w:val="clear"/>
            <w:vAlign w:val="center"/>
          </w:tcPr>
          <w:p>
            <w:pPr>
              <w:pStyle w:val="TableContents"/>
              <w:bidi w:val="0"/>
              <w:spacing w:before="0" w:after="283"/>
              <w:jc w:val="right"/>
              <w:rPr/>
            </w:pPr>
            <w:r>
              <w:rPr/>
              <w:t>0.308</w:t>
            </w:r>
          </w:p>
        </w:tc>
        <w:tc>
          <w:tcPr>
            <w:tcW w:w="80" w:type="dxa"/>
            <w:tcBorders/>
            <w:shd w:fill="CCEEFF" w:val="clear"/>
            <w:vAlign w:val="center"/>
          </w:tcPr>
          <w:p>
            <w:pPr>
              <w:pStyle w:val="TableContents"/>
              <w:bidi w:val="0"/>
              <w:spacing w:before="0" w:after="283"/>
              <w:jc w:val="left"/>
              <w:rPr/>
            </w:pPr>
            <w:r>
              <w:rPr/>
              <w:t> </w:t>
            </w:r>
          </w:p>
        </w:tc>
      </w:tr>
      <w:tr>
        <w:trPr/>
        <w:tc>
          <w:tcPr>
            <w:tcW w:w="15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10.96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11.06</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10.37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(5</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0.303</w:t>
            </w:r>
          </w:p>
        </w:tc>
        <w:tc>
          <w:tcPr>
            <w:tcW w:w="80" w:type="dxa"/>
            <w:tcBorders/>
            <w:vAlign w:val="center"/>
          </w:tcPr>
          <w:p>
            <w:pPr>
              <w:pStyle w:val="TableContents"/>
              <w:bidi w:val="0"/>
              <w:spacing w:before="0" w:after="283"/>
              <w:jc w:val="left"/>
              <w:rPr/>
            </w:pPr>
            <w:r>
              <w:rPr/>
              <w:t> </w:t>
            </w:r>
          </w:p>
        </w:tc>
      </w:tr>
      <w:tr>
        <w:trPr/>
        <w:tc>
          <w:tcPr>
            <w:tcW w:w="15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11.15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12.20</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9.98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(10</w:t>
            </w:r>
          </w:p>
        </w:tc>
        <w:tc>
          <w:tcPr>
            <w:tcW w:w="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0.290</w:t>
            </w:r>
          </w:p>
        </w:tc>
        <w:tc>
          <w:tcPr>
            <w:tcW w:w="80" w:type="dxa"/>
            <w:tcBorders/>
            <w:shd w:fill="CCEEFF" w:val="clear"/>
            <w:vAlign w:val="center"/>
          </w:tcPr>
          <w:p>
            <w:pPr>
              <w:pStyle w:val="TableContents"/>
              <w:bidi w:val="0"/>
              <w:spacing w:before="0" w:after="283"/>
              <w:jc w:val="left"/>
              <w:rPr/>
            </w:pPr>
            <w:r>
              <w:rPr/>
              <w:t> </w:t>
            </w:r>
          </w:p>
        </w:tc>
      </w:tr>
      <w:tr>
        <w:trPr/>
        <w:tc>
          <w:tcPr>
            <w:tcW w:w="15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11.30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11.56</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9.77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(14</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0.285</w:t>
            </w:r>
          </w:p>
        </w:tc>
        <w:tc>
          <w:tcPr>
            <w:tcW w:w="80" w:type="dxa"/>
            <w:tcBorders/>
            <w:vAlign w:val="center"/>
          </w:tcPr>
          <w:p>
            <w:pPr>
              <w:pStyle w:val="TableContents"/>
              <w:bidi w:val="0"/>
              <w:spacing w:before="0" w:after="283"/>
              <w:jc w:val="left"/>
              <w:rPr/>
            </w:pPr>
            <w:r>
              <w:rPr/>
              <w:t> </w:t>
            </w:r>
          </w:p>
        </w:tc>
      </w:tr>
      <w:tr>
        <w:trPr/>
        <w:tc>
          <w:tcPr>
            <w:tcW w:w="159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September 30, 2022</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7"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3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07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15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595" w:type="dxa"/>
            <w:tcBorders/>
            <w:vAlign w:val="center"/>
          </w:tcPr>
          <w:p>
            <w:pPr>
              <w:pStyle w:val="TableContents"/>
              <w:bidi w:val="0"/>
              <w:spacing w:before="0" w:after="283"/>
              <w:jc w:val="right"/>
              <w:rPr/>
            </w:pPr>
            <w:r>
              <w:rPr/>
              <w:t>11.62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687" w:type="dxa"/>
            <w:tcBorders/>
            <w:vAlign w:val="center"/>
          </w:tcPr>
          <w:p>
            <w:pPr>
              <w:pStyle w:val="TableContents"/>
              <w:bidi w:val="0"/>
              <w:spacing w:before="0" w:after="283"/>
              <w:jc w:val="right"/>
              <w:rPr/>
            </w:pPr>
            <w:r>
              <w:rPr/>
              <w:t>13.19</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right"/>
              <w:rPr/>
            </w:pPr>
            <w:r>
              <w:rPr/>
              <w:t>9.60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(17</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w:t>
            </w:r>
          </w:p>
        </w:tc>
        <w:tc>
          <w:tcPr>
            <w:tcW w:w="1072" w:type="dxa"/>
            <w:tcBorders/>
            <w:vAlign w:val="center"/>
          </w:tcPr>
          <w:p>
            <w:pPr>
              <w:pStyle w:val="TableContents"/>
              <w:bidi w:val="0"/>
              <w:spacing w:before="0" w:after="283"/>
              <w:jc w:val="right"/>
              <w:rPr/>
            </w:pPr>
            <w:r>
              <w:rPr/>
              <w:t>0.285</w:t>
            </w:r>
          </w:p>
        </w:tc>
        <w:tc>
          <w:tcPr>
            <w:tcW w:w="80" w:type="dxa"/>
            <w:tcBorders/>
            <w:vAlign w:val="center"/>
          </w:tcPr>
          <w:p>
            <w:pPr>
              <w:pStyle w:val="TableContents"/>
              <w:bidi w:val="0"/>
              <w:spacing w:before="0" w:after="283"/>
              <w:jc w:val="left"/>
              <w:rPr/>
            </w:pPr>
            <w:r>
              <w:rPr/>
              <w:t> </w:t>
            </w:r>
          </w:p>
        </w:tc>
      </w:tr>
      <w:tr>
        <w:trPr/>
        <w:tc>
          <w:tcPr>
            <w:tcW w:w="15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12.21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14.20</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10.45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(14</w:t>
            </w:r>
          </w:p>
        </w:tc>
        <w:tc>
          <w:tcPr>
            <w:tcW w:w="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0.285</w:t>
            </w:r>
          </w:p>
        </w:tc>
        <w:tc>
          <w:tcPr>
            <w:tcW w:w="80" w:type="dxa"/>
            <w:tcBorders/>
            <w:shd w:fill="CCEEFF" w:val="clear"/>
            <w:vAlign w:val="center"/>
          </w:tcPr>
          <w:p>
            <w:pPr>
              <w:pStyle w:val="TableContents"/>
              <w:bidi w:val="0"/>
              <w:spacing w:before="0" w:after="283"/>
              <w:jc w:val="left"/>
              <w:rPr/>
            </w:pPr>
            <w:r>
              <w:rPr/>
              <w:t> </w:t>
            </w:r>
          </w:p>
        </w:tc>
      </w:tr>
      <w:tr>
        <w:trPr/>
        <w:tc>
          <w:tcPr>
            <w:tcW w:w="15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12.62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13.56</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12.23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jc w:val="right"/>
              <w:rPr/>
            </w:pPr>
            <w:r>
              <w:rPr/>
              <w:t>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(3</w:t>
            </w:r>
          </w:p>
        </w:tc>
        <w:tc>
          <w:tcPr>
            <w:tcW w:w="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0.285</w:t>
            </w:r>
          </w:p>
        </w:tc>
        <w:tc>
          <w:tcPr>
            <w:tcW w:w="80" w:type="dxa"/>
            <w:tcBorders/>
            <w:vAlign w:val="center"/>
          </w:tcPr>
          <w:p>
            <w:pPr>
              <w:pStyle w:val="TableContents"/>
              <w:bidi w:val="0"/>
              <w:spacing w:before="0" w:after="283"/>
              <w:jc w:val="left"/>
              <w:rPr/>
            </w:pPr>
            <w:r>
              <w:rPr/>
              <w:t> </w:t>
            </w:r>
          </w:p>
        </w:tc>
      </w:tr>
      <w:tr>
        <w:trPr/>
        <w:tc>
          <w:tcPr>
            <w:tcW w:w="159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12.70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13.80</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12.23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pPr>
            <w:r>
              <w:rPr/>
              <w:t>(4</w:t>
            </w:r>
          </w:p>
        </w:tc>
        <w:tc>
          <w:tcPr>
            <w:tcW w:w="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0.285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b/>
              </w:rPr>
            </w:pPr>
            <w:r>
              <w:rPr>
                <w:b/>
              </w:rPr>
              <w:t>(1)</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NAV per share is determined as of the last day in the relevant quarter and therefore may not reflect the NAV per share on the date of the high and low sales prices. The NAVs shown are based on outstanding shares at the end of each period.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b/>
              </w:rPr>
            </w:pPr>
            <w:r>
              <w:rPr>
                <w:b/>
              </w:rPr>
              <w:t>(2)</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the respective high or low closing sales price less NAV per share, divided by the quarter-end NAV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BDCs may trade at a market price both above and below the NAV that is attributable to those shares. Our shares have traded above and below our NAV. Our shares closed on the New York Stock Exchange at $11.38 and $10.61 on March 31, 2024 and 2023, respectively. Our NAV per share was $11.40 and $11.15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Sale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did not engage in any sales of unregistered securities during the quarter ended March 31, 2024. </w:t>
      </w:r>
    </w:p>
    <w:p>
      <w:pPr>
        <w:pStyle w:val="TextBody"/>
        <w:bidi w:val="0"/>
        <w:spacing w:before="360" w:after="0"/>
        <w:jc w:val="left"/>
        <w:rPr>
          <w:rFonts w:ascii="Times New Roman" w:hAnsi="Times New Roman"/>
          <w:b/>
          <w:sz w:val="20"/>
        </w:rPr>
      </w:pPr>
      <w:r>
        <w:rPr>
          <w:rFonts w:ascii="Times New Roman" w:hAnsi="Times New Roman"/>
          <w:b/>
          <w:sz w:val="20"/>
        </w:rPr>
        <w:t xml:space="preserve">Issuer Purchases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We did not repurchase any of our common stock under our share repurchase plan during the quarter ended March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 w:name="tx894111_9"/>
      <w:bookmarkEnd w:id="11"/>
      <w:r>
        <w:rPr>
          <w:rFonts w:ascii="Times New Roman" w:hAnsi="Times New Roman"/>
          <w:b/>
          <w:sz w:val="20"/>
        </w:rPr>
        <w:t xml:space="preserve">SALES OF COMMON STOCK BELOW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that an offering below NAV per share would have on our stockholders, including the potential dilution they would experience as a result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per share by which the offering price per share and the net proceeds per share are less than the most recently determined NAV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relationship of recent market prices of our common stock to NAV per share and the potential impact of the offering on the market price per share of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estimated offering price would closely approximate the market value of our shares, less distributing commissions or discounts, and would not be below current market price;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market impact of being able to raise capital in the current financial market;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nature of any new investors anticipated to acquire shares in the offering;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rate of return on and quality, type and availability of investments;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leverage available to us, both before and after the offering and other borrowing terms;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investment opportunities available relative to the potential dilutive effect of additional capital at the time of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 </w:t>
      </w:r>
    </w:p>
    <w:p>
      <w:pPr>
        <w:pStyle w:val="TextBody"/>
        <w:bidi w:val="0"/>
        <w:spacing w:before="240" w:after="0"/>
        <w:jc w:val="left"/>
        <w:rPr>
          <w:rFonts w:ascii="Times New Roman" w:hAnsi="Times New Roman"/>
          <w:sz w:val="20"/>
        </w:rPr>
      </w:pPr>
      <w:r>
        <w:rPr>
          <w:rFonts w:ascii="Times New Roman" w:hAnsi="Times New Roman"/>
          <w:sz w:val="20"/>
        </w:rPr>
        <w:t xml:space="preserve">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three headings and accompanying tables explain and provide hypothetical examples assuming proceeds are temporarily invested in cash equivalents on the impact of an offering at a price less than NAV per share on three different sets of investors: </w:t>
      </w:r>
    </w:p>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in the offering or a relatively large amount of shares in the offering; and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new investors who become stockholders by purchasing shares in the offering.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Impact on Existing Stockholders who do not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 </w:t>
      </w:r>
    </w:p>
    <w:p>
      <w:pPr>
        <w:pStyle w:val="TextBody"/>
        <w:bidi w:val="0"/>
        <w:spacing w:before="240" w:after="0"/>
        <w:jc w:val="left"/>
        <w:rPr>
          <w:rFonts w:ascii="Times New Roman" w:hAnsi="Times New Roman"/>
          <w:sz w:val="20"/>
        </w:rPr>
      </w:pPr>
      <w:r>
        <w:rPr>
          <w:rFonts w:ascii="Times New Roman" w:hAnsi="Times New Roman"/>
          <w:sz w:val="20"/>
        </w:rPr>
        <w:t xml:space="preserve">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outstanding shares) at $9.00 per share after any underwriting discounts and commissions (a 10% discount from NAV); and (3) an offering of 250,000 shares (25% of the outstanding shares) at $7.50 per share after any underwriting discounts and commissions (a 25% discount from NAV). </w:t>
      </w:r>
    </w:p>
    <w:p>
      <w:pPr>
        <w:pStyle w:val="TextBody"/>
        <w:bidi w:val="0"/>
        <w:spacing w:before="0" w:after="0"/>
        <w:jc w:val="left"/>
        <w:rPr/>
      </w:pPr>
      <w:r>
        <w:rPr/>
        <w:t> </w:t>
      </w:r>
    </w:p>
    <w:tbl>
      <w:tblPr>
        <w:tblW w:w="11225" w:type="dxa"/>
        <w:jc w:val="left"/>
        <w:tblInd w:w="0" w:type="dxa"/>
        <w:tblLayout w:type="fixed"/>
        <w:tblCellMar>
          <w:top w:w="0" w:type="dxa"/>
          <w:left w:w="0" w:type="dxa"/>
          <w:bottom w:w="0" w:type="dxa"/>
          <w:right w:w="0" w:type="dxa"/>
        </w:tblCellMar>
      </w:tblPr>
      <w:tblGrid>
        <w:gridCol w:w="1040"/>
        <w:gridCol w:w="60"/>
        <w:gridCol w:w="140"/>
        <w:gridCol w:w="980"/>
        <w:gridCol w:w="275"/>
        <w:gridCol w:w="60"/>
        <w:gridCol w:w="140"/>
        <w:gridCol w:w="980"/>
        <w:gridCol w:w="275"/>
        <w:gridCol w:w="60"/>
        <w:gridCol w:w="116"/>
        <w:gridCol w:w="999"/>
        <w:gridCol w:w="275"/>
        <w:gridCol w:w="60"/>
        <w:gridCol w:w="140"/>
        <w:gridCol w:w="980"/>
        <w:gridCol w:w="275"/>
        <w:gridCol w:w="60"/>
        <w:gridCol w:w="107"/>
        <w:gridCol w:w="1008"/>
        <w:gridCol w:w="275"/>
        <w:gridCol w:w="60"/>
        <w:gridCol w:w="140"/>
        <w:gridCol w:w="980"/>
        <w:gridCol w:w="275"/>
        <w:gridCol w:w="60"/>
        <w:gridCol w:w="96"/>
        <w:gridCol w:w="1019"/>
        <w:gridCol w:w="29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gridSpan w:val="6"/>
            <w:tcBorders/>
            <w:vAlign w:val="center"/>
          </w:tcPr>
          <w:p>
            <w:pPr>
              <w:pStyle w:val="TableContents"/>
              <w:bidi w:val="0"/>
              <w:spacing w:before="0" w:after="283"/>
              <w:jc w:val="center"/>
              <w:rPr>
                <w:b/>
              </w:rPr>
            </w:pPr>
            <w:r>
              <w:rPr>
                <w:b/>
              </w:rPr>
              <w:t>Example 1</w:t>
              <w:br/>
              <w:t>5% Offering</w:t>
              <w:br/>
              <w:t>at 5%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gridSpan w:val="6"/>
            <w:tcBorders/>
            <w:vAlign w:val="center"/>
          </w:tcPr>
          <w:p>
            <w:pPr>
              <w:pStyle w:val="TableContents"/>
              <w:bidi w:val="0"/>
              <w:spacing w:before="0" w:after="283"/>
              <w:jc w:val="center"/>
              <w:rPr>
                <w:b/>
              </w:rPr>
            </w:pPr>
            <w:r>
              <w:rPr>
                <w:b/>
              </w:rPr>
              <w:t>Example 2</w:t>
              <w:br/>
              <w:t>10% Offering</w:t>
              <w:br/>
              <w:t>at 10%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gridSpan w:val="6"/>
            <w:tcBorders/>
            <w:vAlign w:val="center"/>
          </w:tcPr>
          <w:p>
            <w:pPr>
              <w:pStyle w:val="TableContents"/>
              <w:bidi w:val="0"/>
              <w:spacing w:before="0" w:after="283"/>
              <w:jc w:val="center"/>
              <w:rPr>
                <w:b/>
              </w:rPr>
            </w:pPr>
            <w:r>
              <w:rPr>
                <w:b/>
              </w:rPr>
              <w:t>Example 3</w:t>
              <w:br/>
              <w:t>25% Offering</w:t>
              <w:br/>
              <w:t>at 25% Discount</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Prior to Sale</w:t>
            </w:r>
          </w:p>
          <w:p>
            <w:pPr>
              <w:pStyle w:val="TableContents"/>
              <w:bidi w:val="0"/>
              <w:spacing w:before="0" w:after="20"/>
              <w:jc w:val="center"/>
              <w:rPr>
                <w:rFonts w:ascii="Times New Roman" w:hAnsi="Times New Roman"/>
                <w:b/>
                <w:sz w:val="16"/>
              </w:rPr>
            </w:pPr>
            <w:r>
              <w:rPr>
                <w:rFonts w:ascii="Times New Roman" w:hAnsi="Times New Roman"/>
                <w:b/>
                <w:sz w:val="16"/>
              </w:rP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99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01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Price per share to public</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7.89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offering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b/>
                <w:i/>
                <w:sz w:val="18"/>
              </w:rPr>
            </w:pPr>
            <w:r>
              <w:rPr>
                <w:rFonts w:ascii="Times New Roman" w:hAnsi="Times New Roman"/>
                <w:b/>
                <w:i/>
                <w:sz w:val="18"/>
              </w:rPr>
              <w:t>Decrease to NAV</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25.00</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NAV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(0.20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(5.00</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Dilution to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99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01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Shares held by stockholder 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Percentage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(20.00</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Total Asset Values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NAV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99,800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(0.20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(5.00</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investment by stockholder A (assumed to be $10.00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dilution to stockholder A (total NAV less total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Per Share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NAV per share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Investment per share held by stockholder A (assumed to be $10.00 per share on shares held prior to sale)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Dilution per share held by stockholder A (NAV per share less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Percentage dilution to stockholder A (dilution per share divided by investment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(0.20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(5.00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Impact on Existing Stockholders who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2"/>
        <w:gridCol w:w="60"/>
        <w:gridCol w:w="140"/>
        <w:gridCol w:w="980"/>
        <w:gridCol w:w="275"/>
        <w:gridCol w:w="60"/>
        <w:gridCol w:w="140"/>
        <w:gridCol w:w="980"/>
        <w:gridCol w:w="275"/>
        <w:gridCol w:w="60"/>
        <w:gridCol w:w="96"/>
        <w:gridCol w:w="1019"/>
        <w:gridCol w:w="296"/>
        <w:gridCol w:w="60"/>
        <w:gridCol w:w="140"/>
        <w:gridCol w:w="980"/>
        <w:gridCol w:w="275"/>
        <w:gridCol w:w="60"/>
        <w:gridCol w:w="107"/>
        <w:gridCol w:w="1008"/>
        <w:gridCol w:w="312"/>
      </w:tblGrid>
      <w:tr>
        <w:trPr/>
        <w:tc>
          <w:tcPr>
            <w:tcW w:w="2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gridSpan w:val="6"/>
            <w:tcBorders/>
            <w:vAlign w:val="center"/>
          </w:tcPr>
          <w:p>
            <w:pPr>
              <w:pStyle w:val="TableContents"/>
              <w:bidi w:val="0"/>
              <w:spacing w:before="0" w:after="283"/>
              <w:jc w:val="center"/>
              <w:rPr>
                <w:b/>
              </w:rPr>
            </w:pPr>
            <w:r>
              <w:rPr>
                <w:b/>
              </w:rPr>
              <w:t>50% Participation</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gridSpan w:val="6"/>
            <w:tcBorders/>
            <w:vAlign w:val="center"/>
          </w:tcPr>
          <w:p>
            <w:pPr>
              <w:pStyle w:val="TableContents"/>
              <w:bidi w:val="0"/>
              <w:spacing w:before="0" w:after="283"/>
              <w:jc w:val="center"/>
              <w:rPr>
                <w:b/>
              </w:rPr>
            </w:pPr>
            <w:r>
              <w:rPr>
                <w:b/>
              </w:rPr>
              <w:t>150% Participation</w:t>
            </w:r>
          </w:p>
        </w:tc>
        <w:tc>
          <w:tcPr>
            <w:tcW w:w="312" w:type="dxa"/>
            <w:tcBorders/>
            <w:vAlign w:val="center"/>
          </w:tcPr>
          <w:p>
            <w:pPr>
              <w:pStyle w:val="TableContents"/>
              <w:bidi w:val="0"/>
              <w:spacing w:before="0" w:after="283"/>
              <w:jc w:val="left"/>
              <w:rPr/>
            </w:pPr>
            <w:r>
              <w:rPr/>
              <w:t> </w:t>
            </w:r>
          </w:p>
        </w:tc>
      </w:tr>
      <w:tr>
        <w:trPr/>
        <w:tc>
          <w:tcPr>
            <w:tcW w:w="2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Prior to Sale</w:t>
            </w:r>
          </w:p>
          <w:p>
            <w:pPr>
              <w:pStyle w:val="TableContents"/>
              <w:bidi w:val="0"/>
              <w:spacing w:before="0" w:after="20"/>
              <w:jc w:val="center"/>
              <w:rPr>
                <w:rFonts w:ascii="Times New Roman" w:hAnsi="Times New Roman"/>
                <w:b/>
                <w:sz w:val="16"/>
              </w:rPr>
            </w:pPr>
            <w:r>
              <w:rPr>
                <w:rFonts w:ascii="Times New Roman" w:hAnsi="Times New Roman"/>
                <w:b/>
                <w:sz w:val="16"/>
              </w:rP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 Change</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 Change</w:t>
            </w:r>
          </w:p>
        </w:tc>
        <w:tc>
          <w:tcPr>
            <w:tcW w:w="312" w:type="dxa"/>
            <w:tcBorders/>
            <w:vAlign w:val="center"/>
          </w:tcPr>
          <w:p>
            <w:pPr>
              <w:pStyle w:val="TableContents"/>
              <w:bidi w:val="0"/>
              <w:spacing w:before="0" w:after="283"/>
              <w:jc w:val="left"/>
              <w:rPr/>
            </w:pPr>
            <w:r>
              <w:rPr/>
              <w:t> </w:t>
            </w:r>
          </w:p>
        </w:tc>
      </w:tr>
      <w:tr>
        <w:trPr/>
        <w:tc>
          <w:tcPr>
            <w:tcW w:w="2882" w:type="dxa"/>
            <w:tcBorders/>
            <w:shd w:fill="CCEEFF" w:val="cle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01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r>
      <w:tr>
        <w:trPr/>
        <w:tc>
          <w:tcPr>
            <w:tcW w:w="288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Price per share to public</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7.89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7.89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312" w:type="dxa"/>
            <w:tcBorders/>
            <w:vAlign w:val="center"/>
          </w:tcPr>
          <w:p>
            <w:pPr>
              <w:pStyle w:val="TableContents"/>
              <w:bidi w:val="0"/>
              <w:spacing w:before="0" w:after="283"/>
              <w:jc w:val="left"/>
              <w:rPr/>
            </w:pPr>
            <w:r>
              <w:rPr/>
              <w:t> </w:t>
            </w:r>
          </w:p>
        </w:tc>
      </w:tr>
      <w:tr>
        <w:trPr/>
        <w:tc>
          <w:tcPr>
            <w:tcW w:w="2882"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12" w:type="dxa"/>
            <w:tcBorders/>
            <w:shd w:fill="CCEEFF" w:val="clear"/>
            <w:vAlign w:val="center"/>
          </w:tcPr>
          <w:p>
            <w:pPr>
              <w:pStyle w:val="TableContents"/>
              <w:bidi w:val="0"/>
              <w:spacing w:before="0" w:after="283"/>
              <w:jc w:val="left"/>
              <w:rPr/>
            </w:pPr>
            <w:r>
              <w:rPr/>
              <w:t> </w:t>
            </w:r>
          </w:p>
        </w:tc>
      </w:tr>
      <w:tr>
        <w:trPr/>
        <w:tc>
          <w:tcPr>
            <w:tcW w:w="2882" w:type="dxa"/>
            <w:tcBorders/>
            <w:vAlign w:val="center"/>
          </w:tcPr>
          <w:p>
            <w:pPr>
              <w:pStyle w:val="TableContents"/>
              <w:bidi w:val="0"/>
              <w:spacing w:before="0" w:after="0"/>
              <w:jc w:val="left"/>
              <w:rPr>
                <w:rFonts w:ascii="Times New Roman" w:hAnsi="Times New Roman"/>
                <w:b/>
                <w:i/>
                <w:sz w:val="18"/>
              </w:rPr>
            </w:pPr>
            <w:r>
              <w:rPr>
                <w:rFonts w:ascii="Times New Roman" w:hAnsi="Times New Roman"/>
                <w:b/>
                <w:i/>
                <w:sz w:val="18"/>
              </w:rPr>
              <w:t>Increases in Shares and Decrease to NAV</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882"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25.00</w:t>
            </w:r>
          </w:p>
        </w:tc>
        <w:tc>
          <w:tcPr>
            <w:tcW w:w="2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25.00</w:t>
            </w:r>
          </w:p>
        </w:tc>
        <w:tc>
          <w:tcPr>
            <w:tcW w:w="312" w:type="dxa"/>
            <w:tcBorders/>
            <w:shd w:fill="CCEEFF" w:val="clear"/>
            <w:vAlign w:val="center"/>
          </w:tcPr>
          <w:p>
            <w:pPr>
              <w:pStyle w:val="TableContents"/>
              <w:bidi w:val="0"/>
              <w:spacing w:before="0" w:after="283"/>
              <w:jc w:val="left"/>
              <w:rPr/>
            </w:pPr>
            <w:r>
              <w:rPr/>
              <w:t>% </w:t>
            </w:r>
          </w:p>
        </w:tc>
      </w:tr>
      <w:tr>
        <w:trPr/>
        <w:tc>
          <w:tcPr>
            <w:tcW w:w="288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NAV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(5.00</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(5.00</w:t>
            </w:r>
          </w:p>
        </w:tc>
        <w:tc>
          <w:tcPr>
            <w:tcW w:w="312" w:type="dxa"/>
            <w:tcBorders/>
            <w:vAlign w:val="center"/>
          </w:tcPr>
          <w:p>
            <w:pPr>
              <w:pStyle w:val="TableContents"/>
              <w:bidi w:val="0"/>
              <w:spacing w:before="0" w:after="283"/>
              <w:jc w:val="left"/>
              <w:rPr/>
            </w:pPr>
            <w:r>
              <w:rPr/>
              <w:t>)% </w:t>
            </w:r>
          </w:p>
        </w:tc>
      </w:tr>
      <w:tr>
        <w:trPr/>
        <w:tc>
          <w:tcPr>
            <w:tcW w:w="2882" w:type="dxa"/>
            <w:tcBorders/>
            <w:shd w:fill="CCEEFF" w:val="cle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(Dilution)/Accretion to Participating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019" w:type="dxa"/>
            <w:tcBorders/>
            <w:shd w:fill="CCEEFF" w:val="clear"/>
            <w:vAlign w:val="center"/>
          </w:tcPr>
          <w:p>
            <w:pPr>
              <w:pStyle w:val="TableContents"/>
              <w:bidi w:val="0"/>
              <w:spacing w:before="0" w:after="283"/>
              <w:jc w:val="left"/>
              <w:rPr>
                <w:sz w:val="4"/>
                <w:szCs w:val="4"/>
              </w:rPr>
            </w:pPr>
            <w:r>
              <w:rPr>
                <w:sz w:val="4"/>
                <w:szCs w:val="4"/>
              </w:rPr>
            </w:r>
          </w:p>
        </w:tc>
        <w:tc>
          <w:tcPr>
            <w:tcW w:w="2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r>
      <w:tr>
        <w:trPr/>
        <w:tc>
          <w:tcPr>
            <w:tcW w:w="288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Shares held by stockholder 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11,250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12.50</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13,750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37.50</w:t>
            </w:r>
          </w:p>
        </w:tc>
        <w:tc>
          <w:tcPr>
            <w:tcW w:w="312" w:type="dxa"/>
            <w:tcBorders/>
            <w:vAlign w:val="center"/>
          </w:tcPr>
          <w:p>
            <w:pPr>
              <w:pStyle w:val="TableContents"/>
              <w:bidi w:val="0"/>
              <w:spacing w:before="0" w:after="283"/>
              <w:jc w:val="left"/>
              <w:rPr/>
            </w:pPr>
            <w:r>
              <w:rPr/>
              <w:t>% </w:t>
            </w:r>
          </w:p>
        </w:tc>
      </w:tr>
      <w:tr>
        <w:trPr/>
        <w:tc>
          <w:tcPr>
            <w:tcW w:w="2882"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Percentage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(10.00</w:t>
            </w:r>
          </w:p>
        </w:tc>
        <w:tc>
          <w:tcPr>
            <w:tcW w:w="2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10.00</w:t>
            </w:r>
          </w:p>
        </w:tc>
        <w:tc>
          <w:tcPr>
            <w:tcW w:w="312" w:type="dxa"/>
            <w:tcBorders/>
            <w:shd w:fill="CCEEFF" w:val="clear"/>
            <w:vAlign w:val="center"/>
          </w:tcPr>
          <w:p>
            <w:pPr>
              <w:pStyle w:val="TableContents"/>
              <w:bidi w:val="0"/>
              <w:spacing w:before="0" w:after="283"/>
              <w:jc w:val="left"/>
              <w:rPr/>
            </w:pPr>
            <w:r>
              <w:rPr/>
              <w:t>% </w:t>
            </w:r>
          </w:p>
        </w:tc>
      </w:tr>
      <w:tr>
        <w:trPr/>
        <w:tc>
          <w:tcPr>
            <w:tcW w:w="2882"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Total Asset Values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882"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NAV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106,875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6.88</w:t>
            </w:r>
          </w:p>
        </w:tc>
        <w:tc>
          <w:tcPr>
            <w:tcW w:w="2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130,625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30.63</w:t>
            </w:r>
          </w:p>
        </w:tc>
        <w:tc>
          <w:tcPr>
            <w:tcW w:w="312" w:type="dxa"/>
            <w:tcBorders/>
            <w:shd w:fill="CCEEFF" w:val="clear"/>
            <w:vAlign w:val="center"/>
          </w:tcPr>
          <w:p>
            <w:pPr>
              <w:pStyle w:val="TableContents"/>
              <w:bidi w:val="0"/>
              <w:spacing w:before="0" w:after="283"/>
              <w:jc w:val="left"/>
              <w:rPr/>
            </w:pPr>
            <w:r>
              <w:rPr/>
              <w:t>% </w:t>
            </w:r>
          </w:p>
        </w:tc>
      </w:tr>
      <w:tr>
        <w:trPr/>
        <w:tc>
          <w:tcPr>
            <w:tcW w:w="288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investment by stockholder A (assumed to be $10.00 per share on shares held prior to sale)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109,863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9.86</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129,588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29.59</w:t>
            </w:r>
          </w:p>
        </w:tc>
        <w:tc>
          <w:tcPr>
            <w:tcW w:w="312" w:type="dxa"/>
            <w:tcBorders/>
            <w:vAlign w:val="center"/>
          </w:tcPr>
          <w:p>
            <w:pPr>
              <w:pStyle w:val="TableContents"/>
              <w:bidi w:val="0"/>
              <w:spacing w:before="0" w:after="283"/>
              <w:jc w:val="left"/>
              <w:rPr/>
            </w:pPr>
            <w:r>
              <w:rPr/>
              <w:t>% </w:t>
            </w:r>
          </w:p>
        </w:tc>
      </w:tr>
      <w:tr>
        <w:trPr/>
        <w:tc>
          <w:tcPr>
            <w:tcW w:w="2882"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(dilution)/accretion to stockholder A (total NAV less total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1,037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12" w:type="dxa"/>
            <w:tcBorders/>
            <w:shd w:fill="CCEEFF" w:val="clear"/>
            <w:vAlign w:val="center"/>
          </w:tcPr>
          <w:p>
            <w:pPr>
              <w:pStyle w:val="TableContents"/>
              <w:bidi w:val="0"/>
              <w:spacing w:before="0" w:after="283"/>
              <w:jc w:val="left"/>
              <w:rPr/>
            </w:pPr>
            <w:r>
              <w:rPr/>
              <w:t> </w:t>
            </w:r>
          </w:p>
        </w:tc>
      </w:tr>
      <w:tr>
        <w:trPr/>
        <w:tc>
          <w:tcPr>
            <w:tcW w:w="2882"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Per Share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882"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NAV per share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12" w:type="dxa"/>
            <w:tcBorders/>
            <w:shd w:fill="CCEEFF" w:val="clear"/>
            <w:vAlign w:val="center"/>
          </w:tcPr>
          <w:p>
            <w:pPr>
              <w:pStyle w:val="TableContents"/>
              <w:bidi w:val="0"/>
              <w:spacing w:before="0" w:after="283"/>
              <w:jc w:val="left"/>
              <w:rPr/>
            </w:pPr>
            <w:r>
              <w:rPr/>
              <w:t> </w:t>
            </w:r>
          </w:p>
        </w:tc>
      </w:tr>
      <w:tr>
        <w:trPr/>
        <w:tc>
          <w:tcPr>
            <w:tcW w:w="288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Investment per share held by stockholder A (assumed to be $10.00 per share on shares held prior to sale)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(2.30</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(5.80</w:t>
            </w:r>
          </w:p>
        </w:tc>
        <w:tc>
          <w:tcPr>
            <w:tcW w:w="312" w:type="dxa"/>
            <w:tcBorders/>
            <w:vAlign w:val="center"/>
          </w:tcPr>
          <w:p>
            <w:pPr>
              <w:pStyle w:val="TableContents"/>
              <w:bidi w:val="0"/>
              <w:spacing w:before="0" w:after="283"/>
              <w:jc w:val="left"/>
              <w:rPr/>
            </w:pPr>
            <w:r>
              <w:rPr/>
              <w:t>)% </w:t>
            </w:r>
          </w:p>
        </w:tc>
      </w:tr>
      <w:tr>
        <w:trPr/>
        <w:tc>
          <w:tcPr>
            <w:tcW w:w="2882"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(Dilution)/accretion per share held by stockholder A (NAV per share less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312" w:type="dxa"/>
            <w:tcBorders/>
            <w:shd w:fill="CCEEFF" w:val="clear"/>
            <w:vAlign w:val="center"/>
          </w:tcPr>
          <w:p>
            <w:pPr>
              <w:pStyle w:val="TableContents"/>
              <w:bidi w:val="0"/>
              <w:spacing w:before="0" w:after="283"/>
              <w:jc w:val="left"/>
              <w:rPr/>
            </w:pPr>
            <w:r>
              <w:rPr/>
              <w:t> </w:t>
            </w:r>
          </w:p>
        </w:tc>
      </w:tr>
      <w:tr>
        <w:trPr/>
        <w:tc>
          <w:tcPr>
            <w:tcW w:w="2882"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Percentage (dilution)/accretion to stockholder A (dilution)/accretion per share divided by investment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right"/>
              <w:rPr/>
            </w:pPr>
            <w:r>
              <w:rPr/>
              <w:t>(2.76</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0.85</w:t>
            </w:r>
          </w:p>
        </w:tc>
        <w:tc>
          <w:tcPr>
            <w:tcW w:w="31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Impact on New Investors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 </w:t>
      </w:r>
    </w:p>
    <w:p>
      <w:pPr>
        <w:pStyle w:val="TextBody"/>
        <w:bidi w:val="0"/>
        <w:spacing w:before="240" w:after="0"/>
        <w:jc w:val="left"/>
        <w:rPr>
          <w:rFonts w:ascii="Times New Roman" w:hAnsi="Times New Roman"/>
          <w:sz w:val="20"/>
        </w:rPr>
      </w:pPr>
      <w:r>
        <w:rPr>
          <w:rFonts w:ascii="Times New Roman" w:hAnsi="Times New Roman"/>
          <w:sz w:val="20"/>
        </w:rPr>
        <w:t xml:space="preserve">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 </w:t>
      </w:r>
    </w:p>
    <w:p>
      <w:pPr>
        <w:pStyle w:val="TextBody"/>
        <w:bidi w:val="0"/>
        <w:spacing w:before="0" w:after="0"/>
        <w:jc w:val="left"/>
        <w:rPr/>
      </w:pPr>
      <w:r>
        <w:rPr/>
        <w:t> </w:t>
      </w:r>
    </w:p>
    <w:tbl>
      <w:tblPr>
        <w:tblW w:w="10840" w:type="dxa"/>
        <w:jc w:val="left"/>
        <w:tblInd w:w="0" w:type="dxa"/>
        <w:tblLayout w:type="fixed"/>
        <w:tblCellMar>
          <w:top w:w="0" w:type="dxa"/>
          <w:left w:w="0" w:type="dxa"/>
          <w:bottom w:w="0" w:type="dxa"/>
          <w:right w:w="0" w:type="dxa"/>
        </w:tblCellMar>
      </w:tblPr>
      <w:tblGrid>
        <w:gridCol w:w="1040"/>
        <w:gridCol w:w="60"/>
        <w:gridCol w:w="178"/>
        <w:gridCol w:w="772"/>
        <w:gridCol w:w="60"/>
        <w:gridCol w:w="60"/>
        <w:gridCol w:w="140"/>
        <w:gridCol w:w="980"/>
        <w:gridCol w:w="275"/>
        <w:gridCol w:w="60"/>
        <w:gridCol w:w="116"/>
        <w:gridCol w:w="999"/>
        <w:gridCol w:w="275"/>
        <w:gridCol w:w="60"/>
        <w:gridCol w:w="140"/>
        <w:gridCol w:w="980"/>
        <w:gridCol w:w="275"/>
        <w:gridCol w:w="60"/>
        <w:gridCol w:w="107"/>
        <w:gridCol w:w="1008"/>
        <w:gridCol w:w="275"/>
        <w:gridCol w:w="60"/>
        <w:gridCol w:w="140"/>
        <w:gridCol w:w="980"/>
        <w:gridCol w:w="275"/>
        <w:gridCol w:w="60"/>
        <w:gridCol w:w="107"/>
        <w:gridCol w:w="1008"/>
        <w:gridCol w:w="29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gridSpan w:val="6"/>
            <w:tcBorders/>
            <w:vAlign w:val="center"/>
          </w:tcPr>
          <w:p>
            <w:pPr>
              <w:pStyle w:val="TableContents"/>
              <w:bidi w:val="0"/>
              <w:spacing w:before="0" w:after="283"/>
              <w:jc w:val="center"/>
              <w:rPr>
                <w:b/>
              </w:rPr>
            </w:pPr>
            <w:r>
              <w:rPr>
                <w:b/>
              </w:rPr>
              <w:t>Example 1</w:t>
              <w:br/>
              <w:t>5% Offering</w:t>
              <w:br/>
              <w:t>at 5%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gridSpan w:val="6"/>
            <w:tcBorders/>
            <w:vAlign w:val="center"/>
          </w:tcPr>
          <w:p>
            <w:pPr>
              <w:pStyle w:val="TableContents"/>
              <w:bidi w:val="0"/>
              <w:spacing w:before="0" w:after="283"/>
              <w:jc w:val="center"/>
              <w:rPr>
                <w:b/>
              </w:rPr>
            </w:pPr>
            <w:r>
              <w:rPr>
                <w:b/>
              </w:rPr>
              <w:t>Example 2</w:t>
              <w:br/>
              <w:t>10% Offering</w:t>
              <w:br/>
              <w:t>at 10% 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0" w:type="dxa"/>
            <w:gridSpan w:val="6"/>
            <w:tcBorders/>
            <w:vAlign w:val="center"/>
          </w:tcPr>
          <w:p>
            <w:pPr>
              <w:pStyle w:val="TableContents"/>
              <w:bidi w:val="0"/>
              <w:spacing w:before="0" w:after="283"/>
              <w:jc w:val="center"/>
              <w:rPr>
                <w:b/>
              </w:rPr>
            </w:pPr>
            <w:r>
              <w:rPr>
                <w:b/>
              </w:rPr>
              <w:t>Example 3</w:t>
              <w:br/>
              <w:t>25% Offering</w:t>
              <w:br/>
              <w:t>at 25% Discount</w:t>
            </w:r>
          </w:p>
        </w:tc>
        <w:tc>
          <w:tcPr>
            <w:tcW w:w="29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Prior to Sale</w:t>
            </w:r>
          </w:p>
          <w:p>
            <w:pPr>
              <w:pStyle w:val="TableContents"/>
              <w:bidi w:val="0"/>
              <w:spacing w:before="0" w:after="20"/>
              <w:jc w:val="center"/>
              <w:rPr>
                <w:rFonts w:ascii="Times New Roman" w:hAnsi="Times New Roman"/>
                <w:b/>
                <w:sz w:val="16"/>
              </w:rPr>
            </w:pPr>
            <w:r>
              <w:rPr>
                <w:rFonts w:ascii="Times New Roman" w:hAnsi="Times New Roman"/>
                <w:b/>
                <w:sz w:val="16"/>
              </w:rPr>
              <w:t>Below NAV</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Offering Price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7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99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Price per share to public</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7.89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offering proceeds per share to issuer</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b/>
                <w:i/>
                <w:sz w:val="18"/>
              </w:rPr>
            </w:pPr>
            <w:r>
              <w:rPr>
                <w:rFonts w:ascii="Times New Roman" w:hAnsi="Times New Roman"/>
                <w:b/>
                <w:i/>
                <w:sz w:val="18"/>
              </w:rPr>
              <w:t>Decrease to NAV</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shares outstanding</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5.00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25.00</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NAV per share</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(0.20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(0.90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(5.00</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b/>
                <w:i/>
                <w:sz w:val="18"/>
              </w:rPr>
            </w:pPr>
            <w:r>
              <w:rPr>
                <w:rFonts w:ascii="Times New Roman" w:hAnsi="Times New Roman"/>
                <w:b/>
                <w:i/>
                <w:sz w:val="18"/>
              </w:rPr>
              <w:t>Dilution to Stockholder A</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4"/>
                <w:szCs w:val="4"/>
              </w:rPr>
            </w:pPr>
            <w:r>
              <w:rPr>
                <w:sz w:val="4"/>
                <w:szCs w:val="4"/>
              </w:rPr>
            </w:r>
          </w:p>
        </w:tc>
        <w:tc>
          <w:tcPr>
            <w:tcW w:w="77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99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Shares held by stockholder A</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Percentage held by stockholder A</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Total Asset Values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NAV held by stockholder A</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4,990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23,750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investment by stockholder A</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19,725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(dilution)/accretion to stockholder A (total NAV less total investment)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Per Share Amounts</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NAV per share held by stockholder A</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Investment per share held by stockholder A</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7.89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(Dilution)/accretion per share held by stockholder A (NAV per share less investment per share)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Percentage (dilution)/accretion to stockholder A (dilution)/ accretion per share divided by investment per share</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(0.20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4.65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20.41</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tx894111_10"/>
      <w:bookmarkEnd w:id="12"/>
      <w:r>
        <w:rPr>
          <w:rFonts w:ascii="Times New Roman" w:hAnsi="Times New Roman"/>
          <w:b/>
          <w:sz w:val="20"/>
        </w:rPr>
        <w:t xml:space="preserve">DISTRIBUTIONS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w:t>
      </w:r>
    </w:p>
    <w:p>
      <w:pPr>
        <w:pStyle w:val="TextBody"/>
        <w:bidi w:val="0"/>
        <w:spacing w:before="240" w:after="0"/>
        <w:jc w:val="left"/>
        <w:rPr>
          <w:rFonts w:ascii="Times New Roman" w:hAnsi="Times New Roman"/>
          <w:sz w:val="20"/>
        </w:rPr>
      </w:pPr>
      <w:r>
        <w:rPr>
          <w:rFonts w:ascii="Times New Roman" w:hAnsi="Times New Roman"/>
          <w:sz w:val="20"/>
        </w:rPr>
        <w:t xml:space="preserve">Each year, a Form 1099-DIV will be sent to stockholders subject to information reporting that will state the amount and composition of distributions and provide information with respect to appropriate tax treatment of our distributions. </w:t>
      </w:r>
    </w:p>
    <w:p>
      <w:pPr>
        <w:pStyle w:val="TextBody"/>
        <w:bidi w:val="0"/>
        <w:spacing w:before="240" w:after="0"/>
        <w:jc w:val="left"/>
        <w:rPr>
          <w:rFonts w:ascii="Times New Roman" w:hAnsi="Times New Roman"/>
          <w:sz w:val="20"/>
        </w:rPr>
      </w:pPr>
      <w:r>
        <w:rPr>
          <w:rFonts w:ascii="Times New Roman" w:hAnsi="Times New Roman"/>
          <w:sz w:val="20"/>
        </w:rPr>
        <w:t xml:space="preserve">The tax characteristics of distributions declared, in accordance with Section 19(a) of the 1940 Act, for our fiscal and taxable years ended September 30, 2023 and 2022 from ordinary income (including short-term gains), if any, totaled $60.5 million, or $1.19 per share, and $46.7 million, or $1.14 per share, respectively, based on the weighted average shares outstanding for the respective periods. Additionally, for both years ended September 30, 2023 and 2022, we did not pay any distributions from long-term capital gains.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3" w:name="tx894111_11"/>
      <w:bookmarkEnd w:id="13"/>
      <w:r>
        <w:rPr>
          <w:rFonts w:ascii="Times New Roman" w:hAnsi="Times New Roman"/>
          <w:b/>
          <w:sz w:val="20"/>
        </w:rPr>
        <w:t xml:space="preserve">PORTFOLIO COMPANIES </w:t>
      </w:r>
    </w:p>
    <w:p>
      <w:pPr>
        <w:pStyle w:val="TextBody"/>
        <w:bidi w:val="0"/>
        <w:spacing w:before="240" w:after="0"/>
        <w:jc w:val="left"/>
        <w:rPr/>
      </w:pPr>
      <w:r>
        <w:rPr>
          <w:rFonts w:ascii="Times New Roman" w:hAnsi="Times New Roman"/>
          <w:sz w:val="20"/>
        </w:rPr>
        <w:t xml:space="preserve">The following is a listing of each portfolio company or its affiliate, together referred to as portfolio companies, in which we had an investment as of March 31, 2024.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Quarterly Report on </w:t>
      </w:r>
      <w:hyperlink r:id="rId20">
        <w:r>
          <w:rPr>
            <w:rStyle w:val="InternetLink"/>
            <w:rFonts w:ascii="Times New Roman" w:hAnsi="Times New Roman"/>
            <w:sz w:val="20"/>
          </w:rPr>
          <w:t>Form 10-Q</w:t>
        </w:r>
      </w:hyperlink>
      <w:r>
        <w:rPr>
          <w:rFonts w:ascii="Times New Roman" w:hAnsi="Times New Roman"/>
          <w:sz w:val="20"/>
        </w:rPr>
        <w:t xml:space="preserve"> for the fiscal quarter ended March 31, 2024. </w:t>
      </w:r>
    </w:p>
    <w:p>
      <w:pPr>
        <w:pStyle w:val="TextBody"/>
        <w:bidi w:val="0"/>
        <w:spacing w:before="240" w:after="0"/>
        <w:jc w:val="left"/>
        <w:rPr>
          <w:rFonts w:ascii="Times New Roman" w:hAnsi="Times New Roman"/>
          <w:sz w:val="20"/>
        </w:rPr>
      </w:pPr>
      <w:r>
        <w:rPr>
          <w:rFonts w:ascii="Times New Roman" w:hAnsi="Times New Roman"/>
          <w:sz w:val="20"/>
        </w:rPr>
        <w:t xml:space="preserve">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and 2036 Asset-Backed Debt as disclosed in our Consolidated Schedule of Investments. Unless otherwise noted, we held no voting board membership on any of our portfolio companies.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63"/>
        <w:gridCol w:w="60"/>
        <w:gridCol w:w="60"/>
        <w:gridCol w:w="3140"/>
        <w:gridCol w:w="60"/>
        <w:gridCol w:w="60"/>
        <w:gridCol w:w="60"/>
        <w:gridCol w:w="2376"/>
        <w:gridCol w:w="60"/>
        <w:gridCol w:w="60"/>
        <w:gridCol w:w="221"/>
        <w:gridCol w:w="1183"/>
        <w:gridCol w:w="275"/>
        <w:gridCol w:w="60"/>
        <w:gridCol w:w="236"/>
        <w:gridCol w:w="1153"/>
        <w:gridCol w:w="78"/>
      </w:tblGrid>
      <w:tr>
        <w:trPr/>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32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6" w:type="dxa"/>
            <w:gridSpan w:val="2"/>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4"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8" w:type="dxa"/>
            <w:tcBorders/>
            <w:vAlign w:val="center"/>
          </w:tcPr>
          <w:p>
            <w:pPr>
              <w:pStyle w:val="TableContents"/>
              <w:bidi w:val="0"/>
              <w:spacing w:before="0" w:after="283"/>
              <w:jc w:val="left"/>
              <w:rPr/>
            </w:pPr>
            <w:r>
              <w:rPr/>
              <w:t> </w:t>
            </w:r>
          </w:p>
        </w:tc>
      </w:tr>
      <w:tr>
        <w:trPr/>
        <w:tc>
          <w:tcPr>
            <w:tcW w:w="1063"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Companies Less than 5%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A1 Garage Merger Sub, LLC</w:t>
            </w:r>
          </w:p>
          <w:p>
            <w:pPr>
              <w:pStyle w:val="TableContents"/>
              <w:bidi w:val="0"/>
              <w:spacing w:before="0" w:after="0"/>
              <w:jc w:val="left"/>
              <w:rPr>
                <w:rFonts w:ascii="Times New Roman" w:hAnsi="Times New Roman"/>
                <w:sz w:val="16"/>
              </w:rPr>
            </w:pPr>
            <w:r>
              <w:rPr>
                <w:rFonts w:ascii="Times New Roman" w:hAnsi="Times New Roman"/>
                <w:sz w:val="16"/>
              </w:rPr>
              <w:t>(A1 Garage Equity, LLC)(5)</w:t>
            </w:r>
          </w:p>
          <w:p>
            <w:pPr>
              <w:pStyle w:val="TableContents"/>
              <w:bidi w:val="0"/>
              <w:spacing w:before="0" w:after="0"/>
              <w:jc w:val="left"/>
              <w:rPr>
                <w:rFonts w:ascii="Times New Roman" w:hAnsi="Times New Roman"/>
                <w:sz w:val="16"/>
              </w:rPr>
            </w:pPr>
            <w:r>
              <w:rPr>
                <w:rFonts w:ascii="Times New Roman" w:hAnsi="Times New Roman"/>
                <w:sz w:val="16"/>
              </w:rPr>
              <w:t>3254 E Broadway Rd.</w:t>
            </w:r>
          </w:p>
          <w:p>
            <w:pPr>
              <w:pStyle w:val="TableContents"/>
              <w:bidi w:val="0"/>
              <w:spacing w:before="0" w:after="20"/>
              <w:jc w:val="left"/>
              <w:rPr>
                <w:rFonts w:ascii="Times New Roman" w:hAnsi="Times New Roman"/>
                <w:sz w:val="16"/>
              </w:rPr>
            </w:pPr>
            <w:r>
              <w:rPr>
                <w:rFonts w:ascii="Times New Roman" w:hAnsi="Times New Roman"/>
                <w:sz w:val="16"/>
              </w:rPr>
              <w:t>Phoenix, AZ 85040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Commercial Services &amp; Supplies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jc w:val="center"/>
              <w:rPr/>
            </w:pPr>
            <w:r>
              <w:rPr/>
              <w:t>First Lien Secured Debt(4),</w:t>
            </w:r>
          </w:p>
          <w:p>
            <w:pPr>
              <w:pStyle w:val="TableContents"/>
              <w:bidi w:val="0"/>
              <w:spacing w:before="0" w:after="0"/>
              <w:jc w:val="center"/>
              <w:rPr>
                <w:rFonts w:ascii="Times New Roman" w:hAnsi="Times New Roman"/>
                <w:sz w:val="16"/>
              </w:rPr>
            </w:pPr>
            <w:r>
              <w:rPr>
                <w:rFonts w:ascii="Times New Roman" w:hAnsi="Times New Roman"/>
                <w:sz w:val="16"/>
              </w:rPr>
              <w:t>3M S+660, 12/22/2028</w:t>
            </w:r>
          </w:p>
          <w:p>
            <w:pPr>
              <w:pStyle w:val="TableContents"/>
              <w:bidi w:val="0"/>
              <w:spacing w:before="0" w:after="20"/>
              <w:jc w:val="center"/>
              <w:rPr>
                <w:rFonts w:ascii="Times New Roman" w:hAnsi="Times New Roman"/>
                <w:sz w:val="16"/>
              </w:rPr>
            </w:pPr>
            <w:r>
              <w:rPr>
                <w:rFonts w:ascii="Times New Roman" w:hAnsi="Times New Roman"/>
                <w:sz w:val="16"/>
              </w:rPr>
              <w:t>Common Equity</w:t>
            </w:r>
          </w:p>
        </w:tc>
        <w:tc>
          <w:tcPr>
            <w:tcW w:w="60" w:type="dxa"/>
            <w:tcBorders/>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153" w:type="dxa"/>
            <w:tcBorders/>
            <w:vAlign w:val="center"/>
          </w:tcPr>
          <w:p>
            <w:pPr>
              <w:pStyle w:val="TableContents"/>
              <w:bidi w:val="0"/>
              <w:spacing w:before="0" w:after="283"/>
              <w:jc w:val="right"/>
              <w:rPr/>
            </w:pPr>
            <w:r>
              <w:rPr/>
              <w:t>2,270</w:t>
            </w:r>
          </w:p>
        </w:tc>
        <w:tc>
          <w:tcPr>
            <w:tcW w:w="78" w:type="dxa"/>
            <w:tcBorders/>
            <w:vAlign w:val="center"/>
          </w:tcPr>
          <w:p>
            <w:pPr>
              <w:pStyle w:val="TableContents"/>
              <w:bidi w:val="0"/>
              <w:spacing w:before="0" w:after="283"/>
              <w:jc w:val="left"/>
              <w:rPr/>
            </w:pPr>
            <w:r>
              <w:rPr/>
              <w:t> </w:t>
            </w:r>
          </w:p>
        </w:tc>
      </w:tr>
      <w:tr>
        <w:trPr/>
        <w:tc>
          <w:tcPr>
            <w:tcW w:w="1063" w:type="dxa"/>
            <w:tcBorders/>
            <w:vAlign w:val="center"/>
          </w:tcPr>
          <w:p>
            <w:pPr>
              <w:pStyle w:val="TableContents"/>
              <w:bidi w:val="0"/>
              <w:spacing w:before="0" w:after="283"/>
              <w:jc w:val="left"/>
              <w:rPr>
                <w:sz w:val="4"/>
                <w:szCs w:val="4"/>
              </w:rPr>
            </w:pPr>
            <w:r>
              <w:rPr>
                <w:sz w:val="4"/>
                <w:szCs w:val="4"/>
              </w:rPr>
            </w:r>
          </w:p>
        </w:tc>
        <w:tc>
          <w:tcPr>
            <w:tcW w:w="3320" w:type="dxa"/>
            <w:gridSpan w:val="4"/>
            <w:tcBorders/>
            <w:vAlign w:val="center"/>
          </w:tcPr>
          <w:p>
            <w:pPr>
              <w:pStyle w:val="TableContents"/>
              <w:bidi w:val="0"/>
              <w:spacing w:before="0" w:after="283"/>
              <w:jc w:val="left"/>
              <w:rPr>
                <w:sz w:val="4"/>
                <w:szCs w:val="4"/>
              </w:rPr>
            </w:pPr>
            <w:r>
              <w:rPr>
                <w:sz w:val="4"/>
                <w:szCs w:val="4"/>
              </w:rPr>
            </w:r>
          </w:p>
        </w:tc>
        <w:tc>
          <w:tcPr>
            <w:tcW w:w="2556"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ACP Avenu Buyer, LLC</w:t>
            </w:r>
          </w:p>
          <w:p>
            <w:pPr>
              <w:pStyle w:val="TableContents"/>
              <w:bidi w:val="0"/>
              <w:spacing w:before="0" w:after="0"/>
              <w:jc w:val="left"/>
              <w:rPr>
                <w:rFonts w:ascii="Times New Roman" w:hAnsi="Times New Roman"/>
                <w:sz w:val="16"/>
              </w:rPr>
            </w:pPr>
            <w:r>
              <w:rPr>
                <w:rFonts w:ascii="Times New Roman" w:hAnsi="Times New Roman"/>
                <w:sz w:val="16"/>
              </w:rPr>
              <w:t>5860 Trinity Pkwy</w:t>
            </w:r>
          </w:p>
          <w:p>
            <w:pPr>
              <w:pStyle w:val="TableContents"/>
              <w:bidi w:val="0"/>
              <w:spacing w:before="0" w:after="20"/>
              <w:jc w:val="left"/>
              <w:rPr>
                <w:rFonts w:ascii="Times New Roman" w:hAnsi="Times New Roman"/>
                <w:sz w:val="16"/>
              </w:rPr>
            </w:pPr>
            <w:r>
              <w:rPr>
                <w:rFonts w:ascii="Times New Roman" w:hAnsi="Times New Roman"/>
                <w:sz w:val="16"/>
              </w:rPr>
              <w:t>Centerville, VA 20120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IT 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jc w:val="center"/>
              <w:rPr/>
            </w:pPr>
            <w:r>
              <w:rPr/>
              <w:t>First Lien Secured Debt(4),</w:t>
            </w:r>
          </w:p>
          <w:p>
            <w:pPr>
              <w:pStyle w:val="TableContents"/>
              <w:bidi w:val="0"/>
              <w:spacing w:before="0" w:after="20"/>
              <w:jc w:val="center"/>
              <w:rPr>
                <w:rFonts w:ascii="Times New Roman" w:hAnsi="Times New Roman"/>
                <w:sz w:val="16"/>
              </w:rPr>
            </w:pPr>
            <w:r>
              <w:rPr>
                <w:rFonts w:ascii="Times New Roman" w:hAnsi="Times New Roman"/>
                <w:sz w:val="16"/>
              </w:rPr>
              <w:t>3M S+625, 10/02/2029</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13,669</w:t>
            </w:r>
          </w:p>
        </w:tc>
        <w:tc>
          <w:tcPr>
            <w:tcW w:w="78" w:type="dxa"/>
            <w:tcBorders/>
            <w:vAlign w:val="center"/>
          </w:tcPr>
          <w:p>
            <w:pPr>
              <w:pStyle w:val="TableContents"/>
              <w:bidi w:val="0"/>
              <w:spacing w:before="0" w:after="283"/>
              <w:jc w:val="left"/>
              <w:rPr/>
            </w:pPr>
            <w:r>
              <w:rPr/>
              <w:t> </w:t>
            </w:r>
          </w:p>
        </w:tc>
      </w:tr>
      <w:tr>
        <w:trPr/>
        <w:tc>
          <w:tcPr>
            <w:tcW w:w="1063" w:type="dxa"/>
            <w:tcBorders/>
            <w:vAlign w:val="center"/>
          </w:tcPr>
          <w:p>
            <w:pPr>
              <w:pStyle w:val="TableContents"/>
              <w:bidi w:val="0"/>
              <w:spacing w:before="0" w:after="283"/>
              <w:jc w:val="left"/>
              <w:rPr>
                <w:sz w:val="4"/>
                <w:szCs w:val="4"/>
              </w:rPr>
            </w:pPr>
            <w:r>
              <w:rPr>
                <w:sz w:val="4"/>
                <w:szCs w:val="4"/>
              </w:rPr>
            </w:r>
          </w:p>
        </w:tc>
        <w:tc>
          <w:tcPr>
            <w:tcW w:w="3320" w:type="dxa"/>
            <w:gridSpan w:val="4"/>
            <w:tcBorders/>
            <w:vAlign w:val="center"/>
          </w:tcPr>
          <w:p>
            <w:pPr>
              <w:pStyle w:val="TableContents"/>
              <w:bidi w:val="0"/>
              <w:spacing w:before="0" w:after="283"/>
              <w:jc w:val="left"/>
              <w:rPr>
                <w:sz w:val="4"/>
                <w:szCs w:val="4"/>
              </w:rPr>
            </w:pPr>
            <w:r>
              <w:rPr>
                <w:sz w:val="4"/>
                <w:szCs w:val="4"/>
              </w:rPr>
            </w:r>
          </w:p>
        </w:tc>
        <w:tc>
          <w:tcPr>
            <w:tcW w:w="2556"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ACP Falcon Buyer, LLC</w:t>
            </w:r>
          </w:p>
          <w:p>
            <w:pPr>
              <w:pStyle w:val="TableContents"/>
              <w:bidi w:val="0"/>
              <w:spacing w:before="0" w:after="0"/>
              <w:jc w:val="left"/>
              <w:rPr>
                <w:rFonts w:ascii="Times New Roman" w:hAnsi="Times New Roman"/>
                <w:sz w:val="16"/>
              </w:rPr>
            </w:pPr>
            <w:r>
              <w:rPr>
                <w:rFonts w:ascii="Times New Roman" w:hAnsi="Times New Roman"/>
                <w:sz w:val="16"/>
              </w:rPr>
              <w:t>2141 Rosecrans Ave</w:t>
            </w:r>
          </w:p>
          <w:p>
            <w:pPr>
              <w:pStyle w:val="TableContents"/>
              <w:bidi w:val="0"/>
              <w:spacing w:before="0" w:after="20"/>
              <w:jc w:val="left"/>
              <w:rPr>
                <w:rFonts w:ascii="Times New Roman" w:hAnsi="Times New Roman"/>
                <w:sz w:val="16"/>
              </w:rPr>
            </w:pPr>
            <w:r>
              <w:rPr>
                <w:rFonts w:ascii="Times New Roman" w:hAnsi="Times New Roman"/>
                <w:sz w:val="16"/>
              </w:rPr>
              <w:t>El Segundo, CA 90245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jc w:val="center"/>
              <w:rPr/>
            </w:pPr>
            <w:r>
              <w:rPr/>
              <w:t>First Lien Secured Debt(4),</w:t>
            </w:r>
          </w:p>
          <w:p>
            <w:pPr>
              <w:pStyle w:val="TableContents"/>
              <w:bidi w:val="0"/>
              <w:spacing w:before="0" w:after="20"/>
              <w:jc w:val="center"/>
              <w:rPr/>
            </w:pPr>
            <w:r>
              <w:rPr/>
              <w:t xml:space="preserve">— </w:t>
            </w:r>
            <w:r>
              <w:rPr>
                <w:rFonts w:ascii="Times New Roman" w:hAnsi="Times New Roman"/>
                <w:sz w:val="16"/>
              </w:rPr>
              <w:t>, 08/01/2029</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1063" w:type="dxa"/>
            <w:tcBorders/>
            <w:vAlign w:val="center"/>
          </w:tcPr>
          <w:p>
            <w:pPr>
              <w:pStyle w:val="TableContents"/>
              <w:bidi w:val="0"/>
              <w:spacing w:before="0" w:after="283"/>
              <w:jc w:val="left"/>
              <w:rPr>
                <w:sz w:val="4"/>
                <w:szCs w:val="4"/>
              </w:rPr>
            </w:pPr>
            <w:r>
              <w:rPr>
                <w:sz w:val="4"/>
                <w:szCs w:val="4"/>
              </w:rPr>
            </w:r>
          </w:p>
        </w:tc>
        <w:tc>
          <w:tcPr>
            <w:tcW w:w="3320" w:type="dxa"/>
            <w:gridSpan w:val="4"/>
            <w:tcBorders/>
            <w:vAlign w:val="center"/>
          </w:tcPr>
          <w:p>
            <w:pPr>
              <w:pStyle w:val="TableContents"/>
              <w:bidi w:val="0"/>
              <w:spacing w:before="0" w:after="283"/>
              <w:jc w:val="left"/>
              <w:rPr>
                <w:sz w:val="4"/>
                <w:szCs w:val="4"/>
              </w:rPr>
            </w:pPr>
            <w:r>
              <w:rPr>
                <w:sz w:val="4"/>
                <w:szCs w:val="4"/>
              </w:rPr>
            </w:r>
          </w:p>
        </w:tc>
        <w:tc>
          <w:tcPr>
            <w:tcW w:w="2556"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Ad.net Acquisition, LLC</w:t>
            </w:r>
          </w:p>
          <w:p>
            <w:pPr>
              <w:pStyle w:val="TableContents"/>
              <w:bidi w:val="0"/>
              <w:spacing w:before="0" w:after="0"/>
              <w:jc w:val="left"/>
              <w:rPr>
                <w:rFonts w:ascii="Times New Roman" w:hAnsi="Times New Roman"/>
                <w:sz w:val="16"/>
              </w:rPr>
            </w:pPr>
            <w:r>
              <w:rPr>
                <w:rFonts w:ascii="Times New Roman" w:hAnsi="Times New Roman"/>
                <w:sz w:val="16"/>
              </w:rPr>
              <w:t>(Ad.net Holdings, Inc.)</w:t>
            </w:r>
          </w:p>
          <w:p>
            <w:pPr>
              <w:pStyle w:val="TableContents"/>
              <w:bidi w:val="0"/>
              <w:spacing w:before="0" w:after="0"/>
              <w:jc w:val="left"/>
              <w:rPr>
                <w:rFonts w:ascii="Times New Roman" w:hAnsi="Times New Roman"/>
                <w:sz w:val="16"/>
              </w:rPr>
            </w:pPr>
            <w:r>
              <w:rPr>
                <w:rFonts w:ascii="Times New Roman" w:hAnsi="Times New Roman"/>
                <w:sz w:val="16"/>
              </w:rPr>
              <w:t>1100 Glendon Avenue, Suite 1200</w:t>
            </w:r>
          </w:p>
          <w:p>
            <w:pPr>
              <w:pStyle w:val="TableContents"/>
              <w:bidi w:val="0"/>
              <w:spacing w:before="0" w:after="20"/>
              <w:jc w:val="left"/>
              <w:rPr>
                <w:rFonts w:ascii="Times New Roman" w:hAnsi="Times New Roman"/>
                <w:sz w:val="16"/>
              </w:rPr>
            </w:pPr>
            <w:r>
              <w:rPr>
                <w:rFonts w:ascii="Times New Roman" w:hAnsi="Times New Roman"/>
                <w:sz w:val="16"/>
              </w:rPr>
              <w:t>Los Angeles, CA 90024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Media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jc w:val="center"/>
              <w:rPr/>
            </w:pPr>
            <w:r>
              <w:rPr/>
              <w:t>First Lien Secured Debt(4),</w:t>
            </w:r>
          </w:p>
          <w:p>
            <w:pPr>
              <w:pStyle w:val="TableContents"/>
              <w:bidi w:val="0"/>
              <w:spacing w:before="0" w:after="0"/>
              <w:jc w:val="center"/>
              <w:rPr>
                <w:rFonts w:ascii="Times New Roman" w:hAnsi="Times New Roman"/>
                <w:sz w:val="16"/>
              </w:rPr>
            </w:pPr>
            <w:r>
              <w:rPr>
                <w:rFonts w:ascii="Times New Roman" w:hAnsi="Times New Roman"/>
                <w:sz w:val="16"/>
              </w:rPr>
              <w:t>3M S+626, 05/07/2026</w:t>
            </w:r>
          </w:p>
          <w:p>
            <w:pPr>
              <w:pStyle w:val="TableContents"/>
              <w:bidi w:val="0"/>
              <w:spacing w:before="0" w:after="0"/>
              <w:jc w:val="center"/>
              <w:rPr>
                <w:rFonts w:ascii="Times New Roman" w:hAnsi="Times New Roman"/>
                <w:sz w:val="16"/>
              </w:rPr>
            </w:pPr>
            <w:r>
              <w:rPr>
                <w:rFonts w:ascii="Times New Roman" w:hAnsi="Times New Roman"/>
                <w:sz w:val="16"/>
              </w:rPr>
              <w:t>Preferred Equity</w:t>
            </w:r>
          </w:p>
          <w:p>
            <w:pPr>
              <w:pStyle w:val="TableContents"/>
              <w:bidi w:val="0"/>
              <w:spacing w:before="0" w:after="20"/>
              <w:jc w:val="center"/>
              <w:rPr>
                <w:rFonts w:ascii="Times New Roman" w:hAnsi="Times New Roman"/>
                <w:sz w:val="16"/>
              </w:rPr>
            </w:pPr>
            <w:r>
              <w:rPr>
                <w:rFonts w:ascii="Times New Roman" w:hAnsi="Times New Roman"/>
                <w:sz w:val="16"/>
              </w:rPr>
              <w:t>Common Equity</w:t>
            </w:r>
          </w:p>
        </w:tc>
        <w:tc>
          <w:tcPr>
            <w:tcW w:w="60" w:type="dxa"/>
            <w:tcBorders/>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5,698</w:t>
            </w:r>
          </w:p>
        </w:tc>
        <w:tc>
          <w:tcPr>
            <w:tcW w:w="78" w:type="dxa"/>
            <w:tcBorders/>
            <w:vAlign w:val="center"/>
          </w:tcPr>
          <w:p>
            <w:pPr>
              <w:pStyle w:val="TableContents"/>
              <w:bidi w:val="0"/>
              <w:spacing w:before="0" w:after="283"/>
              <w:jc w:val="left"/>
              <w:rPr/>
            </w:pPr>
            <w:r>
              <w:rPr/>
              <w:t> </w:t>
            </w:r>
          </w:p>
        </w:tc>
      </w:tr>
      <w:tr>
        <w:trPr/>
        <w:tc>
          <w:tcPr>
            <w:tcW w:w="1063" w:type="dxa"/>
            <w:tcBorders/>
            <w:vAlign w:val="center"/>
          </w:tcPr>
          <w:p>
            <w:pPr>
              <w:pStyle w:val="TableContents"/>
              <w:bidi w:val="0"/>
              <w:spacing w:before="0" w:after="283"/>
              <w:jc w:val="left"/>
              <w:rPr>
                <w:sz w:val="4"/>
                <w:szCs w:val="4"/>
              </w:rPr>
            </w:pPr>
            <w:r>
              <w:rPr>
                <w:sz w:val="4"/>
                <w:szCs w:val="4"/>
              </w:rPr>
            </w:r>
          </w:p>
        </w:tc>
        <w:tc>
          <w:tcPr>
            <w:tcW w:w="3320" w:type="dxa"/>
            <w:gridSpan w:val="4"/>
            <w:tcBorders/>
            <w:vAlign w:val="center"/>
          </w:tcPr>
          <w:p>
            <w:pPr>
              <w:pStyle w:val="TableContents"/>
              <w:bidi w:val="0"/>
              <w:spacing w:before="0" w:after="283"/>
              <w:jc w:val="left"/>
              <w:rPr>
                <w:sz w:val="4"/>
                <w:szCs w:val="4"/>
              </w:rPr>
            </w:pPr>
            <w:r>
              <w:rPr>
                <w:sz w:val="4"/>
                <w:szCs w:val="4"/>
              </w:rPr>
            </w:r>
          </w:p>
        </w:tc>
        <w:tc>
          <w:tcPr>
            <w:tcW w:w="2556"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Aeronix, Inc.</w:t>
            </w:r>
          </w:p>
          <w:p>
            <w:pPr>
              <w:pStyle w:val="TableContents"/>
              <w:bidi w:val="0"/>
              <w:spacing w:before="0" w:after="0"/>
              <w:jc w:val="left"/>
              <w:rPr>
                <w:rFonts w:ascii="Times New Roman" w:hAnsi="Times New Roman"/>
                <w:sz w:val="16"/>
              </w:rPr>
            </w:pPr>
            <w:r>
              <w:rPr>
                <w:rFonts w:ascii="Times New Roman" w:hAnsi="Times New Roman"/>
                <w:sz w:val="16"/>
              </w:rPr>
              <w:t>(SV Aero Holdings, LLC)(5)</w:t>
            </w:r>
          </w:p>
          <w:p>
            <w:pPr>
              <w:pStyle w:val="TableContents"/>
              <w:bidi w:val="0"/>
              <w:spacing w:before="0" w:after="0"/>
              <w:jc w:val="left"/>
              <w:rPr>
                <w:rFonts w:ascii="Times New Roman" w:hAnsi="Times New Roman"/>
                <w:sz w:val="16"/>
              </w:rPr>
            </w:pPr>
            <w:r>
              <w:rPr>
                <w:rFonts w:ascii="Times New Roman" w:hAnsi="Times New Roman"/>
                <w:sz w:val="16"/>
              </w:rPr>
              <w:t>1775 West Hibiscus Boulevard, Suite 200</w:t>
            </w:r>
          </w:p>
          <w:p>
            <w:pPr>
              <w:pStyle w:val="TableContents"/>
              <w:bidi w:val="0"/>
              <w:spacing w:before="0" w:after="20"/>
              <w:jc w:val="left"/>
              <w:rPr>
                <w:rFonts w:ascii="Times New Roman" w:hAnsi="Times New Roman"/>
                <w:sz w:val="16"/>
              </w:rPr>
            </w:pPr>
            <w:r>
              <w:rPr>
                <w:rFonts w:ascii="Times New Roman" w:hAnsi="Times New Roman"/>
                <w:sz w:val="16"/>
              </w:rPr>
              <w:t>Melbourne, FL 32901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jc w:val="center"/>
              <w:rPr/>
            </w:pPr>
            <w:r>
              <w:rPr/>
              <w:t>First Lien Secured Debt(4),</w:t>
            </w:r>
          </w:p>
          <w:p>
            <w:pPr>
              <w:pStyle w:val="TableContents"/>
              <w:bidi w:val="0"/>
              <w:spacing w:before="0" w:after="0"/>
              <w:jc w:val="center"/>
              <w:rPr>
                <w:rFonts w:ascii="Times New Roman" w:hAnsi="Times New Roman"/>
                <w:sz w:val="16"/>
              </w:rPr>
            </w:pPr>
            <w:r>
              <w:rPr>
                <w:rFonts w:ascii="Times New Roman" w:hAnsi="Times New Roman"/>
                <w:sz w:val="16"/>
              </w:rPr>
              <w:t>3M S+550, 12/18/2028</w:t>
            </w:r>
          </w:p>
          <w:p>
            <w:pPr>
              <w:pStyle w:val="TableContents"/>
              <w:bidi w:val="0"/>
              <w:spacing w:before="0" w:after="20"/>
              <w:jc w:val="center"/>
              <w:rPr>
                <w:rFonts w:ascii="Times New Roman" w:hAnsi="Times New Roman"/>
                <w:sz w:val="16"/>
              </w:rPr>
            </w:pPr>
            <w:r>
              <w:rPr>
                <w:rFonts w:ascii="Times New Roman" w:hAnsi="Times New Roman"/>
                <w:sz w:val="16"/>
              </w:rPr>
              <w:t>Common Equity</w:t>
            </w:r>
          </w:p>
        </w:tc>
        <w:tc>
          <w:tcPr>
            <w:tcW w:w="60" w:type="dxa"/>
            <w:tcBorders/>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34,996</w:t>
            </w:r>
          </w:p>
        </w:tc>
        <w:tc>
          <w:tcPr>
            <w:tcW w:w="78" w:type="dxa"/>
            <w:tcBorders/>
            <w:vAlign w:val="center"/>
          </w:tcPr>
          <w:p>
            <w:pPr>
              <w:pStyle w:val="TableContents"/>
              <w:bidi w:val="0"/>
              <w:spacing w:before="0" w:after="283"/>
              <w:jc w:val="left"/>
              <w:rPr/>
            </w:pPr>
            <w:r>
              <w:rPr/>
              <w:t> </w:t>
            </w:r>
          </w:p>
        </w:tc>
      </w:tr>
      <w:tr>
        <w:trPr/>
        <w:tc>
          <w:tcPr>
            <w:tcW w:w="1063" w:type="dxa"/>
            <w:tcBorders/>
            <w:vAlign w:val="center"/>
          </w:tcPr>
          <w:p>
            <w:pPr>
              <w:pStyle w:val="TableContents"/>
              <w:bidi w:val="0"/>
              <w:spacing w:before="0" w:after="283"/>
              <w:jc w:val="left"/>
              <w:rPr>
                <w:sz w:val="4"/>
                <w:szCs w:val="4"/>
              </w:rPr>
            </w:pPr>
            <w:r>
              <w:rPr>
                <w:sz w:val="4"/>
                <w:szCs w:val="4"/>
              </w:rPr>
            </w:r>
          </w:p>
        </w:tc>
        <w:tc>
          <w:tcPr>
            <w:tcW w:w="3320" w:type="dxa"/>
            <w:gridSpan w:val="4"/>
            <w:tcBorders/>
            <w:vAlign w:val="center"/>
          </w:tcPr>
          <w:p>
            <w:pPr>
              <w:pStyle w:val="TableContents"/>
              <w:bidi w:val="0"/>
              <w:spacing w:before="0" w:after="283"/>
              <w:jc w:val="left"/>
              <w:rPr>
                <w:sz w:val="4"/>
                <w:szCs w:val="4"/>
              </w:rPr>
            </w:pPr>
            <w:r>
              <w:rPr>
                <w:sz w:val="4"/>
                <w:szCs w:val="4"/>
              </w:rPr>
            </w:r>
          </w:p>
        </w:tc>
        <w:tc>
          <w:tcPr>
            <w:tcW w:w="2556"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AFC Dell Holding Corp.</w:t>
            </w:r>
          </w:p>
          <w:p>
            <w:pPr>
              <w:pStyle w:val="TableContents"/>
              <w:bidi w:val="0"/>
              <w:spacing w:before="0" w:after="0"/>
              <w:jc w:val="left"/>
              <w:rPr>
                <w:rFonts w:ascii="Times New Roman" w:hAnsi="Times New Roman"/>
                <w:sz w:val="16"/>
              </w:rPr>
            </w:pPr>
            <w:r>
              <w:rPr>
                <w:rFonts w:ascii="Times New Roman" w:hAnsi="Times New Roman"/>
                <w:sz w:val="16"/>
              </w:rPr>
              <w:t>(AFC Acquisitions, Inc.)(5)</w:t>
            </w:r>
          </w:p>
          <w:p>
            <w:pPr>
              <w:pStyle w:val="TableContents"/>
              <w:bidi w:val="0"/>
              <w:spacing w:before="0" w:after="0"/>
              <w:jc w:val="left"/>
              <w:rPr>
                <w:rFonts w:ascii="Times New Roman" w:hAnsi="Times New Roman"/>
                <w:sz w:val="16"/>
              </w:rPr>
            </w:pPr>
            <w:r>
              <w:rPr>
                <w:rFonts w:ascii="Times New Roman" w:hAnsi="Times New Roman"/>
                <w:sz w:val="16"/>
              </w:rPr>
              <w:t>9030 Port Union Road</w:t>
            </w:r>
          </w:p>
          <w:p>
            <w:pPr>
              <w:pStyle w:val="TableContents"/>
              <w:bidi w:val="0"/>
              <w:spacing w:before="0" w:after="20"/>
              <w:jc w:val="left"/>
              <w:rPr>
                <w:rFonts w:ascii="Times New Roman" w:hAnsi="Times New Roman"/>
                <w:sz w:val="16"/>
              </w:rPr>
            </w:pPr>
            <w:r>
              <w:rPr>
                <w:rFonts w:ascii="Times New Roman" w:hAnsi="Times New Roman"/>
                <w:sz w:val="16"/>
              </w:rPr>
              <w:t>West Chester Township, OH 45011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Distributors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jc w:val="center"/>
              <w:rPr/>
            </w:pPr>
            <w:r>
              <w:rPr/>
              <w:t>First Lien Secured Debt(4),</w:t>
            </w:r>
          </w:p>
          <w:p>
            <w:pPr>
              <w:pStyle w:val="TableContents"/>
              <w:bidi w:val="0"/>
              <w:spacing w:before="0" w:after="0"/>
              <w:jc w:val="center"/>
              <w:rPr>
                <w:rFonts w:ascii="Times New Roman" w:hAnsi="Times New Roman"/>
                <w:sz w:val="16"/>
              </w:rPr>
            </w:pPr>
            <w:r>
              <w:rPr>
                <w:rFonts w:ascii="Times New Roman" w:hAnsi="Times New Roman"/>
                <w:sz w:val="16"/>
              </w:rPr>
              <w:t>3M S+640, 04/09/2027</w:t>
            </w:r>
          </w:p>
          <w:p>
            <w:pPr>
              <w:pStyle w:val="TableContents"/>
              <w:bidi w:val="0"/>
              <w:spacing w:before="0" w:after="20"/>
              <w:jc w:val="center"/>
              <w:rPr>
                <w:rFonts w:ascii="Times New Roman" w:hAnsi="Times New Roman"/>
                <w:sz w:val="16"/>
              </w:rPr>
            </w:pPr>
            <w:r>
              <w:rPr>
                <w:rFonts w:ascii="Times New Roman" w:hAnsi="Times New Roman"/>
                <w:sz w:val="16"/>
              </w:rPr>
              <w:t>Preferred Equity</w:t>
            </w:r>
          </w:p>
        </w:tc>
        <w:tc>
          <w:tcPr>
            <w:tcW w:w="60" w:type="dxa"/>
            <w:tcBorders/>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13,465</w:t>
            </w:r>
          </w:p>
        </w:tc>
        <w:tc>
          <w:tcPr>
            <w:tcW w:w="78" w:type="dxa"/>
            <w:tcBorders/>
            <w:vAlign w:val="center"/>
          </w:tcPr>
          <w:p>
            <w:pPr>
              <w:pStyle w:val="TableContents"/>
              <w:bidi w:val="0"/>
              <w:spacing w:before="0" w:after="283"/>
              <w:jc w:val="left"/>
              <w:rPr/>
            </w:pPr>
            <w:r>
              <w:rPr/>
              <w:t> </w:t>
            </w:r>
          </w:p>
        </w:tc>
      </w:tr>
      <w:tr>
        <w:trPr/>
        <w:tc>
          <w:tcPr>
            <w:tcW w:w="1063" w:type="dxa"/>
            <w:tcBorders/>
            <w:vAlign w:val="center"/>
          </w:tcPr>
          <w:p>
            <w:pPr>
              <w:pStyle w:val="TableContents"/>
              <w:bidi w:val="0"/>
              <w:spacing w:before="0" w:after="283"/>
              <w:jc w:val="left"/>
              <w:rPr>
                <w:sz w:val="4"/>
                <w:szCs w:val="4"/>
              </w:rPr>
            </w:pPr>
            <w:r>
              <w:rPr>
                <w:sz w:val="4"/>
                <w:szCs w:val="4"/>
              </w:rPr>
            </w:r>
          </w:p>
        </w:tc>
        <w:tc>
          <w:tcPr>
            <w:tcW w:w="3320" w:type="dxa"/>
            <w:gridSpan w:val="4"/>
            <w:tcBorders/>
            <w:vAlign w:val="center"/>
          </w:tcPr>
          <w:p>
            <w:pPr>
              <w:pStyle w:val="TableContents"/>
              <w:bidi w:val="0"/>
              <w:spacing w:before="0" w:after="283"/>
              <w:jc w:val="left"/>
              <w:rPr>
                <w:sz w:val="4"/>
                <w:szCs w:val="4"/>
              </w:rPr>
            </w:pPr>
            <w:r>
              <w:rPr>
                <w:sz w:val="4"/>
                <w:szCs w:val="4"/>
              </w:rPr>
            </w:r>
          </w:p>
        </w:tc>
        <w:tc>
          <w:tcPr>
            <w:tcW w:w="2556"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Affinion Group Holdings, Inc.</w:t>
            </w:r>
          </w:p>
          <w:p>
            <w:pPr>
              <w:pStyle w:val="TableContents"/>
              <w:bidi w:val="0"/>
              <w:spacing w:before="0" w:after="0"/>
              <w:jc w:val="left"/>
              <w:rPr>
                <w:rFonts w:ascii="Times New Roman" w:hAnsi="Times New Roman"/>
                <w:sz w:val="16"/>
              </w:rPr>
            </w:pPr>
            <w:r>
              <w:rPr>
                <w:rFonts w:ascii="Times New Roman" w:hAnsi="Times New Roman"/>
                <w:sz w:val="16"/>
              </w:rPr>
              <w:t>6 High Ridge Park</w:t>
            </w:r>
          </w:p>
          <w:p>
            <w:pPr>
              <w:pStyle w:val="TableContents"/>
              <w:bidi w:val="0"/>
              <w:spacing w:before="0" w:after="20"/>
              <w:jc w:val="left"/>
              <w:rPr>
                <w:rFonts w:ascii="Times New Roman" w:hAnsi="Times New Roman"/>
                <w:sz w:val="16"/>
              </w:rPr>
            </w:pPr>
            <w:r>
              <w:rPr>
                <w:rFonts w:ascii="Times New Roman" w:hAnsi="Times New Roman"/>
                <w:sz w:val="16"/>
              </w:rPr>
              <w:t>Stamford, CT 06905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Consumer Goods: Durable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center"/>
              <w:rPr/>
            </w:pPr>
            <w:r>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1063" w:type="dxa"/>
            <w:tcBorders/>
            <w:vAlign w:val="center"/>
          </w:tcPr>
          <w:p>
            <w:pPr>
              <w:pStyle w:val="TableContents"/>
              <w:bidi w:val="0"/>
              <w:spacing w:before="0" w:after="283"/>
              <w:jc w:val="left"/>
              <w:rPr>
                <w:sz w:val="4"/>
                <w:szCs w:val="4"/>
              </w:rPr>
            </w:pPr>
            <w:r>
              <w:rPr>
                <w:sz w:val="4"/>
                <w:szCs w:val="4"/>
              </w:rPr>
            </w:r>
          </w:p>
        </w:tc>
        <w:tc>
          <w:tcPr>
            <w:tcW w:w="3320" w:type="dxa"/>
            <w:gridSpan w:val="4"/>
            <w:tcBorders/>
            <w:vAlign w:val="center"/>
          </w:tcPr>
          <w:p>
            <w:pPr>
              <w:pStyle w:val="TableContents"/>
              <w:bidi w:val="0"/>
              <w:spacing w:before="0" w:after="283"/>
              <w:jc w:val="left"/>
              <w:rPr>
                <w:sz w:val="4"/>
                <w:szCs w:val="4"/>
              </w:rPr>
            </w:pPr>
            <w:r>
              <w:rPr>
                <w:sz w:val="4"/>
                <w:szCs w:val="4"/>
              </w:rPr>
            </w:r>
          </w:p>
        </w:tc>
        <w:tc>
          <w:tcPr>
            <w:tcW w:w="2556"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AG Investco LP(5)</w:t>
            </w:r>
          </w:p>
          <w:p>
            <w:pPr>
              <w:pStyle w:val="TableContents"/>
              <w:bidi w:val="0"/>
              <w:spacing w:before="0" w:after="0"/>
              <w:jc w:val="left"/>
              <w:rPr>
                <w:rFonts w:ascii="Times New Roman" w:hAnsi="Times New Roman"/>
                <w:sz w:val="16"/>
              </w:rPr>
            </w:pPr>
            <w:r>
              <w:rPr>
                <w:rFonts w:ascii="Times New Roman" w:hAnsi="Times New Roman"/>
                <w:sz w:val="16"/>
              </w:rPr>
              <w:t>251 Little Falls Drive</w:t>
            </w:r>
          </w:p>
          <w:p>
            <w:pPr>
              <w:pStyle w:val="TableContents"/>
              <w:bidi w:val="0"/>
              <w:spacing w:before="0" w:after="20"/>
              <w:jc w:val="left"/>
              <w:rPr>
                <w:rFonts w:ascii="Times New Roman" w:hAnsi="Times New Roman"/>
                <w:sz w:val="16"/>
              </w:rPr>
            </w:pPr>
            <w:r>
              <w:rPr>
                <w:rFonts w:ascii="Times New Roman" w:hAnsi="Times New Roman"/>
                <w:sz w:val="16"/>
              </w:rPr>
              <w:t>Herndon, VA 19808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Software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center"/>
              <w:rPr/>
            </w:pPr>
            <w:r>
              <w:rPr/>
              <w:t>Common Equity(4)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1,131</w:t>
            </w:r>
          </w:p>
        </w:tc>
        <w:tc>
          <w:tcPr>
            <w:tcW w:w="7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tbl>
      <w:tblPr>
        <w:tblW w:w="10545" w:type="dxa"/>
        <w:jc w:val="left"/>
        <w:tblInd w:w="0" w:type="dxa"/>
        <w:tblLayout w:type="fixed"/>
        <w:tblCellMar>
          <w:top w:w="0" w:type="dxa"/>
          <w:left w:w="0" w:type="dxa"/>
          <w:bottom w:w="0" w:type="dxa"/>
          <w:right w:w="0" w:type="dxa"/>
        </w:tblCellMar>
      </w:tblPr>
      <w:tblGrid>
        <w:gridCol w:w="1550"/>
        <w:gridCol w:w="60"/>
        <w:gridCol w:w="3260"/>
        <w:gridCol w:w="60"/>
        <w:gridCol w:w="2360"/>
        <w:gridCol w:w="60"/>
        <w:gridCol w:w="221"/>
        <w:gridCol w:w="1179"/>
        <w:gridCol w:w="275"/>
        <w:gridCol w:w="60"/>
        <w:gridCol w:w="236"/>
        <w:gridCol w:w="1149"/>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2360" w:type="dxa"/>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Altamira Technologies, LLC</w:t>
            </w:r>
          </w:p>
          <w:p>
            <w:pPr>
              <w:pStyle w:val="TableContents"/>
              <w:bidi w:val="0"/>
              <w:spacing w:before="0" w:after="0"/>
              <w:jc w:val="left"/>
              <w:rPr>
                <w:rFonts w:ascii="Times New Roman" w:hAnsi="Times New Roman"/>
                <w:sz w:val="16"/>
              </w:rPr>
            </w:pPr>
            <w:r>
              <w:rPr>
                <w:rFonts w:ascii="Times New Roman" w:hAnsi="Times New Roman"/>
                <w:sz w:val="16"/>
              </w:rPr>
              <w:t>(Altamira Intermediate Company II, Inc.)</w:t>
            </w:r>
          </w:p>
          <w:p>
            <w:pPr>
              <w:pStyle w:val="TableContents"/>
              <w:bidi w:val="0"/>
              <w:spacing w:before="0" w:after="0"/>
              <w:jc w:val="left"/>
              <w:rPr>
                <w:rFonts w:ascii="Times New Roman" w:hAnsi="Times New Roman"/>
                <w:sz w:val="16"/>
              </w:rPr>
            </w:pPr>
            <w:r>
              <w:rPr>
                <w:rFonts w:ascii="Times New Roman" w:hAnsi="Times New Roman"/>
                <w:sz w:val="16"/>
              </w:rPr>
              <w:t>8201 Greensboro Drive, Suite 800</w:t>
            </w:r>
          </w:p>
          <w:p>
            <w:pPr>
              <w:pStyle w:val="TableContents"/>
              <w:bidi w:val="0"/>
              <w:spacing w:before="0" w:after="20"/>
              <w:jc w:val="left"/>
              <w:rPr>
                <w:rFonts w:ascii="Times New Roman" w:hAnsi="Times New Roman"/>
                <w:sz w:val="16"/>
              </w:rPr>
            </w:pPr>
            <w:r>
              <w:rPr>
                <w:rFonts w:ascii="Times New Roman" w:hAnsi="Times New Roman"/>
                <w:sz w:val="16"/>
              </w:rPr>
              <w:t>McLean, VA 22102</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IT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1,679</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Amsive Holding Corporation (f/k/a Vision Purchaser Corporation)</w:t>
            </w:r>
          </w:p>
          <w:p>
            <w:pPr>
              <w:pStyle w:val="TableContents"/>
              <w:bidi w:val="0"/>
              <w:spacing w:before="0" w:after="0"/>
              <w:jc w:val="left"/>
              <w:rPr>
                <w:rFonts w:ascii="Times New Roman" w:hAnsi="Times New Roman"/>
                <w:sz w:val="16"/>
              </w:rPr>
            </w:pPr>
            <w:r>
              <w:rPr>
                <w:rFonts w:ascii="Times New Roman" w:hAnsi="Times New Roman"/>
                <w:sz w:val="16"/>
              </w:rPr>
              <w:t>605 Territorial Drive</w:t>
            </w:r>
          </w:p>
          <w:p>
            <w:pPr>
              <w:pStyle w:val="TableContents"/>
              <w:bidi w:val="0"/>
              <w:spacing w:before="0" w:after="0"/>
              <w:jc w:val="left"/>
              <w:rPr>
                <w:rFonts w:ascii="Times New Roman" w:hAnsi="Times New Roman"/>
                <w:sz w:val="16"/>
              </w:rPr>
            </w:pPr>
            <w:r>
              <w:rPr>
                <w:rFonts w:ascii="Times New Roman" w:hAnsi="Times New Roman"/>
                <w:sz w:val="16"/>
              </w:rPr>
              <w:t>Suite A, B &amp; C</w:t>
            </w:r>
          </w:p>
          <w:p>
            <w:pPr>
              <w:pStyle w:val="TableContents"/>
              <w:bidi w:val="0"/>
              <w:spacing w:before="0" w:after="20"/>
              <w:jc w:val="left"/>
              <w:rPr>
                <w:rFonts w:ascii="Times New Roman" w:hAnsi="Times New Roman"/>
                <w:sz w:val="16"/>
              </w:rPr>
            </w:pPr>
            <w:r>
              <w:rPr>
                <w:rFonts w:ascii="Times New Roman" w:hAnsi="Times New Roman"/>
                <w:sz w:val="16"/>
              </w:rPr>
              <w:t>Bolingbrook, IL 60440</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Media</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jc w:val="center"/>
              <w:rPr/>
            </w:pPr>
            <w:r>
              <w:rPr/>
              <w:t>First Lien Secured Debt,</w:t>
            </w:r>
          </w:p>
          <w:p>
            <w:pPr>
              <w:pStyle w:val="TableContents"/>
              <w:bidi w:val="0"/>
              <w:spacing w:before="0" w:after="20"/>
              <w:jc w:val="center"/>
              <w:rPr>
                <w:rFonts w:ascii="Times New Roman" w:hAnsi="Times New Roman"/>
                <w:sz w:val="16"/>
              </w:rPr>
            </w:pPr>
            <w:r>
              <w:rPr>
                <w:rFonts w:ascii="Times New Roman" w:hAnsi="Times New Roman"/>
                <w:sz w:val="16"/>
              </w:rPr>
              <w:t>3M S+640, 06/10/2025</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13,712</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Anteriad, LLC (f/k/a MeritDirect,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Media</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18,751</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(Anterida Holdings, LP (5))</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S+575, 06/30/2026</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 International Drive</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Preferred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Rye Brook, NY 10573</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Any Hour Services</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Energy Equipment and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7,085</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(KL Stockton Co-Invest LP) (5)</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S+585, 07/21/2027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1374 130 S</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Orem, UT 84058</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Applied Technical Services,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Commercial Services &amp; Supplies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13,853</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(Ironclad Holdco, LLC) (5)</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S+590, 12/29/2026</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1049 Triad Ct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Marietta, GA 30062</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Arcfield Acquisition Corp.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5,907</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14295 Park Meadow Drive</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S+625, 08/03/2029</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Chantilly, VA 20151</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Athletico Holdings, LLC(5)</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Healthcare Providers and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4,048</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2122 York Road, Ste. 300</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Oak Brook, IL 60523</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Beta Plus Technologies, Inc.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Internet Software and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11,580</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 World Trade Center, 47th Floor</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S+575, 07/01/2029</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New York, NY 10007</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Big Top Holdings,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Construction &amp; Engineering</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48,636</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(ACP Big Top Holdings, LP)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S+625, 02/28/2030</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3255 U.S. Hwy 19 N</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Perry, FL 32347</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BioDerm, Inc.</w:t>
            </w:r>
          </w:p>
          <w:p>
            <w:pPr>
              <w:pStyle w:val="TableContents"/>
              <w:bidi w:val="0"/>
              <w:spacing w:before="0" w:after="0"/>
              <w:jc w:val="left"/>
              <w:rPr>
                <w:rFonts w:ascii="Times New Roman" w:hAnsi="Times New Roman"/>
                <w:sz w:val="16"/>
              </w:rPr>
            </w:pPr>
            <w:r>
              <w:rPr>
                <w:rFonts w:ascii="Times New Roman" w:hAnsi="Times New Roman"/>
                <w:sz w:val="16"/>
              </w:rPr>
              <w:t>(BioDerm holdings, LP)</w:t>
            </w:r>
          </w:p>
          <w:p>
            <w:pPr>
              <w:pStyle w:val="TableContents"/>
              <w:bidi w:val="0"/>
              <w:spacing w:before="0" w:after="0"/>
              <w:jc w:val="left"/>
              <w:rPr>
                <w:rFonts w:ascii="Times New Roman" w:hAnsi="Times New Roman"/>
                <w:sz w:val="16"/>
              </w:rPr>
            </w:pPr>
            <w:r>
              <w:rPr>
                <w:rFonts w:ascii="Times New Roman" w:hAnsi="Times New Roman"/>
                <w:sz w:val="16"/>
              </w:rPr>
              <w:t>12320 73rd Court N</w:t>
            </w:r>
          </w:p>
          <w:p>
            <w:pPr>
              <w:pStyle w:val="TableContents"/>
              <w:bidi w:val="0"/>
              <w:spacing w:before="0" w:after="20"/>
              <w:jc w:val="left"/>
              <w:rPr>
                <w:rFonts w:ascii="Times New Roman" w:hAnsi="Times New Roman"/>
                <w:sz w:val="16"/>
              </w:rPr>
            </w:pPr>
            <w:r>
              <w:rPr>
                <w:rFonts w:ascii="Times New Roman" w:hAnsi="Times New Roman"/>
                <w:sz w:val="16"/>
              </w:rPr>
              <w:t>Largo, FL 33773</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jc w:val="center"/>
              <w:rPr/>
            </w:pPr>
            <w:r>
              <w:rPr/>
              <w:t>Healthcare Equipment and</w:t>
            </w:r>
          </w:p>
          <w:p>
            <w:pPr>
              <w:pStyle w:val="TableContents"/>
              <w:bidi w:val="0"/>
              <w:spacing w:before="0" w:after="20"/>
              <w:jc w:val="center"/>
              <w:rPr>
                <w:rFonts w:ascii="Times New Roman" w:hAnsi="Times New Roman"/>
                <w:sz w:val="16"/>
              </w:rPr>
            </w:pPr>
            <w:r>
              <w:rPr>
                <w:rFonts w:ascii="Times New Roman" w:hAnsi="Times New Roman"/>
                <w:sz w:val="16"/>
              </w:rPr>
              <w:t>Supplies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br/>
              <w:t>1M S+650, 01/31/2028</w:t>
              <w:b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1,867</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Blackhawk Industrial Distribution, Inc.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Distributors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6,307</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1501 SW Expressway Drive</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S+565, 09/17/2026</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Broken Arrow, OK 74012</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BlueHalo Financing Holdings,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6,397</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410 Jan Davis Drive</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S+475, 10/31/2025</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Huntsville, AL 35806</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Broder Bros., Co.</w:t>
            </w:r>
          </w:p>
          <w:p>
            <w:pPr>
              <w:pStyle w:val="TableContents"/>
              <w:bidi w:val="0"/>
              <w:spacing w:before="0" w:after="0"/>
              <w:jc w:val="left"/>
              <w:rPr>
                <w:rFonts w:ascii="Times New Roman" w:hAnsi="Times New Roman"/>
                <w:sz w:val="16"/>
              </w:rPr>
            </w:pPr>
            <w:r>
              <w:rPr>
                <w:rFonts w:ascii="Times New Roman" w:hAnsi="Times New Roman"/>
                <w:sz w:val="16"/>
              </w:rPr>
              <w:t>Six Neshaminy Interplex, 6 Floor</w:t>
            </w:r>
          </w:p>
          <w:p>
            <w:pPr>
              <w:pStyle w:val="TableContents"/>
              <w:bidi w:val="0"/>
              <w:spacing w:before="0" w:after="20"/>
              <w:jc w:val="left"/>
              <w:rPr>
                <w:rFonts w:ascii="Times New Roman" w:hAnsi="Times New Roman"/>
                <w:sz w:val="16"/>
              </w:rPr>
            </w:pPr>
            <w:r>
              <w:rPr>
                <w:rFonts w:ascii="Times New Roman" w:hAnsi="Times New Roman"/>
                <w:sz w:val="16"/>
              </w:rPr>
              <w:t>Trevose, PA 19053</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Textiles, Apparel and Luxury</w:t>
              <w:br/>
              <w:t>Goods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br/>
              <w:t>3M S+626, 12/04/2025</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3,262</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Burgess Point Holdings, LP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Auto Components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96</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29627 Renaissance Blvd</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Daphne, AL 26526</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tbl>
      <w:tblPr>
        <w:tblW w:w="10410" w:type="dxa"/>
        <w:jc w:val="left"/>
        <w:tblInd w:w="0" w:type="dxa"/>
        <w:tblLayout w:type="fixed"/>
        <w:tblCellMar>
          <w:top w:w="0" w:type="dxa"/>
          <w:left w:w="0" w:type="dxa"/>
          <w:bottom w:w="0" w:type="dxa"/>
          <w:right w:w="0" w:type="dxa"/>
        </w:tblCellMar>
      </w:tblPr>
      <w:tblGrid>
        <w:gridCol w:w="1415"/>
        <w:gridCol w:w="60"/>
        <w:gridCol w:w="3260"/>
        <w:gridCol w:w="60"/>
        <w:gridCol w:w="2360"/>
        <w:gridCol w:w="60"/>
        <w:gridCol w:w="221"/>
        <w:gridCol w:w="1179"/>
        <w:gridCol w:w="275"/>
        <w:gridCol w:w="60"/>
        <w:gridCol w:w="236"/>
        <w:gridCol w:w="1149"/>
        <w:gridCol w:w="75"/>
      </w:tblGrid>
      <w:tr>
        <w:trPr/>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2360" w:type="dxa"/>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By Light Professional IT Services,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High Tech Industries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40,004</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(By Light Investco, LP)(5)</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S+688, 05/16/2025</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8484 Westpark Drive Suite 600</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McLean, VA 22102</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Carisk Buyer, Inc.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Healthcare Technology</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5,600</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(Carisk Parent, LP)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S+575, 12/01/2029</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10685 North Kendall Drive</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Miami, FL 33176</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Carnegie Dartlet,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48,279</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(Carnegie HoldCo, LLC)(5)</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S+550, 02/07/2030</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210 Littleton Road, Suite 100</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Westford, MA 01886</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Cartessa Aesthetics, LLC(5)</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Distributors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15,787</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175 Broadhollow Road</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S+575, 06/14/2028</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Melville, NY 11747</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Preferred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CF512, Inc.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Media</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5,991</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(StellPen Holdings,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S+619, 08/20/2026</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960B Harvest Drive</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Blue Bell, PA 19422</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Challenger Performance Optimization, Inc. 1201 Wilson Blvd</w:t>
            </w:r>
          </w:p>
          <w:p>
            <w:pPr>
              <w:pStyle w:val="TableContents"/>
              <w:bidi w:val="0"/>
              <w:spacing w:before="0" w:after="20"/>
              <w:jc w:val="left"/>
              <w:rPr>
                <w:rFonts w:ascii="Times New Roman" w:hAnsi="Times New Roman"/>
                <w:sz w:val="16"/>
              </w:rPr>
            </w:pPr>
            <w:r>
              <w:rPr>
                <w:rFonts w:ascii="Times New Roman" w:hAnsi="Times New Roman"/>
                <w:sz w:val="16"/>
              </w:rPr>
              <w:t>Arlington, VA 22209</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Business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jc w:val="center"/>
              <w:rPr/>
            </w:pPr>
            <w:r>
              <w:rPr/>
              <w:t>First Lien Secured Debt,</w:t>
              <w:br/>
              <w:t>3M S+775 (PIK 2.00%),</w:t>
            </w:r>
          </w:p>
          <w:p>
            <w:pPr>
              <w:pStyle w:val="TableContents"/>
              <w:bidi w:val="0"/>
              <w:spacing w:before="0" w:after="20"/>
              <w:jc w:val="center"/>
              <w:rPr>
                <w:rFonts w:ascii="Times New Roman" w:hAnsi="Times New Roman"/>
                <w:sz w:val="16"/>
              </w:rPr>
            </w:pPr>
            <w:r>
              <w:rPr>
                <w:rFonts w:ascii="Times New Roman" w:hAnsi="Times New Roman"/>
                <w:sz w:val="16"/>
              </w:rPr>
              <w:t>08/31/2024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227</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Compex Legal Services, Inc.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9,160</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1100 Glendon Avenue</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S+555, 02/09/2026</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Suite 1200</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Los Angeles, CA 90024</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Confluent Health,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Healthcare Providers and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6,948</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75 S English Station Road</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S+500, 11/30/2028</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Louisville, KY 40245</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Connatix Buyer, Inc.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Media</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3,769</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(Connatix Parent,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S+576, 07/13/2027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666 Broadway, Floor 10</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New York, NY 10012</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Crane 1 Services, Inc.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Commercial Services &amp; Supplies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1,228</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(Crane 1 Acquisition Parent Holdings, L.P.)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S+501, 08/16/2027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1027 Byers Rd</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Miamisburg, OH 45342</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Dr. Squatch,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Personal Products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6,596</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2355 Westwood Blvd. #1834</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S+585, 08/31/2027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Los Angeles, CA 90064</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DRS Holdings III, Inc.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Chemicals, Plastics and Rubber</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15,810</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225 State Street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S+640, 11/03/2025</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Boston MA 02109</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Duraco Specialty Tapes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Containers and Packaging</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3,417</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7400 Industrial Dr.</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S+650, 06/30/2024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Forest Park, IL 60130</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283"/>
              <w:jc w:val="left"/>
              <w:rPr/>
            </w:pPr>
            <w:r>
              <w:rPr/>
              <w:t>ECL Entertainment, LLC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Hotels, Restaurants and Leisure</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5,928</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(Kentucky Racing Holco, LLC)(5)</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S+475, 08/31/2030</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5629 Nashville Rd</w:t>
            </w:r>
          </w:p>
          <w:p>
            <w:pPr>
              <w:pStyle w:val="TableContents"/>
              <w:bidi w:val="0"/>
              <w:spacing w:before="0" w:after="20"/>
              <w:jc w:val="left"/>
              <w:rPr>
                <w:rFonts w:ascii="Times New Roman" w:hAnsi="Times New Roman"/>
                <w:sz w:val="16"/>
              </w:rPr>
            </w:pPr>
            <w:r>
              <w:rPr>
                <w:rFonts w:ascii="Times New Roman" w:hAnsi="Times New Roman"/>
                <w:sz w:val="16"/>
              </w:rPr>
              <w:t>Franklin, KY 42134</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Warrants</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616"/>
        <w:gridCol w:w="60"/>
        <w:gridCol w:w="2372"/>
        <w:gridCol w:w="60"/>
        <w:gridCol w:w="1780"/>
        <w:gridCol w:w="60"/>
        <w:gridCol w:w="225"/>
        <w:gridCol w:w="1204"/>
        <w:gridCol w:w="275"/>
        <w:gridCol w:w="60"/>
        <w:gridCol w:w="240"/>
        <w:gridCol w:w="1174"/>
        <w:gridCol w:w="79"/>
      </w:tblGrid>
      <w:tr>
        <w:trPr/>
        <w:tc>
          <w:tcPr>
            <w:tcW w:w="2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2372"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1780" w:type="dxa"/>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eCommission Holding Corporation(6)</w:t>
            </w:r>
          </w:p>
          <w:p>
            <w:pPr>
              <w:pStyle w:val="TableContents"/>
              <w:bidi w:val="0"/>
              <w:spacing w:before="0" w:after="20"/>
              <w:jc w:val="left"/>
              <w:rPr>
                <w:rFonts w:ascii="Times New Roman" w:hAnsi="Times New Roman"/>
                <w:sz w:val="16"/>
              </w:rPr>
            </w:pPr>
            <w:r>
              <w:rPr>
                <w:rFonts w:ascii="Times New Roman" w:hAnsi="Times New Roman"/>
                <w:sz w:val="16"/>
              </w:rPr>
              <w:t>11612 Bee Caves Road, Building II, Suite 200 Austin, TX, 78738</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Banking, Finance, Insurance &amp;</w:t>
              <w:br/>
              <w:t>Real Estate</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174" w:type="dxa"/>
            <w:tcBorders/>
            <w:vAlign w:val="center"/>
          </w:tcPr>
          <w:p>
            <w:pPr>
              <w:pStyle w:val="TableContents"/>
              <w:bidi w:val="0"/>
              <w:spacing w:before="0" w:after="283"/>
              <w:jc w:val="right"/>
              <w:rPr/>
            </w:pPr>
            <w:r>
              <w:rPr/>
              <w:t>596</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EDS Buyer, LLC</w:t>
            </w:r>
          </w:p>
          <w:p>
            <w:pPr>
              <w:pStyle w:val="TableContents"/>
              <w:bidi w:val="0"/>
              <w:spacing w:before="0" w:after="0"/>
              <w:jc w:val="left"/>
              <w:rPr>
                <w:rFonts w:ascii="Times New Roman" w:hAnsi="Times New Roman"/>
                <w:sz w:val="16"/>
              </w:rPr>
            </w:pPr>
            <w:r>
              <w:rPr>
                <w:rFonts w:ascii="Times New Roman" w:hAnsi="Times New Roman"/>
                <w:sz w:val="16"/>
              </w:rPr>
              <w:t>(EDS Topco, LP)</w:t>
            </w:r>
          </w:p>
          <w:p>
            <w:pPr>
              <w:pStyle w:val="TableContents"/>
              <w:bidi w:val="0"/>
              <w:spacing w:before="0" w:after="0"/>
              <w:jc w:val="left"/>
              <w:rPr>
                <w:rFonts w:ascii="Times New Roman" w:hAnsi="Times New Roman"/>
                <w:sz w:val="16"/>
              </w:rPr>
            </w:pPr>
            <w:r>
              <w:rPr>
                <w:rFonts w:ascii="Times New Roman" w:hAnsi="Times New Roman"/>
                <w:sz w:val="16"/>
              </w:rPr>
              <w:t>810 7th Ave 12th floor</w:t>
            </w:r>
          </w:p>
          <w:p>
            <w:pPr>
              <w:pStyle w:val="TableContents"/>
              <w:bidi w:val="0"/>
              <w:spacing w:before="0" w:after="20"/>
              <w:jc w:val="left"/>
              <w:rPr>
                <w:rFonts w:ascii="Times New Roman" w:hAnsi="Times New Roman"/>
                <w:sz w:val="16"/>
              </w:rPr>
            </w:pPr>
            <w:r>
              <w:rPr>
                <w:rFonts w:ascii="Times New Roman" w:hAnsi="Times New Roman"/>
                <w:sz w:val="16"/>
              </w:rPr>
              <w:t>New York, NY 10019</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Electronic Equipment,</w:t>
              <w:br/>
              <w:t>Instruments, and Components</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First Lien Secured Debt,</w:t>
              <w:br/>
              <w:t>3M S+575, 01/10/2029</w:t>
              <w:b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4,952</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Efficient Collaborative Retail Marketing Company, LLC</w:t>
            </w:r>
          </w:p>
          <w:p>
            <w:pPr>
              <w:pStyle w:val="TableContents"/>
              <w:bidi w:val="0"/>
              <w:spacing w:before="0" w:after="0"/>
              <w:jc w:val="left"/>
              <w:rPr>
                <w:rFonts w:ascii="Times New Roman" w:hAnsi="Times New Roman"/>
                <w:sz w:val="16"/>
              </w:rPr>
            </w:pPr>
            <w:r>
              <w:rPr>
                <w:rFonts w:ascii="Times New Roman" w:hAnsi="Times New Roman"/>
                <w:sz w:val="16"/>
              </w:rPr>
              <w:t>27070 Miles Road</w:t>
            </w:r>
          </w:p>
          <w:p>
            <w:pPr>
              <w:pStyle w:val="TableContents"/>
              <w:bidi w:val="0"/>
              <w:spacing w:before="0" w:after="20"/>
              <w:jc w:val="left"/>
              <w:rPr>
                <w:rFonts w:ascii="Times New Roman" w:hAnsi="Times New Roman"/>
                <w:sz w:val="16"/>
              </w:rPr>
            </w:pPr>
            <w:r>
              <w:rPr>
                <w:rFonts w:ascii="Times New Roman" w:hAnsi="Times New Roman"/>
                <w:sz w:val="16"/>
              </w:rPr>
              <w:t>Solon, OH 44139</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Media: Diversified and</w:t>
              <w:br/>
              <w:t>Production</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jc w:val="center"/>
              <w:rPr/>
            </w:pPr>
            <w:r>
              <w:rPr/>
              <w:t>First Lien Secured Debt,</w:t>
            </w:r>
          </w:p>
          <w:p>
            <w:pPr>
              <w:pStyle w:val="TableContents"/>
              <w:bidi w:val="0"/>
              <w:spacing w:before="0" w:after="0"/>
              <w:jc w:val="center"/>
              <w:rPr>
                <w:rFonts w:ascii="Times New Roman" w:hAnsi="Times New Roman"/>
                <w:sz w:val="16"/>
              </w:rPr>
            </w:pPr>
            <w:r>
              <w:rPr>
                <w:rFonts w:ascii="Times New Roman" w:hAnsi="Times New Roman"/>
                <w:sz w:val="16"/>
              </w:rPr>
              <w:t>3M S+900 (PIK 1.50%),</w:t>
            </w:r>
          </w:p>
          <w:p>
            <w:pPr>
              <w:pStyle w:val="TableContents"/>
              <w:bidi w:val="0"/>
              <w:spacing w:before="0" w:after="20"/>
              <w:jc w:val="center"/>
              <w:rPr>
                <w:rFonts w:ascii="Times New Roman" w:hAnsi="Times New Roman"/>
                <w:sz w:val="16"/>
              </w:rPr>
            </w:pPr>
            <w:r>
              <w:rPr>
                <w:rFonts w:ascii="Times New Roman" w:hAnsi="Times New Roman"/>
                <w:sz w:val="16"/>
              </w:rPr>
              <w:t>06/15/2024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5,706</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pPr>
            <w:r>
              <w:rPr/>
              <w:t>Eisner Advisory Group, LLC</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7,018</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733 Third Avenue</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3M S+400, 02/23/2031</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New York, NY 10017</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ETE Intermediate II, LLC</w:t>
            </w:r>
          </w:p>
          <w:p>
            <w:pPr>
              <w:pStyle w:val="TableContents"/>
              <w:bidi w:val="0"/>
              <w:spacing w:before="0" w:after="0"/>
              <w:jc w:val="left"/>
              <w:rPr>
                <w:rFonts w:ascii="Times New Roman" w:hAnsi="Times New Roman"/>
                <w:sz w:val="16"/>
              </w:rPr>
            </w:pPr>
            <w:r>
              <w:rPr>
                <w:rFonts w:ascii="Times New Roman" w:hAnsi="Times New Roman"/>
                <w:sz w:val="16"/>
              </w:rPr>
              <w:t>(Gauge ETE Blocker, LLC)</w:t>
            </w:r>
          </w:p>
          <w:p>
            <w:pPr>
              <w:pStyle w:val="TableContents"/>
              <w:bidi w:val="0"/>
              <w:spacing w:before="0" w:after="0"/>
              <w:jc w:val="left"/>
              <w:rPr>
                <w:rFonts w:ascii="Times New Roman" w:hAnsi="Times New Roman"/>
                <w:sz w:val="16"/>
              </w:rPr>
            </w:pPr>
            <w:r>
              <w:rPr>
                <w:rFonts w:ascii="Times New Roman" w:hAnsi="Times New Roman"/>
                <w:sz w:val="16"/>
              </w:rPr>
              <w:t>1604 South West Avenue</w:t>
            </w:r>
          </w:p>
          <w:p>
            <w:pPr>
              <w:pStyle w:val="TableContents"/>
              <w:bidi w:val="0"/>
              <w:spacing w:before="0" w:after="20"/>
              <w:jc w:val="left"/>
              <w:rPr>
                <w:rFonts w:ascii="Times New Roman" w:hAnsi="Times New Roman"/>
                <w:sz w:val="16"/>
              </w:rPr>
            </w:pPr>
            <w:r>
              <w:rPr>
                <w:rFonts w:ascii="Times New Roman" w:hAnsi="Times New Roman"/>
                <w:sz w:val="16"/>
              </w:rPr>
              <w:t>Waukesha, WI 53186</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Diversified Consumer Services</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jc w:val="center"/>
              <w:rPr/>
            </w:pPr>
            <w:r>
              <w:rPr/>
              <w:t>First Lien Secured Debt,</w:t>
            </w:r>
          </w:p>
          <w:p>
            <w:pPr>
              <w:pStyle w:val="TableContents"/>
              <w:bidi w:val="0"/>
              <w:spacing w:before="0" w:after="0"/>
              <w:jc w:val="center"/>
              <w:rPr/>
            </w:pPr>
            <w:r>
              <w:rPr/>
              <w:t>—</w:t>
            </w:r>
            <w:r>
              <w:rPr>
                <w:rFonts w:ascii="Times New Roman" w:hAnsi="Times New Roman"/>
                <w:sz w:val="16"/>
              </w:rPr>
              <w:t>(4), 05/25/2029</w:t>
            </w:r>
          </w:p>
          <w:p>
            <w:pPr>
              <w:pStyle w:val="TableContents"/>
              <w:bidi w:val="0"/>
              <w:spacing w:before="0" w:after="0"/>
              <w:jc w:val="center"/>
              <w:rPr>
                <w:rFonts w:ascii="Times New Roman" w:hAnsi="Times New Roman"/>
                <w:sz w:val="16"/>
              </w:rPr>
            </w:pPr>
            <w:r>
              <w:rPr>
                <w:rFonts w:ascii="Times New Roman" w:hAnsi="Times New Roman"/>
                <w:sz w:val="16"/>
              </w:rPr>
              <w:t>12.56% Fixed, 05/19/2029</w:t>
            </w:r>
          </w:p>
          <w:p>
            <w:pPr>
              <w:pStyle w:val="TableContents"/>
              <w:bidi w:val="0"/>
              <w:spacing w:before="0" w:after="20"/>
              <w:jc w:val="center"/>
              <w:rPr>
                <w:rFonts w:ascii="Times New Roman" w:hAnsi="Times New Roman"/>
                <w:sz w:val="16"/>
              </w:rPr>
            </w:pPr>
            <w:r>
              <w:rPr>
                <w:rFonts w:ascii="Times New Roman" w:hAnsi="Times New Roman"/>
                <w:sz w:val="16"/>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601</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pPr>
            <w:r>
              <w:rPr/>
              <w:t>Exigo Intermediate II, LLC</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Software</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587</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(Exigo, LLC)</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 xml:space="preserve">— </w:t>
            </w:r>
            <w:r>
              <w:rPr/>
              <w:t>, 03/15/2027</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1256 Main Street, Suite 256</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Southlake, TX 76092</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pPr>
            <w:r>
              <w:rPr/>
              <w:t>Fairbanks Morse Defense</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997</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655 3rd St Suite 301</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3M S+501, 06/23/2028</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Beloit, WI 53511</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pPr>
            <w:r>
              <w:rPr/>
              <w:t>FedHC InvestCo LP(5)</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Common Equity(4)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1,985</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3100 Clarendon Blvd</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Arlington, VA 22201</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pPr>
            <w:r>
              <w:rPr/>
              <w:t>Five Star Buyer, Inc.</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Hotels, Restaurants and Leisure</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5,061</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(Five Star Parent Holdings, LLC)</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3M S+710, 02/23/2028</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3388 Green Mountain Dr</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Branson, MO 65616</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pPr>
            <w:r>
              <w:rPr/>
              <w:t>GCOM InvestCo LP</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IT Services</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4,557</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9175 Guilford Road, Suite 101</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Columbia, MD 21046</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pPr>
            <w:r>
              <w:rPr/>
              <w:t>Global Holdings InterCo LLC</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Diversified Financial Services</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4,761</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4343 South 118th East Ave Suite 220</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3M S+610, 03/16/2026</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Tulsa, OK 74146</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vMerge w:val="restart"/>
            <w:tcBorders/>
            <w:vAlign w:val="center"/>
          </w:tcPr>
          <w:p>
            <w:pPr>
              <w:pStyle w:val="TableContents"/>
              <w:bidi w:val="0"/>
              <w:spacing w:before="0" w:after="0"/>
              <w:jc w:val="left"/>
              <w:rPr>
                <w:rFonts w:ascii="Times New Roman" w:hAnsi="Times New Roman"/>
                <w:sz w:val="16"/>
              </w:rPr>
            </w:pPr>
            <w:r>
              <w:rPr>
                <w:rFonts w:ascii="Times New Roman" w:hAnsi="Times New Roman"/>
                <w:sz w:val="16"/>
              </w:rPr>
              <w:t>Graffiti Buyer, Inc.</w:t>
            </w:r>
          </w:p>
          <w:p>
            <w:pPr>
              <w:pStyle w:val="TableContents"/>
              <w:bidi w:val="0"/>
              <w:spacing w:before="0" w:after="0"/>
              <w:jc w:val="left"/>
              <w:rPr>
                <w:rFonts w:ascii="Times New Roman" w:hAnsi="Times New Roman"/>
                <w:sz w:val="16"/>
              </w:rPr>
            </w:pPr>
            <w:r>
              <w:rPr>
                <w:rFonts w:ascii="Times New Roman" w:hAnsi="Times New Roman"/>
                <w:sz w:val="16"/>
              </w:rPr>
              <w:t>25195 Brest Road</w:t>
            </w:r>
          </w:p>
          <w:p>
            <w:pPr>
              <w:pStyle w:val="TableContents"/>
              <w:bidi w:val="0"/>
              <w:spacing w:before="0" w:after="20"/>
              <w:jc w:val="left"/>
              <w:rPr>
                <w:rFonts w:ascii="Times New Roman" w:hAnsi="Times New Roman"/>
                <w:sz w:val="16"/>
              </w:rPr>
            </w:pPr>
            <w:r>
              <w:rPr>
                <w:rFonts w:ascii="Times New Roman" w:hAnsi="Times New Roman"/>
                <w:sz w:val="16"/>
              </w:rPr>
              <w:t>Taylor, MI 48180</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Trading Companies &amp;</w:t>
              <w:br/>
              <w:t>Distributors</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jc w:val="center"/>
              <w:rPr/>
            </w:pPr>
            <w:r>
              <w:rPr/>
              <w:t>First Lien Secured Debt(4),</w:t>
            </w:r>
          </w:p>
          <w:p>
            <w:pPr>
              <w:pStyle w:val="TableContents"/>
              <w:bidi w:val="0"/>
              <w:spacing w:before="0" w:after="20"/>
              <w:jc w:val="center"/>
              <w:rPr>
                <w:rFonts w:ascii="Times New Roman" w:hAnsi="Times New Roman"/>
                <w:sz w:val="16"/>
              </w:rPr>
            </w:pPr>
            <w:r>
              <w:rPr>
                <w:rFonts w:ascii="Times New Roman" w:hAnsi="Times New Roman"/>
                <w:sz w:val="16"/>
              </w:rPr>
              <w:t>3M S+560, 08/10/2027</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1,647</w:t>
            </w:r>
          </w:p>
        </w:tc>
        <w:tc>
          <w:tcPr>
            <w:tcW w:w="79" w:type="dxa"/>
            <w:tcBorders/>
            <w:vAlign w:val="center"/>
          </w:tcPr>
          <w:p>
            <w:pPr>
              <w:pStyle w:val="TableContents"/>
              <w:bidi w:val="0"/>
              <w:spacing w:before="0" w:after="283"/>
              <w:jc w:val="left"/>
              <w:rPr/>
            </w:pPr>
            <w:r>
              <w:rPr/>
              <w:t> </w:t>
            </w:r>
          </w:p>
        </w:tc>
      </w:tr>
      <w:tr>
        <w:trPr/>
        <w:tc>
          <w:tcPr>
            <w:tcW w:w="261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pPr>
            <w:r>
              <w:rPr/>
              <w:t>Hancock Roofing and Construction L.L.C.</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Insurance</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4,338</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(Hancock Claims Consultants Investors, LLC)(5)</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jc w:val="center"/>
              <w:rPr/>
            </w:pPr>
            <w:r>
              <w:rPr/>
              <w:t>3M S+560, 12/31/2026</w:t>
            </w:r>
          </w:p>
          <w:p>
            <w:pPr>
              <w:pStyle w:val="TableContents"/>
              <w:bidi w:val="0"/>
              <w:spacing w:before="0" w:after="20"/>
              <w:jc w:val="center"/>
              <w:rPr>
                <w:rFonts w:ascii="Times New Roman" w:hAnsi="Times New Roman"/>
                <w:sz w:val="16"/>
              </w:rPr>
            </w:pPr>
            <w:r>
              <w:rPr>
                <w:rFonts w:ascii="Times New Roman" w:hAnsi="Times New Roman"/>
                <w:sz w:val="16"/>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6875 Shiloh Rd. East</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Alpharetta, GA 30005</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sz w:val="4"/>
                <w:szCs w:val="4"/>
              </w:rPr>
            </w:pPr>
            <w:r>
              <w:rPr>
                <w:sz w:val="4"/>
                <w:szCs w:val="4"/>
              </w:rPr>
            </w:r>
          </w:p>
        </w:tc>
        <w:tc>
          <w:tcPr>
            <w:tcW w:w="2432" w:type="dxa"/>
            <w:gridSpan w:val="2"/>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553" w:type="dxa"/>
            <w:gridSpan w:val="4"/>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283"/>
              <w:jc w:val="left"/>
              <w:rPr/>
            </w:pPr>
            <w:r>
              <w:rPr/>
              <w:t>Hills Distribution Inc.</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center"/>
              <w:rPr/>
            </w:pPr>
            <w:r>
              <w:rPr/>
              <w:t>Distributors</w:t>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12,460</w:t>
            </w:r>
          </w:p>
        </w:tc>
        <w:tc>
          <w:tcPr>
            <w:tcW w:w="79" w:type="dxa"/>
            <w:tcBorders/>
            <w:vAlign w:val="center"/>
          </w:tcPr>
          <w:p>
            <w:pPr>
              <w:pStyle w:val="TableContents"/>
              <w:bidi w:val="0"/>
              <w:spacing w:before="0" w:after="283"/>
              <w:jc w:val="left"/>
              <w:rPr/>
            </w:pPr>
            <w:r>
              <w:rPr/>
              <w:t> </w:t>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(GMP Hills, L.P.)</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3M S+600, 11/07/2029</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 Brainard Road</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6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Hartford, CT 06114</w:t>
            </w:r>
          </w:p>
        </w:tc>
        <w:tc>
          <w:tcPr>
            <w:tcW w:w="60" w:type="dxa"/>
            <w:tcBorders/>
            <w:vAlign w:val="center"/>
          </w:tcPr>
          <w:p>
            <w:pPr>
              <w:pStyle w:val="TableContents"/>
              <w:bidi w:val="0"/>
              <w:spacing w:before="0" w:after="283"/>
              <w:jc w:val="left"/>
              <w:rPr/>
            </w:pPr>
            <w:r>
              <w:rPr/>
              <w:t> </w:t>
            </w:r>
          </w:p>
        </w:tc>
        <w:tc>
          <w:tcPr>
            <w:tcW w:w="2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99"/>
        <w:gridCol w:w="60"/>
        <w:gridCol w:w="2525"/>
        <w:gridCol w:w="60"/>
        <w:gridCol w:w="1838"/>
        <w:gridCol w:w="60"/>
        <w:gridCol w:w="225"/>
        <w:gridCol w:w="1207"/>
        <w:gridCol w:w="275"/>
        <w:gridCol w:w="60"/>
        <w:gridCol w:w="241"/>
        <w:gridCol w:w="1176"/>
        <w:gridCol w:w="79"/>
      </w:tblGrid>
      <w:tr>
        <w:trPr/>
        <w:tc>
          <w:tcPr>
            <w:tcW w:w="2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1838" w:type="dxa"/>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283"/>
              <w:jc w:val="left"/>
              <w:rPr/>
            </w:pPr>
            <w:r>
              <w:rPr/>
              <w:t>HV Watterson Holdings, LLC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6" w:type="dxa"/>
            <w:tcBorders/>
            <w:vAlign w:val="center"/>
          </w:tcPr>
          <w:p>
            <w:pPr>
              <w:pStyle w:val="TableContents"/>
              <w:bidi w:val="0"/>
              <w:spacing w:before="0" w:after="283"/>
              <w:jc w:val="right"/>
              <w:rPr/>
            </w:pPr>
            <w:r>
              <w:rPr/>
              <w:t>84</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1821 Walden Office Square Unit 111</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Schaumburg, IL 60173</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HW Holdco, LLC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Media</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10,312</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One Thomas Circle, NW Suite 600</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1M S+640, 05/10/2026</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Washington, D.C. 20005</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Icon Partners V C, L.P.</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Internet Software and Services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Common Equity(4)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1,733</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315 Capitol St Suite 100</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Houston, TX 77002</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ITC Infusion Co-Invest, LP(5)</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Healthcare Equipment and</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1,651</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3609 Park East Drive</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Supplies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Beachwood, OH 44122</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IG Investments Holdings, LLC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4,308</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1224 Hammond Drive, Suite 1500</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3M S+610, 09/22/2028</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Atlanta, GA 30346</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Imagine Acquisitionco, LLC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Software</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1,376</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(Imagine Topco, LP)</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 xml:space="preserve">— </w:t>
            </w:r>
            <w:r>
              <w:rPr/>
              <w:t>, 11/15/2027</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8757 Red Oak Blvd,</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Preferred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Charlotte, NC 28217</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Inception Fertility Ventures, LLC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Healthcare Providers and Services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23,538</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4828 Loop Central Drive, Suite 900</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3M S+725, 12/31/2024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Houston, TX 77081</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Infinity Home Services Holdco, Inc.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Commercial Services &amp; Supplies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5,834</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(IHS Parent Holdings, L.P.)</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3M S+685, 12/28/2028</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16600 W Cleveland Ave</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New Berlin, WI 53151</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Infolinks Media Buyco, LLC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Media</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3,321</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(Tower Arch Infolinks Media, LP)(5)</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3M S+585, 11/01/2026</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45 North Broad Street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Common Equity(4)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Ridgewood, NJ 07450</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Integrative Nutrition, LLC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Consumer Services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14,500</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(IIN Group Holdings, LLC)(5)</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3M S+715 (PIK 2.25%),</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245 5th Avenue</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01/31/2025</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New York, NY 10016</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Integrity Marketing Acquisition, LLC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Insurance</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15,942</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1445 Ross Avenue, 22nd Floor</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3M S+615, 08/27/2026</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Dallas, TX 75202</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ITC Rumba, LLC(5)</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Healthcare and Pharmaceuticals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9725 NW 117th Ave #200,</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Miami, FL 33178</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Inventus Power, Inc.</w:t>
            </w:r>
          </w:p>
          <w:p>
            <w:pPr>
              <w:pStyle w:val="TableContents"/>
              <w:bidi w:val="0"/>
              <w:spacing w:before="0" w:after="0"/>
              <w:jc w:val="left"/>
              <w:rPr>
                <w:rFonts w:ascii="Times New Roman" w:hAnsi="Times New Roman"/>
                <w:sz w:val="16"/>
              </w:rPr>
            </w:pPr>
            <w:r>
              <w:rPr>
                <w:rFonts w:ascii="Times New Roman" w:hAnsi="Times New Roman"/>
                <w:sz w:val="16"/>
              </w:rPr>
              <w:t>1200 Internationale Parkway</w:t>
            </w:r>
          </w:p>
          <w:p>
            <w:pPr>
              <w:pStyle w:val="TableContents"/>
              <w:bidi w:val="0"/>
              <w:spacing w:before="0" w:after="20"/>
              <w:jc w:val="left"/>
              <w:rPr>
                <w:rFonts w:ascii="Times New Roman" w:hAnsi="Times New Roman"/>
                <w:sz w:val="16"/>
              </w:rPr>
            </w:pPr>
            <w:r>
              <w:rPr>
                <w:rFonts w:ascii="Times New Roman" w:hAnsi="Times New Roman"/>
                <w:sz w:val="16"/>
              </w:rPr>
              <w:t>Woodridge, IL 60517</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Electronic Equipment,</w:t>
              <w:br/>
              <w:t>Instruments, and Components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jc w:val="center"/>
              <w:rPr/>
            </w:pPr>
            <w:r>
              <w:rPr/>
              <w:t>First Lien Secured Debt(4),</w:t>
            </w:r>
          </w:p>
          <w:p>
            <w:pPr>
              <w:pStyle w:val="TableContents"/>
              <w:bidi w:val="0"/>
              <w:spacing w:before="0" w:after="20"/>
              <w:jc w:val="center"/>
              <w:rPr>
                <w:rFonts w:ascii="Times New Roman" w:hAnsi="Times New Roman"/>
                <w:sz w:val="16"/>
              </w:rPr>
            </w:pPr>
            <w:r>
              <w:rPr>
                <w:rFonts w:ascii="Times New Roman" w:hAnsi="Times New Roman"/>
                <w:sz w:val="16"/>
              </w:rPr>
              <w:t>3M S+761, 06/30/2025</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4,829</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ITI Holdings, Inc.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IT Services</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573</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2980 E. Coliseum Blvd.</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3M S+560, 03/03/2028</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Fort Wayne, IN 46805</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sz w:val="4"/>
                <w:szCs w:val="4"/>
              </w:rPr>
            </w:pPr>
            <w:r>
              <w:rPr>
                <w:sz w:val="4"/>
                <w:szCs w:val="4"/>
              </w:rPr>
            </w:r>
          </w:p>
        </w:tc>
        <w:tc>
          <w:tcPr>
            <w:tcW w:w="2585" w:type="dxa"/>
            <w:gridSpan w:val="2"/>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c>
          <w:tcPr>
            <w:tcW w:w="1767" w:type="dxa"/>
            <w:gridSpan w:val="4"/>
            <w:tcBorders/>
            <w:vAlign w:val="center"/>
          </w:tcPr>
          <w:p>
            <w:pPr>
              <w:pStyle w:val="TableContents"/>
              <w:bidi w:val="0"/>
              <w:spacing w:before="0" w:after="283"/>
              <w:jc w:val="left"/>
              <w:rPr>
                <w:sz w:val="4"/>
                <w:szCs w:val="4"/>
              </w:rPr>
            </w:pPr>
            <w:r>
              <w:rPr>
                <w:sz w:val="4"/>
                <w:szCs w:val="4"/>
              </w:rPr>
            </w:r>
          </w:p>
        </w:tc>
        <w:tc>
          <w:tcPr>
            <w:tcW w:w="1556" w:type="dxa"/>
            <w:gridSpan w:val="4"/>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283"/>
              <w:jc w:val="left"/>
              <w:rPr/>
            </w:pPr>
            <w:r>
              <w:rPr/>
              <w:t>Keel Platform, LLC</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Metals and Mining</w:t>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right"/>
              <w:rPr/>
            </w:pPr>
            <w:r>
              <w:rPr/>
              <w:t>10,726</w:t>
            </w:r>
          </w:p>
        </w:tc>
        <w:tc>
          <w:tcPr>
            <w:tcW w:w="79" w:type="dxa"/>
            <w:tcBorders/>
            <w:vAlign w:val="center"/>
          </w:tcPr>
          <w:p>
            <w:pPr>
              <w:pStyle w:val="TableContents"/>
              <w:bidi w:val="0"/>
              <w:spacing w:before="0" w:after="283"/>
              <w:jc w:val="left"/>
              <w:rPr/>
            </w:pPr>
            <w:r>
              <w:rPr/>
              <w:t> </w:t>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Building 1 9801, 9801 US-78</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center"/>
              <w:rPr/>
            </w:pPr>
            <w:r>
              <w:rPr/>
              <w:t>3M S+525, 01/19/2031</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Ladson, SC 29456</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tbl>
      <w:tblPr>
        <w:tblW w:w="10590" w:type="dxa"/>
        <w:jc w:val="left"/>
        <w:tblInd w:w="0" w:type="dxa"/>
        <w:tblLayout w:type="fixed"/>
        <w:tblCellMar>
          <w:top w:w="0" w:type="dxa"/>
          <w:left w:w="0" w:type="dxa"/>
          <w:bottom w:w="0" w:type="dxa"/>
          <w:right w:w="0" w:type="dxa"/>
        </w:tblCellMar>
      </w:tblPr>
      <w:tblGrid>
        <w:gridCol w:w="1835"/>
        <w:gridCol w:w="60"/>
        <w:gridCol w:w="3020"/>
        <w:gridCol w:w="60"/>
        <w:gridCol w:w="2360"/>
        <w:gridCol w:w="60"/>
        <w:gridCol w:w="221"/>
        <w:gridCol w:w="1179"/>
        <w:gridCol w:w="275"/>
        <w:gridCol w:w="60"/>
        <w:gridCol w:w="236"/>
        <w:gridCol w:w="1149"/>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3020"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2360" w:type="dxa"/>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Kinetic Purchaser, LLC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Personal Products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19,735</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12552 S. 125 West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S+615, 11/10/2027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Draper, UT 84020</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Lash OpCo, LLC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Personal Products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21,041</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(Gauge Lash Coinvest LLC)</w:t>
            </w:r>
          </w:p>
          <w:p>
            <w:pPr>
              <w:pStyle w:val="TableContents"/>
              <w:bidi w:val="0"/>
              <w:spacing w:before="0" w:after="0"/>
              <w:jc w:val="left"/>
              <w:rPr>
                <w:rFonts w:ascii="Times New Roman" w:hAnsi="Times New Roman"/>
                <w:sz w:val="16"/>
              </w:rPr>
            </w:pPr>
            <w:r>
              <w:rPr>
                <w:rFonts w:ascii="Times New Roman" w:hAnsi="Times New Roman"/>
                <w:sz w:val="16"/>
              </w:rPr>
              <w:t>1256 Main Street, Suite 256</w:t>
            </w:r>
          </w:p>
          <w:p>
            <w:pPr>
              <w:pStyle w:val="TableContents"/>
              <w:bidi w:val="0"/>
              <w:spacing w:before="0" w:after="20"/>
              <w:jc w:val="left"/>
              <w:rPr>
                <w:rFonts w:ascii="Times New Roman" w:hAnsi="Times New Roman"/>
                <w:sz w:val="16"/>
              </w:rPr>
            </w:pPr>
            <w:r>
              <w:rPr>
                <w:rFonts w:ascii="Times New Roman" w:hAnsi="Times New Roman"/>
                <w:sz w:val="16"/>
              </w:rPr>
              <w:t>Southlake, TX 76092</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jc w:val="center"/>
              <w:rPr/>
            </w:pPr>
            <w:r>
              <w:rPr/>
              <w:t>1M S+810 (PIK 5.10%),</w:t>
              <w:br/>
              <w:t>02/18/2027</w:t>
            </w:r>
          </w:p>
          <w:p>
            <w:pPr>
              <w:pStyle w:val="TableContents"/>
              <w:bidi w:val="0"/>
              <w:spacing w:before="0" w:after="20"/>
              <w:jc w:val="center"/>
              <w:rPr>
                <w:rFonts w:ascii="Times New Roman" w:hAnsi="Times New Roman"/>
                <w:sz w:val="16"/>
              </w:rPr>
            </w:pPr>
            <w:r>
              <w:rPr>
                <w:rFonts w:ascii="Times New Roman" w:hAnsi="Times New Roman"/>
                <w:sz w:val="16"/>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LAV Gear Holdings, Inc.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Capital Equipment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14,594</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3165 W Sunset Rd,</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S+640, 10/31/25</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Las Vegas, NV 89118</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Ledge Lounger, Inc.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Leisure Products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4,468</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(SP L2 Holdings, LLC)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S+665, 11/09/2026</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616 Cane Island Pkwy Suite 200</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Katy, TX 77494</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Lightspeed Buyer Inc.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Healthcare Technology</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24,268</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(Lightspeed Investment Holdco LLC)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S+535, 02/03/2026</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1457 East 40th Street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Cleveland, OH 44103</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LJ Avalon Holdings, LLC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Construction &amp; Engineering</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3,001</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(LJ Avalon LP)</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S+640, 02/01/2030</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4921 Memorial Hwy, Suite 300</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Tampa, FL 33634</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Loving Tan Intermediate II, Inc.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Personal Products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22,121</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(Gauge Loving Tan, LP)</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S+700, 05/31/2028</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857 Post Rd, Suite 348</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Fairfield, CT 06824</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LSF9 Atlantis Holdings, LLC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Specialty Retail</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5,581</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8510 Colonnade Center Dr.</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S+650, 06/30/2029</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Unit 300</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Raleigh, MN 27615</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Lucky Bucks, LLC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Hotels, Restaurants and Leisure</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2,885</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5820 Live Oak Parkway #300</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S+765, 10/02/2028</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Norcross, GA 30093</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MAG DS Corp.</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3,485</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2730 Fair Lakes Circle</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S+550, 04/01/2027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Fairfax VA, 22033</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Magnolia Topco LP(5)</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Automobiles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Preferred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5821 Fairview Road</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Charlotte, NC 28209</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Mars Acquisition Holdings Corp.</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Media</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10,213</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(Mars Intermediate Holdings II, Inc.)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S+565, 05/14/2026</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25200 Telegraph Rd., 5th Floor</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Preferred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Southfield, MI 48033</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MBS Holdings, Inc.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Internet Software and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880 Montclair Road Suite 400</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 xml:space="preserve">— </w:t>
            </w:r>
            <w:r>
              <w:rPr/>
              <w:t>, 04/16/2027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Birmingham, AL 35213</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08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MDI Buyer, Inc.</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center"/>
              <w:rPr/>
            </w:pPr>
            <w:r>
              <w:rPr/>
              <w:t>Commodity Chemicals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3,702</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(MDI Aggregator, LP)</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S+550, 07/25/2028</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740 W Knox Road</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Tempe, AZ 85284</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982"/>
        <w:gridCol w:w="60"/>
        <w:gridCol w:w="2714"/>
        <w:gridCol w:w="60"/>
        <w:gridCol w:w="2096"/>
        <w:gridCol w:w="60"/>
        <w:gridCol w:w="221"/>
        <w:gridCol w:w="1184"/>
        <w:gridCol w:w="275"/>
        <w:gridCol w:w="60"/>
        <w:gridCol w:w="237"/>
        <w:gridCol w:w="1154"/>
        <w:gridCol w:w="60"/>
        <w:gridCol w:w="42"/>
      </w:tblGrid>
      <w:tr>
        <w:trPr/>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2714"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2096" w:type="dxa"/>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1405"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Meadowlark Acquirer, LLC</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1154" w:type="dxa"/>
            <w:tcBorders/>
            <w:vAlign w:val="center"/>
          </w:tcPr>
          <w:p>
            <w:pPr>
              <w:pStyle w:val="TableContents"/>
              <w:bidi w:val="0"/>
              <w:spacing w:before="0" w:after="283"/>
              <w:jc w:val="right"/>
              <w:rPr/>
            </w:pPr>
            <w:r>
              <w:rPr/>
              <w:t>1,895</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(Meadowlark Title, LLC)(5)</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S+565, 12/10/2027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888 Boylston, Ste. 1600,</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Boston, MA, 02199</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vMerge w:val="restart"/>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Medina Health, LLC</w:t>
            </w:r>
          </w:p>
          <w:p>
            <w:pPr>
              <w:pStyle w:val="TableContents"/>
              <w:bidi w:val="0"/>
              <w:spacing w:before="0" w:after="0"/>
              <w:jc w:val="left"/>
              <w:rPr>
                <w:rFonts w:ascii="Times New Roman" w:hAnsi="Times New Roman"/>
                <w:sz w:val="16"/>
              </w:rPr>
            </w:pPr>
            <w:r>
              <w:rPr>
                <w:rFonts w:ascii="Times New Roman" w:hAnsi="Times New Roman"/>
                <w:sz w:val="16"/>
              </w:rPr>
              <w:t>(New Medina Health, LLC)(5)</w:t>
            </w:r>
          </w:p>
          <w:p>
            <w:pPr>
              <w:pStyle w:val="TableContents"/>
              <w:bidi w:val="0"/>
              <w:spacing w:before="0" w:after="0"/>
              <w:jc w:val="left"/>
              <w:rPr>
                <w:rFonts w:ascii="Times New Roman" w:hAnsi="Times New Roman"/>
                <w:sz w:val="16"/>
              </w:rPr>
            </w:pPr>
            <w:r>
              <w:rPr>
                <w:rFonts w:ascii="Times New Roman" w:hAnsi="Times New Roman"/>
                <w:sz w:val="16"/>
              </w:rPr>
              <w:t>One Parkview Plaza,</w:t>
            </w:r>
          </w:p>
          <w:p>
            <w:pPr>
              <w:pStyle w:val="TableContents"/>
              <w:bidi w:val="0"/>
              <w:spacing w:before="0" w:after="20"/>
              <w:jc w:val="left"/>
              <w:rPr>
                <w:rFonts w:ascii="Times New Roman" w:hAnsi="Times New Roman"/>
                <w:sz w:val="16"/>
              </w:rPr>
            </w:pPr>
            <w:r>
              <w:rPr>
                <w:rFonts w:ascii="Times New Roman" w:hAnsi="Times New Roman"/>
                <w:sz w:val="16"/>
              </w:rPr>
              <w:t>Oakbrook Terrace, IL 60181</w:t>
            </w:r>
          </w:p>
        </w:tc>
        <w:tc>
          <w:tcPr>
            <w:tcW w:w="60" w:type="dxa"/>
            <w:vMerge w:val="restart"/>
            <w:tcBorders/>
            <w:vAlign w:val="center"/>
          </w:tcPr>
          <w:p>
            <w:pPr>
              <w:pStyle w:val="TableContents"/>
              <w:bidi w:val="0"/>
              <w:spacing w:before="0" w:after="283"/>
              <w:jc w:val="left"/>
              <w:rPr/>
            </w:pPr>
            <w:r>
              <w:rPr/>
              <w:t> </w:t>
            </w:r>
          </w:p>
        </w:tc>
        <w:tc>
          <w:tcPr>
            <w:tcW w:w="2714" w:type="dxa"/>
            <w:vMerge w:val="restart"/>
            <w:tcBorders/>
            <w:vAlign w:val="center"/>
          </w:tcPr>
          <w:p>
            <w:pPr>
              <w:pStyle w:val="TableContents"/>
              <w:bidi w:val="0"/>
              <w:spacing w:before="0" w:after="283"/>
              <w:jc w:val="center"/>
              <w:rPr/>
            </w:pPr>
            <w:r>
              <w:rPr/>
              <w:t>Healthcare Providers and</w:t>
              <w:br/>
              <w:t>Services</w:t>
            </w:r>
          </w:p>
        </w:tc>
        <w:tc>
          <w:tcPr>
            <w:tcW w:w="60" w:type="dxa"/>
            <w:vMerge w:val="restart"/>
            <w:tcBorders/>
            <w:vAlign w:val="center"/>
          </w:tcPr>
          <w:p>
            <w:pPr>
              <w:pStyle w:val="TableContents"/>
              <w:bidi w:val="0"/>
              <w:spacing w:before="0" w:after="283"/>
              <w:jc w:val="left"/>
              <w:rPr/>
            </w:pPr>
            <w:r>
              <w:rPr/>
              <w:t> </w:t>
            </w:r>
          </w:p>
        </w:tc>
        <w:tc>
          <w:tcPr>
            <w:tcW w:w="2096" w:type="dxa"/>
            <w:vMerge w:val="restart"/>
            <w:tcBorders/>
            <w:vAlign w:val="center"/>
          </w:tcPr>
          <w:p>
            <w:pPr>
              <w:pStyle w:val="TableContents"/>
              <w:bidi w:val="0"/>
              <w:jc w:val="center"/>
              <w:rPr/>
            </w:pPr>
            <w:r>
              <w:rPr/>
              <w:t>First Lien Secured Debt(4),</w:t>
            </w:r>
          </w:p>
          <w:p>
            <w:pPr>
              <w:pStyle w:val="TableContents"/>
              <w:bidi w:val="0"/>
              <w:spacing w:before="0" w:after="0"/>
              <w:jc w:val="center"/>
              <w:rPr>
                <w:rFonts w:ascii="Times New Roman" w:hAnsi="Times New Roman"/>
                <w:sz w:val="16"/>
              </w:rPr>
            </w:pPr>
            <w:r>
              <w:rPr>
                <w:rFonts w:ascii="Times New Roman" w:hAnsi="Times New Roman"/>
                <w:sz w:val="16"/>
              </w:rPr>
              <w:t>3M S+625, 10/20/2028</w:t>
            </w:r>
          </w:p>
          <w:p>
            <w:pPr>
              <w:pStyle w:val="TableContents"/>
              <w:bidi w:val="0"/>
              <w:spacing w:before="0" w:after="20"/>
              <w:jc w:val="center"/>
              <w:rPr>
                <w:rFonts w:ascii="Times New Roman" w:hAnsi="Times New Roman"/>
                <w:sz w:val="16"/>
              </w:rPr>
            </w:pPr>
            <w:r>
              <w:rPr>
                <w:rFonts w:ascii="Times New Roman" w:hAnsi="Times New Roman"/>
                <w:sz w:val="16"/>
              </w:rPr>
              <w:t>Common Equity</w:t>
            </w:r>
          </w:p>
        </w:tc>
        <w:tc>
          <w:tcPr>
            <w:tcW w:w="60" w:type="dxa"/>
            <w:vMerge w:val="restart"/>
            <w:tcBorders/>
            <w:vAlign w:val="center"/>
          </w:tcPr>
          <w:p>
            <w:pPr>
              <w:pStyle w:val="TableContents"/>
              <w:bidi w:val="0"/>
              <w:spacing w:before="0" w:after="283"/>
              <w:jc w:val="left"/>
              <w:rPr/>
            </w:pPr>
            <w:r>
              <w:rPr/>
              <w:t> </w:t>
            </w:r>
          </w:p>
        </w:tc>
        <w:tc>
          <w:tcPr>
            <w:tcW w:w="221" w:type="dxa"/>
            <w:vMerge w:val="restart"/>
            <w:tcBorders/>
            <w:vAlign w:val="center"/>
          </w:tcPr>
          <w:p>
            <w:pPr>
              <w:pStyle w:val="TableContents"/>
              <w:bidi w:val="0"/>
              <w:spacing w:before="0" w:after="283"/>
              <w:jc w:val="left"/>
              <w:rPr/>
            </w:pPr>
            <w:r>
              <w:rPr/>
              <w:t> </w:t>
            </w:r>
          </w:p>
        </w:tc>
        <w:tc>
          <w:tcPr>
            <w:tcW w:w="1184" w:type="dxa"/>
            <w:vMerge w:val="restart"/>
            <w:tcBorders/>
            <w:vAlign w:val="center"/>
          </w:tcPr>
          <w:p>
            <w:pPr>
              <w:pStyle w:val="TableContents"/>
              <w:bidi w:val="0"/>
              <w:spacing w:before="0" w:after="283"/>
              <w:jc w:val="right"/>
              <w:rPr/>
            </w:pPr>
            <w:r>
              <w:rPr/>
              <w:t>1.7</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37" w:type="dxa"/>
            <w:vMerge w:val="restart"/>
            <w:tcBorders/>
            <w:vAlign w:val="center"/>
          </w:tcPr>
          <w:p>
            <w:pPr>
              <w:pStyle w:val="TableContents"/>
              <w:bidi w:val="0"/>
              <w:spacing w:before="0" w:after="283"/>
              <w:jc w:val="left"/>
              <w:rPr/>
            </w:pPr>
            <w:r>
              <w:rPr/>
              <w:t> </w:t>
            </w:r>
          </w:p>
        </w:tc>
        <w:tc>
          <w:tcPr>
            <w:tcW w:w="1154" w:type="dxa"/>
            <w:vMerge w:val="restart"/>
            <w:tcBorders/>
            <w:vAlign w:val="center"/>
          </w:tcPr>
          <w:p>
            <w:pPr>
              <w:pStyle w:val="TableContents"/>
              <w:bidi w:val="0"/>
              <w:spacing w:before="0" w:after="283"/>
              <w:jc w:val="right"/>
              <w:rPr/>
            </w:pPr>
            <w:r>
              <w:rPr/>
              <w:t>21,471</w:t>
            </w:r>
          </w:p>
        </w:tc>
        <w:tc>
          <w:tcPr>
            <w:tcW w:w="60" w:type="dxa"/>
            <w:vMerge w:val="restart"/>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96"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84"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7" w:type="dxa"/>
            <w:vMerge w:val="continue"/>
            <w:tcBorders/>
            <w:vAlign w:val="center"/>
          </w:tcPr>
          <w:p>
            <w:pPr>
              <w:pStyle w:val="Normal"/>
              <w:bidi w:val="0"/>
              <w:jc w:val="left"/>
              <w:rPr/>
            </w:pPr>
            <w:r>
              <w:rPr/>
            </w:r>
          </w:p>
        </w:tc>
        <w:tc>
          <w:tcPr>
            <w:tcW w:w="1154"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1982"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96"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84"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7" w:type="dxa"/>
            <w:vMerge w:val="continue"/>
            <w:tcBorders/>
            <w:vAlign w:val="center"/>
          </w:tcPr>
          <w:p>
            <w:pPr>
              <w:pStyle w:val="Normal"/>
              <w:bidi w:val="0"/>
              <w:jc w:val="left"/>
              <w:rPr/>
            </w:pPr>
            <w:r>
              <w:rPr/>
            </w:r>
          </w:p>
        </w:tc>
        <w:tc>
          <w:tcPr>
            <w:tcW w:w="1154"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1982"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096"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84"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7" w:type="dxa"/>
            <w:vMerge w:val="continue"/>
            <w:tcBorders/>
            <w:vAlign w:val="center"/>
          </w:tcPr>
          <w:p>
            <w:pPr>
              <w:pStyle w:val="Normal"/>
              <w:bidi w:val="0"/>
              <w:jc w:val="left"/>
              <w:rPr/>
            </w:pPr>
            <w:r>
              <w:rPr/>
            </w:r>
          </w:p>
        </w:tc>
        <w:tc>
          <w:tcPr>
            <w:tcW w:w="1154"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Megawatt Acquisitionco, Inc.</w:t>
            </w:r>
          </w:p>
        </w:tc>
        <w:tc>
          <w:tcPr>
            <w:tcW w:w="60" w:type="dxa"/>
            <w:vMerge w:val="restart"/>
            <w:tcBorders/>
            <w:vAlign w:val="center"/>
          </w:tcPr>
          <w:p>
            <w:pPr>
              <w:pStyle w:val="TableContents"/>
              <w:bidi w:val="0"/>
              <w:spacing w:before="0" w:after="283"/>
              <w:jc w:val="left"/>
              <w:rPr/>
            </w:pPr>
            <w:r>
              <w:rPr/>
              <w:t> </w:t>
            </w:r>
          </w:p>
        </w:tc>
        <w:tc>
          <w:tcPr>
            <w:tcW w:w="2714" w:type="dxa"/>
            <w:vMerge w:val="restart"/>
            <w:tcBorders/>
            <w:vAlign w:val="center"/>
          </w:tcPr>
          <w:p>
            <w:pPr>
              <w:pStyle w:val="TableContents"/>
              <w:bidi w:val="0"/>
              <w:spacing w:before="0" w:after="283"/>
              <w:jc w:val="center"/>
              <w:rPr/>
            </w:pPr>
            <w:r>
              <w:rPr/>
              <w:t>Electronic Equipment,</w:t>
              <w:br/>
              <w:t>Instruments, and Components</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23,449</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(Megawatt Acquisition Partners, LLC)</w:t>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S+625, 03/01/2030</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6060 Phyllis Dr</w:t>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Cypress, CA 90630</w:t>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pPr>
            <w:r>
              <w:rPr/>
              <w:t>Mission Critical Electronics, Inc.</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Capital Equipment</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3,202</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15272 Newsboy Circle</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S+625, 03/31/2025</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Huntington, CA 92649</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pPr>
            <w:r>
              <w:rPr/>
              <w:t>MOREGroup Holdings, Inc.</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Construction &amp; Engineering</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31,614</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801 Cherry Street Suite 500</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S+590, 01/16/2030</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Fort Worth, TX 76102</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pPr>
            <w:r>
              <w:rPr/>
              <w:t>Municipal Emergency Services, Inc.</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Distributors</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4,095</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12 Turnberry Ln</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S+515, 10/01/2027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Sandy Hook, CT 06482</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NBH Group LLC</w:t>
            </w:r>
          </w:p>
        </w:tc>
        <w:tc>
          <w:tcPr>
            <w:tcW w:w="60" w:type="dxa"/>
            <w:vMerge w:val="restart"/>
            <w:tcBorders/>
            <w:vAlign w:val="center"/>
          </w:tcPr>
          <w:p>
            <w:pPr>
              <w:pStyle w:val="TableContents"/>
              <w:bidi w:val="0"/>
              <w:spacing w:before="0" w:after="283"/>
              <w:jc w:val="left"/>
              <w:rPr/>
            </w:pPr>
            <w:r>
              <w:rPr/>
              <w:t> </w:t>
            </w:r>
          </w:p>
        </w:tc>
        <w:tc>
          <w:tcPr>
            <w:tcW w:w="2714" w:type="dxa"/>
            <w:vMerge w:val="restart"/>
            <w:tcBorders/>
            <w:vAlign w:val="center"/>
          </w:tcPr>
          <w:p>
            <w:pPr>
              <w:pStyle w:val="TableContents"/>
              <w:bidi w:val="0"/>
              <w:spacing w:before="0" w:after="283"/>
              <w:jc w:val="center"/>
              <w:rPr/>
            </w:pPr>
            <w:r>
              <w:rPr/>
              <w:t>Healthcare Equipment and</w:t>
              <w:br/>
              <w:t>Supplies</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3035 S Maryland Pkwy #110</w:t>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 xml:space="preserve">— </w:t>
            </w:r>
            <w:r>
              <w:rPr/>
              <w:t>, 08/19/2026</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Las Vegas, NV 89109</w:t>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pPr>
            <w:r>
              <w:rPr/>
              <w:t>Neptune Flood Incorporated</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Insurance</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400 6th St S</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 xml:space="preserve">— </w:t>
            </w:r>
            <w:r>
              <w:rPr/>
              <w:t>, 05/09/2029</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 Petersburg, FL 33701</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NORA Acquisition, LLC</w:t>
            </w:r>
          </w:p>
        </w:tc>
        <w:tc>
          <w:tcPr>
            <w:tcW w:w="60" w:type="dxa"/>
            <w:vMerge w:val="restart"/>
            <w:tcBorders/>
            <w:vAlign w:val="center"/>
          </w:tcPr>
          <w:p>
            <w:pPr>
              <w:pStyle w:val="TableContents"/>
              <w:bidi w:val="0"/>
              <w:spacing w:before="0" w:after="283"/>
              <w:jc w:val="left"/>
              <w:rPr/>
            </w:pPr>
            <w:r>
              <w:rPr/>
              <w:t> </w:t>
            </w:r>
          </w:p>
        </w:tc>
        <w:tc>
          <w:tcPr>
            <w:tcW w:w="2714" w:type="dxa"/>
            <w:vMerge w:val="restart"/>
            <w:tcBorders/>
            <w:vAlign w:val="center"/>
          </w:tcPr>
          <w:p>
            <w:pPr>
              <w:pStyle w:val="TableContents"/>
              <w:bidi w:val="0"/>
              <w:spacing w:before="0" w:after="283"/>
              <w:jc w:val="center"/>
              <w:rPr/>
            </w:pPr>
            <w:r>
              <w:rPr/>
              <w:t>Healthcare Providers and</w:t>
              <w:br/>
              <w:t>Services</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22,741</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(NORA Parent Holdings, LLC)(5)</w:t>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S+635, 08/31/2029</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3805 E Main St.</w:t>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 Charlees, IL 60174</w:t>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pPr>
            <w:r>
              <w:rPr/>
              <w:t>OHCP V BC COI, L.P.</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Distributors</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Common Equity(4)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990</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525 West Monroe Street</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Chicago, IL 60661</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pPr>
            <w:r>
              <w:rPr/>
              <w:t>Omnia Exterior Solutions, LLC</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Diversified Consumer Services</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10,790</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6650 Walnut Street</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S+550, 12/29/2029</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New Albany, OH 43054</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pPr>
            <w:r>
              <w:rPr/>
              <w:t>One Stop Mailing, LLC</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Air Freight and Logistics</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8,471</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601 Regency Drive</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S+636, 05/07/2027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Glendale Heights, IL 60139</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ORL Acquisition, Inc.</w:t>
            </w:r>
          </w:p>
        </w:tc>
        <w:tc>
          <w:tcPr>
            <w:tcW w:w="60" w:type="dxa"/>
            <w:vMerge w:val="restart"/>
            <w:tcBorders/>
            <w:vAlign w:val="center"/>
          </w:tcPr>
          <w:p>
            <w:pPr>
              <w:pStyle w:val="TableContents"/>
              <w:bidi w:val="0"/>
              <w:spacing w:before="0" w:after="283"/>
              <w:jc w:val="left"/>
              <w:rPr/>
            </w:pPr>
            <w:r>
              <w:rPr/>
              <w:t> </w:t>
            </w:r>
          </w:p>
        </w:tc>
        <w:tc>
          <w:tcPr>
            <w:tcW w:w="2714" w:type="dxa"/>
            <w:vMerge w:val="restart"/>
            <w:tcBorders/>
            <w:vAlign w:val="center"/>
          </w:tcPr>
          <w:p>
            <w:pPr>
              <w:pStyle w:val="TableContents"/>
              <w:bidi w:val="0"/>
              <w:spacing w:before="0" w:after="283"/>
              <w:jc w:val="center"/>
              <w:rPr/>
            </w:pPr>
            <w:r>
              <w:rPr/>
              <w:t>Consumer Finance</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3,523</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vMerge w:val="restart"/>
            <w:tcBorders/>
            <w:vAlign w:val="center"/>
          </w:tcPr>
          <w:p>
            <w:pPr>
              <w:pStyle w:val="TableContents"/>
              <w:bidi w:val="0"/>
              <w:spacing w:before="0" w:after="0"/>
              <w:jc w:val="left"/>
              <w:rPr>
                <w:rFonts w:ascii="Times New Roman" w:hAnsi="Times New Roman"/>
                <w:sz w:val="16"/>
              </w:rPr>
            </w:pPr>
            <w:r>
              <w:rPr>
                <w:rFonts w:ascii="Times New Roman" w:hAnsi="Times New Roman"/>
                <w:sz w:val="16"/>
              </w:rPr>
              <w:t>(ORL Holdco, Inc.)</w:t>
            </w:r>
          </w:p>
          <w:p>
            <w:pPr>
              <w:pStyle w:val="TableContents"/>
              <w:bidi w:val="0"/>
              <w:spacing w:before="0" w:after="0"/>
              <w:jc w:val="left"/>
              <w:rPr>
                <w:rFonts w:ascii="Times New Roman" w:hAnsi="Times New Roman"/>
                <w:sz w:val="16"/>
              </w:rPr>
            </w:pPr>
            <w:r>
              <w:rPr>
                <w:rFonts w:ascii="Times New Roman" w:hAnsi="Times New Roman"/>
                <w:sz w:val="16"/>
              </w:rPr>
              <w:t>5555 N Beach St #4100,</w:t>
            </w:r>
          </w:p>
          <w:p>
            <w:pPr>
              <w:pStyle w:val="TableContents"/>
              <w:bidi w:val="0"/>
              <w:spacing w:before="0" w:after="20"/>
              <w:jc w:val="left"/>
              <w:rPr>
                <w:rFonts w:ascii="Times New Roman" w:hAnsi="Times New Roman"/>
                <w:sz w:val="16"/>
              </w:rPr>
            </w:pPr>
            <w:r>
              <w:rPr>
                <w:rFonts w:ascii="Times New Roman" w:hAnsi="Times New Roman"/>
                <w:sz w:val="16"/>
              </w:rPr>
              <w:t>Fort Worth, TX 76137</w:t>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S+940 (PIK 2.00%),</w:t>
              <w:br/>
              <w:t>09/03/2027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Preferred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71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pPr>
            <w:r>
              <w:rPr/>
              <w:t>OSP Embedded Purchaser, LLC</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14,486</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(OSP Embedded Aggregator, LP)</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S+585, 12/15/2029</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2680 Grand Island Blvd, Suite 2</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Grand Island, NY 14072</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sz w:val="4"/>
                <w:szCs w:val="4"/>
              </w:rPr>
            </w:pPr>
            <w:r>
              <w:rPr>
                <w:sz w:val="4"/>
                <w:szCs w:val="4"/>
              </w:rPr>
            </w:r>
          </w:p>
        </w:tc>
        <w:tc>
          <w:tcPr>
            <w:tcW w:w="2774" w:type="dxa"/>
            <w:gridSpan w:val="2"/>
            <w:tcBorders/>
            <w:vAlign w:val="center"/>
          </w:tcPr>
          <w:p>
            <w:pPr>
              <w:pStyle w:val="TableContents"/>
              <w:bidi w:val="0"/>
              <w:spacing w:before="0" w:after="283"/>
              <w:jc w:val="left"/>
              <w:rPr>
                <w:sz w:val="4"/>
                <w:szCs w:val="4"/>
              </w:rPr>
            </w:pPr>
            <w:r>
              <w:rPr>
                <w:sz w:val="4"/>
                <w:szCs w:val="4"/>
              </w:rPr>
            </w:r>
          </w:p>
        </w:tc>
        <w:tc>
          <w:tcPr>
            <w:tcW w:w="2156" w:type="dxa"/>
            <w:gridSpan w:val="2"/>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11" w:type="dxa"/>
            <w:gridSpan w:val="4"/>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283"/>
              <w:jc w:val="left"/>
              <w:rPr/>
            </w:pPr>
            <w:r>
              <w:rPr/>
              <w:t>Output Services Group, Inc.</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center"/>
              <w:rPr/>
            </w:pPr>
            <w:r>
              <w:rPr/>
              <w:t>Business Services</w:t>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2,253</w:t>
            </w:r>
          </w:p>
        </w:tc>
        <w:tc>
          <w:tcPr>
            <w:tcW w:w="60" w:type="dxa"/>
            <w:tcBorders/>
            <w:vAlign w:val="center"/>
          </w:tcPr>
          <w:p>
            <w:pPr>
              <w:pStyle w:val="TableContents"/>
              <w:bidi w:val="0"/>
              <w:spacing w:before="0" w:after="283"/>
              <w:jc w:val="left"/>
              <w:rPr/>
            </w:pPr>
            <w:r>
              <w:rPr/>
              <w:t> </w:t>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775 Washington Ave</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3M S+843, 11/30/2028</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r>
        <w:trPr/>
        <w:tc>
          <w:tcPr>
            <w:tcW w:w="1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Carlstadt, NJ 07072</w:t>
            </w:r>
          </w:p>
        </w:tc>
        <w:tc>
          <w:tcPr>
            <w:tcW w:w="60" w:type="dxa"/>
            <w:tcBorders/>
            <w:vAlign w:val="center"/>
          </w:tcPr>
          <w:p>
            <w:pPr>
              <w:pStyle w:val="TableContents"/>
              <w:bidi w:val="0"/>
              <w:spacing w:before="0" w:after="283"/>
              <w:jc w:val="left"/>
              <w:rPr/>
            </w:pPr>
            <w:r>
              <w:rPr/>
              <w:t> </w:t>
            </w:r>
          </w:p>
        </w:tc>
        <w:tc>
          <w:tcPr>
            <w:tcW w:w="2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96"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345"/>
        <w:gridCol w:w="60"/>
        <w:gridCol w:w="2119"/>
        <w:gridCol w:w="60"/>
        <w:gridCol w:w="2169"/>
        <w:gridCol w:w="60"/>
        <w:gridCol w:w="169"/>
        <w:gridCol w:w="1246"/>
        <w:gridCol w:w="438"/>
        <w:gridCol w:w="60"/>
        <w:gridCol w:w="238"/>
        <w:gridCol w:w="1162"/>
        <w:gridCol w:w="79"/>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2119"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2169" w:type="dxa"/>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Owl Acquisition, LLC</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3,834</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47 Old Webster Road</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3M S+550, 02/04/2028</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Oxford, MA 01540</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Ox Two, LLC</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center"/>
              <w:rPr/>
            </w:pPr>
            <w:r>
              <w:rPr/>
              <w:t>Construction and Building</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22,736</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22260 Haggerty Road #365</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1M S+651, 05/18/2026</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Northville, MI 48167</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Pacific Purchaser, LLC</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1.3</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6,016</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(Consello Pacific Aggregator, LLC)(5)</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3M S+625, 09/30/2028</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3250 Wilshire Blvd # 900</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Los Angeles, CA 90010</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PCS Midco, Inc.</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0.2</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11,706</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(PCS Parent, LP)</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3M S+575, 03/01/2030</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9450 SW Gemini Dr</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Beaverton, OR 97008</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pPr>
            <w:r>
              <w:rPr/>
              <w:t>PennantPark-TSO Senior Loan Fund, LP(6)</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center"/>
              <w:rPr/>
            </w:pPr>
            <w:r>
              <w:rPr/>
              <w:t>Financial Services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4.99</w:t>
            </w:r>
          </w:p>
        </w:tc>
        <w:tc>
          <w:tcPr>
            <w:tcW w:w="438"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9,705</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1691 Michigan Avenue</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Miami, FL 33139</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 Acquisitionco, LLC</w:t>
            </w:r>
          </w:p>
        </w:tc>
        <w:tc>
          <w:tcPr>
            <w:tcW w:w="60" w:type="dxa"/>
            <w:vMerge w:val="restart"/>
            <w:tcBorders/>
            <w:vAlign w:val="center"/>
          </w:tcPr>
          <w:p>
            <w:pPr>
              <w:pStyle w:val="TableContents"/>
              <w:bidi w:val="0"/>
              <w:spacing w:before="0" w:after="283"/>
              <w:jc w:val="left"/>
              <w:rPr/>
            </w:pPr>
            <w:r>
              <w:rPr/>
              <w:t> </w:t>
            </w:r>
          </w:p>
        </w:tc>
        <w:tc>
          <w:tcPr>
            <w:tcW w:w="2119" w:type="dxa"/>
            <w:vMerge w:val="restart"/>
            <w:tcBorders/>
            <w:vAlign w:val="center"/>
          </w:tcPr>
          <w:p>
            <w:pPr>
              <w:pStyle w:val="TableContents"/>
              <w:bidi w:val="0"/>
              <w:spacing w:before="0" w:after="283"/>
              <w:jc w:val="center"/>
              <w:rPr/>
            </w:pPr>
            <w:r>
              <w:rPr/>
              <w:t>Textiles, Apparel and Luxury</w:t>
              <w:br/>
              <w:t>Goods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0.4</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4,879</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(Pink Lily Holdco, LLC)(5)</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3M S+710 (PIK 3.50%),</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323 Mitch McConnell Way</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11/09/2027</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Bowling Green KY 42101</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Preferred Equity</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PlayPower, Inc.</w:t>
            </w:r>
          </w:p>
        </w:tc>
        <w:tc>
          <w:tcPr>
            <w:tcW w:w="60" w:type="dxa"/>
            <w:vMerge w:val="restart"/>
            <w:tcBorders/>
            <w:vAlign w:val="center"/>
          </w:tcPr>
          <w:p>
            <w:pPr>
              <w:pStyle w:val="TableContents"/>
              <w:bidi w:val="0"/>
              <w:spacing w:before="0" w:after="283"/>
              <w:jc w:val="left"/>
              <w:rPr/>
            </w:pPr>
            <w:r>
              <w:rPr/>
              <w:t> </w:t>
            </w:r>
          </w:p>
        </w:tc>
        <w:tc>
          <w:tcPr>
            <w:tcW w:w="2119" w:type="dxa"/>
            <w:vMerge w:val="restart"/>
            <w:tcBorders/>
            <w:vAlign w:val="center"/>
          </w:tcPr>
          <w:p>
            <w:pPr>
              <w:pStyle w:val="TableContents"/>
              <w:bidi w:val="0"/>
              <w:spacing w:before="0" w:after="283"/>
              <w:jc w:val="center"/>
              <w:rPr/>
            </w:pPr>
            <w:r>
              <w:rPr/>
              <w:t>Leisure Products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3,314</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13310 James E. Casey Ave.</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1M S+565, 05/08/2026</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Englewood, CO 80112</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Pragmatic Institute, LLC</w:t>
            </w:r>
          </w:p>
        </w:tc>
        <w:tc>
          <w:tcPr>
            <w:tcW w:w="60" w:type="dxa"/>
            <w:vMerge w:val="restart"/>
            <w:tcBorders/>
            <w:vAlign w:val="center"/>
          </w:tcPr>
          <w:p>
            <w:pPr>
              <w:pStyle w:val="TableContents"/>
              <w:bidi w:val="0"/>
              <w:spacing w:before="0" w:after="283"/>
              <w:jc w:val="left"/>
              <w:rPr/>
            </w:pPr>
            <w:r>
              <w:rPr/>
              <w:t> </w:t>
            </w:r>
          </w:p>
        </w:tc>
        <w:tc>
          <w:tcPr>
            <w:tcW w:w="2119" w:type="dxa"/>
            <w:vMerge w:val="restart"/>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996</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8910 East Raintree Drive</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3M S+575, 07/06/2028</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Scottsdale, AZ 85620</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Quad (U.S.) Co-Invest, L.P.</w:t>
            </w:r>
          </w:p>
        </w:tc>
        <w:tc>
          <w:tcPr>
            <w:tcW w:w="60" w:type="dxa"/>
            <w:vMerge w:val="restart"/>
            <w:tcBorders/>
            <w:vAlign w:val="center"/>
          </w:tcPr>
          <w:p>
            <w:pPr>
              <w:pStyle w:val="TableContents"/>
              <w:bidi w:val="0"/>
              <w:spacing w:before="0" w:after="283"/>
              <w:jc w:val="left"/>
              <w:rPr/>
            </w:pPr>
            <w:r>
              <w:rPr/>
              <w:t> </w:t>
            </w:r>
          </w:p>
        </w:tc>
        <w:tc>
          <w:tcPr>
            <w:tcW w:w="2119" w:type="dxa"/>
            <w:vMerge w:val="restart"/>
            <w:tcBorders/>
            <w:vAlign w:val="center"/>
          </w:tcPr>
          <w:p>
            <w:pPr>
              <w:pStyle w:val="TableContents"/>
              <w:bidi w:val="0"/>
              <w:spacing w:before="0" w:after="283"/>
              <w:jc w:val="center"/>
              <w:rPr/>
            </w:pPr>
            <w:r>
              <w:rPr/>
              <w:t>Professional Services</w:t>
            </w:r>
          </w:p>
        </w:tc>
        <w:tc>
          <w:tcPr>
            <w:tcW w:w="60" w:type="dxa"/>
            <w:vMerge w:val="restart"/>
            <w:tcBorders/>
            <w:vAlign w:val="center"/>
          </w:tcPr>
          <w:p>
            <w:pPr>
              <w:pStyle w:val="TableContents"/>
              <w:bidi w:val="0"/>
              <w:spacing w:before="0" w:after="283"/>
              <w:jc w:val="left"/>
              <w:rPr/>
            </w:pPr>
            <w:r>
              <w:rPr/>
              <w:t> </w:t>
            </w:r>
          </w:p>
        </w:tc>
        <w:tc>
          <w:tcPr>
            <w:tcW w:w="2169" w:type="dxa"/>
            <w:vMerge w:val="restart"/>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321</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330 Old Country Rd</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16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Suite 300</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16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Mineola, NY 11501</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16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Quantic Electronics, LLC</w:t>
            </w:r>
          </w:p>
        </w:tc>
        <w:tc>
          <w:tcPr>
            <w:tcW w:w="60" w:type="dxa"/>
            <w:vMerge w:val="restart"/>
            <w:tcBorders/>
            <w:vAlign w:val="center"/>
          </w:tcPr>
          <w:p>
            <w:pPr>
              <w:pStyle w:val="TableContents"/>
              <w:bidi w:val="0"/>
              <w:spacing w:before="0" w:after="283"/>
              <w:jc w:val="left"/>
              <w:rPr/>
            </w:pPr>
            <w:r>
              <w:rPr/>
              <w:t> </w:t>
            </w:r>
          </w:p>
        </w:tc>
        <w:tc>
          <w:tcPr>
            <w:tcW w:w="2119" w:type="dxa"/>
            <w:vMerge w:val="restart"/>
            <w:tcBorders/>
            <w:vAlign w:val="center"/>
          </w:tcPr>
          <w:p>
            <w:pPr>
              <w:pStyle w:val="TableContents"/>
              <w:bidi w:val="0"/>
              <w:spacing w:before="0" w:after="283"/>
              <w:jc w:val="center"/>
              <w:rPr/>
            </w:pPr>
            <w:r>
              <w:rPr/>
              <w:t>Electronic Equipment,</w:t>
              <w:br/>
              <w:t>Instruments, and Components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6,467</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Four Embarcadero Center, Suite 3460</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1M S+635, 11/19/2026</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San Francisco, CA 94111</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QuantiTech LLC</w:t>
            </w:r>
          </w:p>
        </w:tc>
        <w:tc>
          <w:tcPr>
            <w:tcW w:w="60" w:type="dxa"/>
            <w:vMerge w:val="restart"/>
            <w:tcBorders/>
            <w:vAlign w:val="center"/>
          </w:tcPr>
          <w:p>
            <w:pPr>
              <w:pStyle w:val="TableContents"/>
              <w:bidi w:val="0"/>
              <w:spacing w:before="0" w:after="283"/>
              <w:jc w:val="left"/>
              <w:rPr/>
            </w:pPr>
            <w:r>
              <w:rPr/>
              <w:t> </w:t>
            </w:r>
          </w:p>
        </w:tc>
        <w:tc>
          <w:tcPr>
            <w:tcW w:w="2119" w:type="dxa"/>
            <w:vMerge w:val="restart"/>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Second Lien Secured Debt,</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0.2</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630</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(QuantiTech Investco LP)(5)</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3M S+1010, 02/04/2027</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(QuantiTech InvestCo II LP)(5)</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Common Equity(4)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360A-360D Quality Circle, Suite 100/430</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Huntsville, AL 35806</w:t>
            </w:r>
          </w:p>
        </w:tc>
        <w:tc>
          <w:tcPr>
            <w:tcW w:w="6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Questex, LLC</w:t>
            </w:r>
          </w:p>
        </w:tc>
        <w:tc>
          <w:tcPr>
            <w:tcW w:w="60" w:type="dxa"/>
            <w:vMerge w:val="restart"/>
            <w:tcBorders/>
            <w:vAlign w:val="center"/>
          </w:tcPr>
          <w:p>
            <w:pPr>
              <w:pStyle w:val="TableContents"/>
              <w:bidi w:val="0"/>
              <w:spacing w:before="0" w:after="283"/>
              <w:jc w:val="left"/>
              <w:rPr/>
            </w:pPr>
            <w:r>
              <w:rPr/>
              <w:t> </w:t>
            </w:r>
          </w:p>
        </w:tc>
        <w:tc>
          <w:tcPr>
            <w:tcW w:w="2119" w:type="dxa"/>
            <w:vMerge w:val="restart"/>
            <w:tcBorders/>
            <w:vAlign w:val="center"/>
          </w:tcPr>
          <w:p>
            <w:pPr>
              <w:pStyle w:val="TableContents"/>
              <w:bidi w:val="0"/>
              <w:spacing w:before="0" w:after="283"/>
              <w:jc w:val="center"/>
              <w:rPr/>
            </w:pPr>
            <w:r>
              <w:rPr/>
              <w:t>Media: Diversified and</w:t>
              <w:br/>
              <w:t>Production</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6,731</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275 Grove Street, Suite 2-130</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3M S+440, 09/09/2024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Newton, MA 02466</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Rancho Health MSO, Inc.</w:t>
            </w:r>
          </w:p>
        </w:tc>
        <w:tc>
          <w:tcPr>
            <w:tcW w:w="60" w:type="dxa"/>
            <w:vMerge w:val="restart"/>
            <w:tcBorders/>
            <w:vAlign w:val="center"/>
          </w:tcPr>
          <w:p>
            <w:pPr>
              <w:pStyle w:val="TableContents"/>
              <w:bidi w:val="0"/>
              <w:spacing w:before="0" w:after="283"/>
              <w:jc w:val="left"/>
              <w:rPr/>
            </w:pPr>
            <w:r>
              <w:rPr/>
              <w:t> </w:t>
            </w:r>
          </w:p>
        </w:tc>
        <w:tc>
          <w:tcPr>
            <w:tcW w:w="2119" w:type="dxa"/>
            <w:vMerge w:val="restart"/>
            <w:tcBorders/>
            <w:vAlign w:val="center"/>
          </w:tcPr>
          <w:p>
            <w:pPr>
              <w:pStyle w:val="TableContents"/>
              <w:bidi w:val="0"/>
              <w:spacing w:before="0" w:after="283"/>
              <w:jc w:val="center"/>
              <w:rPr/>
            </w:pPr>
            <w:r>
              <w:rPr/>
              <w:t>Healthcare Equipment and</w:t>
              <w:br/>
              <w:t>Supplies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0.7</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1,481</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(RFMG Parent, LP)</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3M S+440, 12/18/2025</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31720 Temecula Pkwy Suite 100</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Temecula, CA 92592</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c>
          <w:tcPr>
            <w:tcW w:w="2229" w:type="dxa"/>
            <w:gridSpan w:val="2"/>
            <w:tcBorders/>
            <w:vAlign w:val="center"/>
          </w:tcPr>
          <w:p>
            <w:pPr>
              <w:pStyle w:val="TableContents"/>
              <w:bidi w:val="0"/>
              <w:spacing w:before="0" w:after="283"/>
              <w:jc w:val="left"/>
              <w:rPr>
                <w:sz w:val="4"/>
                <w:szCs w:val="4"/>
              </w:rPr>
            </w:pPr>
            <w:r>
              <w:rPr>
                <w:sz w:val="4"/>
                <w:szCs w:val="4"/>
              </w:rPr>
            </w:r>
          </w:p>
        </w:tc>
        <w:tc>
          <w:tcPr>
            <w:tcW w:w="1913"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Recteq, LLC</w:t>
            </w:r>
          </w:p>
        </w:tc>
        <w:tc>
          <w:tcPr>
            <w:tcW w:w="60" w:type="dxa"/>
            <w:vMerge w:val="restart"/>
            <w:tcBorders/>
            <w:vAlign w:val="center"/>
          </w:tcPr>
          <w:p>
            <w:pPr>
              <w:pStyle w:val="TableContents"/>
              <w:bidi w:val="0"/>
              <w:spacing w:before="0" w:after="283"/>
              <w:jc w:val="left"/>
              <w:rPr/>
            </w:pPr>
            <w:r>
              <w:rPr/>
              <w:t> </w:t>
            </w:r>
          </w:p>
        </w:tc>
        <w:tc>
          <w:tcPr>
            <w:tcW w:w="2119" w:type="dxa"/>
            <w:vMerge w:val="restart"/>
            <w:tcBorders/>
            <w:vAlign w:val="center"/>
          </w:tcPr>
          <w:p>
            <w:pPr>
              <w:pStyle w:val="TableContents"/>
              <w:bidi w:val="0"/>
              <w:spacing w:before="0" w:after="283"/>
              <w:jc w:val="center"/>
              <w:rPr/>
            </w:pPr>
            <w:r>
              <w:rPr/>
              <w:t>Leisure Products</w:t>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0.7</w:t>
            </w:r>
          </w:p>
        </w:tc>
        <w:tc>
          <w:tcPr>
            <w:tcW w:w="4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1,758</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(NEPRT Parent Holdings, LLC )(5)</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3M S+715, 01/29/2026</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1061 Triad Ct., Ste. 3</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Marietta, GA 30062</w:t>
            </w:r>
          </w:p>
        </w:tc>
        <w:tc>
          <w:tcPr>
            <w:tcW w:w="60" w:type="dxa"/>
            <w:vMerge w:val="continue"/>
            <w:tcBorders/>
            <w:vAlign w:val="center"/>
          </w:tcPr>
          <w:p>
            <w:pPr>
              <w:pStyle w:val="Normal"/>
              <w:bidi w:val="0"/>
              <w:jc w:val="left"/>
              <w:rPr/>
            </w:pPr>
            <w:r>
              <w:rPr/>
            </w:r>
          </w:p>
        </w:tc>
        <w:tc>
          <w:tcPr>
            <w:tcW w:w="211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87"/>
        <w:gridCol w:w="60"/>
        <w:gridCol w:w="2148"/>
        <w:gridCol w:w="60"/>
        <w:gridCol w:w="2163"/>
        <w:gridCol w:w="60"/>
        <w:gridCol w:w="223"/>
        <w:gridCol w:w="1192"/>
        <w:gridCol w:w="275"/>
        <w:gridCol w:w="60"/>
        <w:gridCol w:w="238"/>
        <w:gridCol w:w="1161"/>
        <w:gridCol w:w="78"/>
      </w:tblGrid>
      <w:tr>
        <w:trPr/>
        <w:tc>
          <w:tcPr>
            <w:tcW w:w="2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2148"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2163" w:type="dxa"/>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Research Now Group, LLC and Dynata, LLC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Business Services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1161" w:type="dxa"/>
            <w:tcBorders/>
            <w:vAlign w:val="center"/>
          </w:tcPr>
          <w:p>
            <w:pPr>
              <w:pStyle w:val="TableContents"/>
              <w:bidi w:val="0"/>
              <w:spacing w:before="0" w:after="283"/>
              <w:jc w:val="right"/>
              <w:rPr/>
            </w:pPr>
            <w:r>
              <w:rPr/>
              <w:t>14,341</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5800 Tennyson Parkway, Suite 600</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3M S+576, 12/20/2024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Plano, TX 75024</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Riverpoint Medical, LLC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Healthcare Equipment and</w:t>
              <w:br/>
              <w:t>Supplies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10,122</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825 NE 25th Avenue</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3M S+515, 06/20/2025</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Portland, OR 97232</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Rural Sourcing Holdings, Inc.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1,015</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(HPA SPQ Aggregator LP)</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3M S+625, 06/15/2029</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817 West Peachtree St. Suite M100</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Atlanta, GA 30308</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S101 Holdings, Inc.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Electronic Equipment,</w:t>
              <w:br/>
              <w:t>Instruments, and Components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12,377</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1450 Centrepark Blvd.</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3M S+615, 12/29/2026</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Suite 210</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West Palm Beach, FL 33401</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Sales Benchmark Index LLC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3,117</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(SBI Holdings Investments LLC)</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3M S+620, 01/03/2025</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2021 McKinney Avenue Suite 550</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Dallas, TX 75201</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Sargent &amp; Greenleaf Inc.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Electronic Equipment,</w:t>
              <w:br/>
              <w:t>Instruments, and Components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4,112</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One Security Drive</w:t>
            </w:r>
          </w:p>
          <w:p>
            <w:pPr>
              <w:pStyle w:val="TableContents"/>
              <w:bidi w:val="0"/>
              <w:spacing w:before="0" w:after="20"/>
              <w:jc w:val="left"/>
              <w:rPr>
                <w:rFonts w:ascii="Times New Roman" w:hAnsi="Times New Roman"/>
                <w:sz w:val="16"/>
              </w:rPr>
            </w:pPr>
            <w:r>
              <w:rPr>
                <w:rFonts w:ascii="Times New Roman" w:hAnsi="Times New Roman"/>
                <w:sz w:val="16"/>
              </w:rPr>
              <w:t>Nicholasville, KY 40356</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1M S+760 (PIK 1.00%),</w:t>
              <w:br/>
              <w:t>12/20/2024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Schlesinger Global, Inc.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16,420</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(Gauge Schlesinger Coinvest, LLC)</w:t>
            </w:r>
          </w:p>
          <w:p>
            <w:pPr>
              <w:pStyle w:val="TableContents"/>
              <w:bidi w:val="0"/>
              <w:spacing w:before="0" w:after="0"/>
              <w:jc w:val="left"/>
              <w:rPr>
                <w:rFonts w:ascii="Times New Roman" w:hAnsi="Times New Roman"/>
                <w:sz w:val="16"/>
              </w:rPr>
            </w:pPr>
            <w:r>
              <w:rPr>
                <w:rFonts w:ascii="Times New Roman" w:hAnsi="Times New Roman"/>
                <w:sz w:val="16"/>
              </w:rPr>
              <w:t>101 Wood Avenue South, Suite 501</w:t>
            </w:r>
          </w:p>
          <w:p>
            <w:pPr>
              <w:pStyle w:val="TableContents"/>
              <w:bidi w:val="0"/>
              <w:spacing w:before="0" w:after="20"/>
              <w:jc w:val="left"/>
              <w:rPr>
                <w:rFonts w:ascii="Times New Roman" w:hAnsi="Times New Roman"/>
                <w:sz w:val="16"/>
              </w:rPr>
            </w:pPr>
            <w:r>
              <w:rPr>
                <w:rFonts w:ascii="Times New Roman" w:hAnsi="Times New Roman"/>
                <w:sz w:val="16"/>
              </w:rPr>
              <w:t>Iselin, NJ 08830</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2163" w:type="dxa"/>
            <w:vMerge w:val="restart"/>
            <w:tcBorders/>
            <w:vAlign w:val="center"/>
          </w:tcPr>
          <w:p>
            <w:pPr>
              <w:pStyle w:val="TableContents"/>
              <w:bidi w:val="0"/>
              <w:jc w:val="center"/>
              <w:rPr/>
            </w:pPr>
            <w:r>
              <w:rPr/>
              <w:t>3M S+825 (PIK 5.60%),</w:t>
              <w:br/>
              <w:t>07/14/2025</w:t>
            </w:r>
          </w:p>
          <w:p>
            <w:pPr>
              <w:pStyle w:val="TableContents"/>
              <w:bidi w:val="0"/>
              <w:spacing w:before="0" w:after="0"/>
              <w:jc w:val="center"/>
              <w:rPr>
                <w:rFonts w:ascii="Times New Roman" w:hAnsi="Times New Roman"/>
                <w:sz w:val="16"/>
              </w:rPr>
            </w:pPr>
            <w:r>
              <w:rPr>
                <w:rFonts w:ascii="Times New Roman" w:hAnsi="Times New Roman"/>
                <w:sz w:val="16"/>
              </w:rPr>
              <w:t>Subordinate Debt</w:t>
            </w:r>
          </w:p>
          <w:p>
            <w:pPr>
              <w:pStyle w:val="TableContents"/>
              <w:bidi w:val="0"/>
              <w:spacing w:before="0" w:after="0"/>
              <w:jc w:val="center"/>
              <w:rPr>
                <w:rFonts w:ascii="Times New Roman" w:hAnsi="Times New Roman"/>
                <w:sz w:val="16"/>
              </w:rPr>
            </w:pPr>
            <w:r>
              <w:rPr>
                <w:rFonts w:ascii="Times New Roman" w:hAnsi="Times New Roman"/>
                <w:sz w:val="16"/>
              </w:rPr>
              <w:t>3M S+700, 07/26/2024</w:t>
            </w:r>
          </w:p>
          <w:p>
            <w:pPr>
              <w:pStyle w:val="TableContents"/>
              <w:bidi w:val="0"/>
              <w:spacing w:before="0" w:after="0"/>
              <w:jc w:val="center"/>
              <w:rPr>
                <w:rFonts w:ascii="Times New Roman" w:hAnsi="Times New Roman"/>
                <w:sz w:val="16"/>
              </w:rPr>
            </w:pPr>
            <w:r>
              <w:rPr>
                <w:rFonts w:ascii="Times New Roman" w:hAnsi="Times New Roman"/>
                <w:sz w:val="16"/>
              </w:rPr>
              <w:t>Preferred Equity</w:t>
            </w:r>
          </w:p>
          <w:p>
            <w:pPr>
              <w:pStyle w:val="TableContents"/>
              <w:bidi w:val="0"/>
              <w:spacing w:before="0" w:after="20"/>
              <w:jc w:val="center"/>
              <w:rPr>
                <w:rFonts w:ascii="Times New Roman" w:hAnsi="Times New Roman"/>
                <w:sz w:val="16"/>
              </w:rPr>
            </w:pPr>
            <w:r>
              <w:rPr>
                <w:rFonts w:ascii="Times New Roman" w:hAnsi="Times New Roman"/>
                <w:sz w:val="16"/>
              </w:rPr>
              <w:t>Common Equity</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16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16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48"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163"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Seaway Buyer, LLC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Chemicals, Plastics and Rubber</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2,078</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(Seaway Topco, LP)</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3M S+615, 06/13/2029</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6006 Siesta Lane</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Port Richey, FL 34668</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Sigma Defense Systems, LLC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IT Services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23,587</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(Delta InvestCo LP)(5)</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3M S+715, 12/18/2027</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1812 Macon Rd</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Common Equity(4)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Perry, GA 31069</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pPr>
            <w:r>
              <w:rPr/>
              <w:t>Simplicity Financial Marketing Group Holdings Inc.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Diversified Financial Services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jc w:val="center"/>
              <w:rPr/>
            </w:pPr>
            <w:r>
              <w:rPr/>
              <w:t>First Lien Secured Debt(4),</w:t>
            </w:r>
          </w:p>
          <w:p>
            <w:pPr>
              <w:pStyle w:val="TableContents"/>
              <w:bidi w:val="0"/>
              <w:spacing w:before="0" w:after="20"/>
              <w:jc w:val="center"/>
              <w:rPr>
                <w:rFonts w:ascii="Times New Roman" w:hAnsi="Times New Roman"/>
                <w:sz w:val="16"/>
              </w:rPr>
            </w:pPr>
            <w:r>
              <w:rPr>
                <w:rFonts w:ascii="Times New Roman" w:hAnsi="Times New Roman"/>
                <w:sz w:val="16"/>
              </w:rPr>
              <w:t>3M S+640, 12/02/2026</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4,331</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86 Summit Avenue Suite 303</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Summit, NJ 07901</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Skopima Consilio Parent, LLC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Business Services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595</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1828 L Street NW Suite 1070</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1M S+450, 05/17/2028</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Washington, DC 20036</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Smartronix, LLC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15,326</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(OceanSound Discovery Equity, LP)(5)</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1M S+635, 11/23/2028</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310 The Bridge Street, Suite 350</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Huntsville, AL 35806</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283"/>
              <w:jc w:val="left"/>
              <w:rPr>
                <w:sz w:val="4"/>
                <w:szCs w:val="4"/>
              </w:rPr>
            </w:pPr>
            <w:r>
              <w:rPr>
                <w:sz w:val="4"/>
                <w:szCs w:val="4"/>
              </w:rPr>
            </w:r>
          </w:p>
        </w:tc>
        <w:tc>
          <w:tcPr>
            <w:tcW w:w="2208" w:type="dxa"/>
            <w:gridSpan w:val="2"/>
            <w:tcBorders/>
            <w:vAlign w:val="center"/>
          </w:tcPr>
          <w:p>
            <w:pPr>
              <w:pStyle w:val="TableContents"/>
              <w:bidi w:val="0"/>
              <w:spacing w:before="0" w:after="283"/>
              <w:jc w:val="left"/>
              <w:rPr>
                <w:sz w:val="4"/>
                <w:szCs w:val="4"/>
              </w:rPr>
            </w:pPr>
            <w:r>
              <w:rPr>
                <w:sz w:val="4"/>
                <w:szCs w:val="4"/>
              </w:rPr>
            </w:r>
          </w:p>
        </w:tc>
        <w:tc>
          <w:tcPr>
            <w:tcW w:w="2223" w:type="dxa"/>
            <w:gridSpan w:val="2"/>
            <w:tcBorders/>
            <w:vAlign w:val="center"/>
          </w:tcPr>
          <w:p>
            <w:pPr>
              <w:pStyle w:val="TableContents"/>
              <w:bidi w:val="0"/>
              <w:spacing w:before="0" w:after="283"/>
              <w:jc w:val="left"/>
              <w:rPr>
                <w:sz w:val="4"/>
                <w:szCs w:val="4"/>
              </w:rPr>
            </w:pPr>
            <w:r>
              <w:rPr>
                <w:sz w:val="4"/>
                <w:szCs w:val="4"/>
              </w:rPr>
            </w:r>
          </w:p>
        </w:tc>
        <w:tc>
          <w:tcPr>
            <w:tcW w:w="1750" w:type="dxa"/>
            <w:gridSpan w:val="4"/>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Smile Brands Inc.</w:t>
            </w:r>
          </w:p>
        </w:tc>
        <w:tc>
          <w:tcPr>
            <w:tcW w:w="60" w:type="dxa"/>
            <w:vMerge w:val="restart"/>
            <w:tcBorders/>
            <w:vAlign w:val="center"/>
          </w:tcPr>
          <w:p>
            <w:pPr>
              <w:pStyle w:val="TableContents"/>
              <w:bidi w:val="0"/>
              <w:spacing w:before="0" w:after="283"/>
              <w:jc w:val="left"/>
              <w:rPr/>
            </w:pPr>
            <w:r>
              <w:rPr/>
              <w:t> </w:t>
            </w:r>
          </w:p>
        </w:tc>
        <w:tc>
          <w:tcPr>
            <w:tcW w:w="2148" w:type="dxa"/>
            <w:vMerge w:val="restart"/>
            <w:tcBorders/>
            <w:vAlign w:val="center"/>
          </w:tcPr>
          <w:p>
            <w:pPr>
              <w:pStyle w:val="TableContents"/>
              <w:bidi w:val="0"/>
              <w:spacing w:before="0" w:after="283"/>
              <w:jc w:val="center"/>
              <w:rPr/>
            </w:pPr>
            <w:r>
              <w:rPr/>
              <w:t>Healthcare and</w:t>
              <w:br/>
              <w:t>Pharmaceuticals</w:t>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2,576</w:t>
            </w:r>
          </w:p>
        </w:tc>
        <w:tc>
          <w:tcPr>
            <w:tcW w:w="78" w:type="dxa"/>
            <w:tcBorders/>
            <w:vAlign w:val="center"/>
          </w:tcPr>
          <w:p>
            <w:pPr>
              <w:pStyle w:val="TableContents"/>
              <w:bidi w:val="0"/>
              <w:spacing w:before="0" w:after="283"/>
              <w:jc w:val="left"/>
              <w:rPr/>
            </w:pPr>
            <w:r>
              <w:rPr/>
              <w:t> </w:t>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100 Spectrum Center Drive, Suite 100</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center"/>
              <w:rPr/>
            </w:pPr>
            <w:r>
              <w:rPr/>
              <w:t>1M S+450, 10/14/2025</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24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Irvine, CA 92618</w:t>
            </w:r>
          </w:p>
        </w:tc>
        <w:tc>
          <w:tcPr>
            <w:tcW w:w="60" w:type="dxa"/>
            <w:vMerge w:val="continue"/>
            <w:tcBorders/>
            <w:vAlign w:val="center"/>
          </w:tcPr>
          <w:p>
            <w:pPr>
              <w:pStyle w:val="Normal"/>
              <w:bidi w:val="0"/>
              <w:jc w:val="left"/>
              <w:rPr/>
            </w:pPr>
            <w:r>
              <w:rPr/>
            </w:r>
          </w:p>
        </w:tc>
        <w:tc>
          <w:tcPr>
            <w:tcW w:w="214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tbl>
      <w:tblPr>
        <w:tblW w:w="10725" w:type="dxa"/>
        <w:jc w:val="left"/>
        <w:tblInd w:w="0" w:type="dxa"/>
        <w:tblLayout w:type="fixed"/>
        <w:tblCellMar>
          <w:top w:w="0" w:type="dxa"/>
          <w:left w:w="0" w:type="dxa"/>
          <w:bottom w:w="0" w:type="dxa"/>
          <w:right w:w="0" w:type="dxa"/>
        </w:tblCellMar>
      </w:tblPr>
      <w:tblGrid>
        <w:gridCol w:w="2300"/>
        <w:gridCol w:w="60"/>
        <w:gridCol w:w="2690"/>
        <w:gridCol w:w="60"/>
        <w:gridCol w:w="2360"/>
        <w:gridCol w:w="60"/>
        <w:gridCol w:w="221"/>
        <w:gridCol w:w="1179"/>
        <w:gridCol w:w="275"/>
        <w:gridCol w:w="60"/>
        <w:gridCol w:w="236"/>
        <w:gridCol w:w="1149"/>
        <w:gridCol w:w="75"/>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2690"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2360" w:type="dxa"/>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Solutionreach, Inc.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Healthcare Technology</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4,652</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2600 N. Ashton Blvd.</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S+700, 07/17/2025</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Lehi, UT 84043</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Spendmend Holdings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Healthcare Technology</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2,804</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(North Haven Saints Equity Holdings, LP)(5)</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S+565, 03/01/2028,</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2680 Horizon Dr SE,</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Grand Rapids, MI 49546</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SSC Dominion Holdings,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Capital Equipment</w:t>
            </w:r>
          </w:p>
        </w:tc>
        <w:tc>
          <w:tcPr>
            <w:tcW w:w="60" w:type="dxa"/>
            <w:vMerge w:val="restart"/>
            <w:tcBorders/>
            <w:vAlign w:val="center"/>
          </w:tcPr>
          <w:p>
            <w:pPr>
              <w:pStyle w:val="TableContents"/>
              <w:bidi w:val="0"/>
              <w:spacing w:before="0" w:after="283"/>
              <w:jc w:val="left"/>
              <w:rPr/>
            </w:pPr>
            <w:r>
              <w:rPr/>
              <w:t> </w:t>
            </w:r>
          </w:p>
        </w:tc>
        <w:tc>
          <w:tcPr>
            <w:tcW w:w="2360" w:type="dxa"/>
            <w:vMerge w:val="restart"/>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1,001</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(US Dominion, Inc.)</w:t>
            </w:r>
          </w:p>
          <w:p>
            <w:pPr>
              <w:pStyle w:val="TableContents"/>
              <w:bidi w:val="0"/>
              <w:spacing w:before="0" w:after="20"/>
              <w:jc w:val="left"/>
              <w:rPr>
                <w:rFonts w:ascii="Times New Roman" w:hAnsi="Times New Roman"/>
                <w:sz w:val="16"/>
              </w:rPr>
            </w:pPr>
            <w:r>
              <w:rPr>
                <w:rFonts w:ascii="Times New Roman" w:hAnsi="Times New Roman"/>
                <w:sz w:val="16"/>
              </w:rPr>
              <w:t>215 Spadina Avenue, Suite 200</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Toronto, ON MST 2C7</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Summit Behavioral Healthcare,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Healthcare Providers and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1,990</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501 Corporate Centre Dr. #600</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S+501, 11/24/2028</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Franklin, TN 37067</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vMerge w:val="restart"/>
            <w:tcBorders/>
            <w:vAlign w:val="center"/>
          </w:tcPr>
          <w:p>
            <w:pPr>
              <w:pStyle w:val="TableContents"/>
              <w:bidi w:val="0"/>
              <w:spacing w:before="0" w:after="283"/>
              <w:jc w:val="left"/>
              <w:rPr/>
            </w:pPr>
            <w:r>
              <w:rPr/>
              <w:t>System Planning and Analysis, Inc. (f/k/a Management Consulting &amp; Research,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Aerospace and Defense</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20,622</w:t>
            </w:r>
          </w:p>
        </w:tc>
        <w:tc>
          <w:tcPr>
            <w:tcW w:w="75" w:type="dxa"/>
            <w:tcBorders/>
            <w:vAlign w:val="center"/>
          </w:tcPr>
          <w:p>
            <w:pPr>
              <w:pStyle w:val="TableContents"/>
              <w:bidi w:val="0"/>
              <w:spacing w:before="0" w:after="283"/>
              <w:jc w:val="left"/>
              <w:rPr/>
            </w:pPr>
            <w:r>
              <w:rPr/>
              <w:t> </w:t>
            </w:r>
          </w:p>
        </w:tc>
      </w:tr>
      <w:tr>
        <w:trPr/>
        <w:tc>
          <w:tcPr>
            <w:tcW w:w="230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S+590, 08/16/2027</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1220 12th Street SE</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Washington DC, 20003</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TAC LifePort Purchaser, LLC(5)</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Aerospace and Defense</w:t>
            </w:r>
          </w:p>
        </w:tc>
        <w:tc>
          <w:tcPr>
            <w:tcW w:w="60" w:type="dxa"/>
            <w:vMerge w:val="restart"/>
            <w:tcBorders/>
            <w:vAlign w:val="center"/>
          </w:tcPr>
          <w:p>
            <w:pPr>
              <w:pStyle w:val="TableContents"/>
              <w:bidi w:val="0"/>
              <w:spacing w:before="0" w:after="283"/>
              <w:jc w:val="left"/>
              <w:rPr/>
            </w:pPr>
            <w:r>
              <w:rPr/>
              <w:t> </w:t>
            </w:r>
          </w:p>
        </w:tc>
        <w:tc>
          <w:tcPr>
            <w:tcW w:w="2360" w:type="dxa"/>
            <w:vMerge w:val="restart"/>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897</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1610 Heritage St</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Woodland, WA 98674</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TCG 3.0 Jogger Acquisitionco, Inc.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Media</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vMerge w:val="restart"/>
            <w:tcBorders/>
            <w:vAlign w:val="center"/>
          </w:tcPr>
          <w:p>
            <w:pPr>
              <w:pStyle w:val="TableContents"/>
              <w:bidi w:val="0"/>
              <w:spacing w:before="0" w:after="283"/>
              <w:jc w:val="left"/>
              <w:rPr/>
            </w:pPr>
            <w:r>
              <w:rPr/>
              <w:t> </w:t>
            </w:r>
          </w:p>
        </w:tc>
        <w:tc>
          <w:tcPr>
            <w:tcW w:w="221" w:type="dxa"/>
            <w:vMerge w:val="restart"/>
            <w:tcBorders/>
            <w:vAlign w:val="center"/>
          </w:tcPr>
          <w:p>
            <w:pPr>
              <w:pStyle w:val="TableContents"/>
              <w:bidi w:val="0"/>
              <w:spacing w:before="0" w:after="283"/>
              <w:jc w:val="left"/>
              <w:rPr/>
            </w:pPr>
            <w:r>
              <w:rPr/>
              <w:t> </w:t>
            </w:r>
          </w:p>
        </w:tc>
        <w:tc>
          <w:tcPr>
            <w:tcW w:w="1179" w:type="dxa"/>
            <w:vMerge w:val="restart"/>
            <w:tcBorders/>
            <w:vAlign w:val="center"/>
          </w:tcPr>
          <w:p>
            <w:pPr>
              <w:pStyle w:val="TableContents"/>
              <w:bidi w:val="0"/>
              <w:spacing w:before="0" w:after="283"/>
              <w:jc w:val="right"/>
              <w:rPr/>
            </w:pPr>
            <w:r>
              <w:rPr/>
              <w:t>0.9</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36" w:type="dxa"/>
            <w:vMerge w:val="restart"/>
            <w:tcBorders/>
            <w:vAlign w:val="center"/>
          </w:tcPr>
          <w:p>
            <w:pPr>
              <w:pStyle w:val="TableContents"/>
              <w:bidi w:val="0"/>
              <w:spacing w:before="0" w:after="283"/>
              <w:jc w:val="left"/>
              <w:rPr/>
            </w:pPr>
            <w:r>
              <w:rPr/>
              <w:t> </w:t>
            </w:r>
          </w:p>
        </w:tc>
        <w:tc>
          <w:tcPr>
            <w:tcW w:w="1149" w:type="dxa"/>
            <w:vMerge w:val="restart"/>
            <w:tcBorders/>
            <w:vAlign w:val="center"/>
          </w:tcPr>
          <w:p>
            <w:pPr>
              <w:pStyle w:val="TableContents"/>
              <w:bidi w:val="0"/>
              <w:spacing w:before="0" w:after="283"/>
              <w:jc w:val="right"/>
              <w:rPr/>
            </w:pPr>
            <w:r>
              <w:rPr/>
              <w:t>27,893</w:t>
            </w:r>
          </w:p>
        </w:tc>
        <w:tc>
          <w:tcPr>
            <w:tcW w:w="75" w:type="dxa"/>
            <w:vMerge w:val="restart"/>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(TCG 3.0 Jogger Co-Invest, LP)</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S+650, 01/26/2029</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3344 Walnut Street</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Denver, CO 80205</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Team Services Group,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Healthcare Providers and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vMerge w:val="restart"/>
            <w:tcBorders/>
            <w:vAlign w:val="center"/>
          </w:tcPr>
          <w:p>
            <w:pPr>
              <w:pStyle w:val="TableContents"/>
              <w:bidi w:val="0"/>
              <w:spacing w:before="0" w:after="283"/>
              <w:jc w:val="left"/>
              <w:rPr/>
            </w:pPr>
            <w:r>
              <w:rPr/>
              <w:t> </w:t>
            </w:r>
          </w:p>
        </w:tc>
        <w:tc>
          <w:tcPr>
            <w:tcW w:w="221" w:type="dxa"/>
            <w:vMerge w:val="restart"/>
            <w:tcBorders/>
            <w:vAlign w:val="center"/>
          </w:tcPr>
          <w:p>
            <w:pPr>
              <w:pStyle w:val="TableContents"/>
              <w:bidi w:val="0"/>
              <w:spacing w:before="0" w:after="283"/>
              <w:jc w:val="left"/>
              <w:rPr/>
            </w:pPr>
            <w:r>
              <w:rPr/>
              <w:t> </w:t>
            </w:r>
          </w:p>
        </w:tc>
        <w:tc>
          <w:tcPr>
            <w:tcW w:w="1179" w:type="dxa"/>
            <w:vMerge w:val="restart"/>
            <w:tcBorders/>
            <w:vAlign w:val="center"/>
          </w:tcPr>
          <w:p>
            <w:pPr>
              <w:pStyle w:val="TableContents"/>
              <w:bidi w:val="0"/>
              <w:spacing w:before="0" w:after="283"/>
              <w:jc w:val="right"/>
              <w:rPr/>
            </w:pPr>
            <w:r>
              <w:rPr/>
              <w:t>— </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36" w:type="dxa"/>
            <w:vMerge w:val="restart"/>
            <w:tcBorders/>
            <w:vAlign w:val="center"/>
          </w:tcPr>
          <w:p>
            <w:pPr>
              <w:pStyle w:val="TableContents"/>
              <w:bidi w:val="0"/>
              <w:spacing w:before="0" w:after="283"/>
              <w:jc w:val="left"/>
              <w:rPr/>
            </w:pPr>
            <w:r>
              <w:rPr/>
              <w:t> </w:t>
            </w:r>
          </w:p>
        </w:tc>
        <w:tc>
          <w:tcPr>
            <w:tcW w:w="1149" w:type="dxa"/>
            <w:vMerge w:val="restart"/>
            <w:tcBorders/>
            <w:vAlign w:val="center"/>
          </w:tcPr>
          <w:p>
            <w:pPr>
              <w:pStyle w:val="TableContents"/>
              <w:bidi w:val="0"/>
              <w:spacing w:before="0" w:after="283"/>
              <w:jc w:val="right"/>
              <w:rPr/>
            </w:pPr>
            <w:r>
              <w:rPr/>
              <w:t>1,990</w:t>
            </w:r>
          </w:p>
        </w:tc>
        <w:tc>
          <w:tcPr>
            <w:tcW w:w="75" w:type="dxa"/>
            <w:vMerge w:val="restart"/>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131 Camino Del Rio N, Suite 650</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S+543, 12/20/2027</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San Diego, CA 92108</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The Bluebird Group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Professional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vMerge w:val="restart"/>
            <w:tcBorders/>
            <w:vAlign w:val="center"/>
          </w:tcPr>
          <w:p>
            <w:pPr>
              <w:pStyle w:val="TableContents"/>
              <w:bidi w:val="0"/>
              <w:spacing w:before="0" w:after="283"/>
              <w:jc w:val="left"/>
              <w:rPr/>
            </w:pPr>
            <w:r>
              <w:rPr/>
              <w:t> </w:t>
            </w:r>
          </w:p>
        </w:tc>
        <w:tc>
          <w:tcPr>
            <w:tcW w:w="221" w:type="dxa"/>
            <w:vMerge w:val="restart"/>
            <w:tcBorders/>
            <w:vAlign w:val="center"/>
          </w:tcPr>
          <w:p>
            <w:pPr>
              <w:pStyle w:val="TableContents"/>
              <w:bidi w:val="0"/>
              <w:spacing w:before="0" w:after="283"/>
              <w:jc w:val="left"/>
              <w:rPr/>
            </w:pPr>
            <w:r>
              <w:rPr/>
              <w:t> </w:t>
            </w:r>
          </w:p>
        </w:tc>
        <w:tc>
          <w:tcPr>
            <w:tcW w:w="1179" w:type="dxa"/>
            <w:vMerge w:val="restart"/>
            <w:tcBorders/>
            <w:vAlign w:val="center"/>
          </w:tcPr>
          <w:p>
            <w:pPr>
              <w:pStyle w:val="TableContents"/>
              <w:bidi w:val="0"/>
              <w:spacing w:before="0" w:after="283"/>
              <w:jc w:val="right"/>
              <w:rPr/>
            </w:pPr>
            <w:r>
              <w:rPr/>
              <w:t>— </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36" w:type="dxa"/>
            <w:vMerge w:val="restart"/>
            <w:tcBorders/>
            <w:vAlign w:val="center"/>
          </w:tcPr>
          <w:p>
            <w:pPr>
              <w:pStyle w:val="TableContents"/>
              <w:bidi w:val="0"/>
              <w:spacing w:before="0" w:after="283"/>
              <w:jc w:val="left"/>
              <w:rPr/>
            </w:pPr>
            <w:r>
              <w:rPr/>
              <w:t> </w:t>
            </w:r>
          </w:p>
        </w:tc>
        <w:tc>
          <w:tcPr>
            <w:tcW w:w="1149" w:type="dxa"/>
            <w:vMerge w:val="restart"/>
            <w:tcBorders/>
            <w:vAlign w:val="center"/>
          </w:tcPr>
          <w:p>
            <w:pPr>
              <w:pStyle w:val="TableContents"/>
              <w:bidi w:val="0"/>
              <w:spacing w:before="0" w:after="283"/>
              <w:jc w:val="right"/>
              <w:rPr/>
            </w:pPr>
            <w:r>
              <w:rPr/>
              <w:t>2,576</w:t>
            </w:r>
          </w:p>
        </w:tc>
        <w:tc>
          <w:tcPr>
            <w:tcW w:w="75" w:type="dxa"/>
            <w:vMerge w:val="restart"/>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81 South Ninth Street, Suite 420,</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S+665, 07/28/2026</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Minneapolis, MN, 55402</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The Vertex Companies,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Construction &amp; Engineering</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vMerge w:val="restart"/>
            <w:tcBorders/>
            <w:vAlign w:val="center"/>
          </w:tcPr>
          <w:p>
            <w:pPr>
              <w:pStyle w:val="TableContents"/>
              <w:bidi w:val="0"/>
              <w:spacing w:before="0" w:after="283"/>
              <w:jc w:val="left"/>
              <w:rPr/>
            </w:pPr>
            <w:r>
              <w:rPr/>
              <w:t> </w:t>
            </w:r>
          </w:p>
        </w:tc>
        <w:tc>
          <w:tcPr>
            <w:tcW w:w="221" w:type="dxa"/>
            <w:vMerge w:val="restart"/>
            <w:tcBorders/>
            <w:vAlign w:val="center"/>
          </w:tcPr>
          <w:p>
            <w:pPr>
              <w:pStyle w:val="TableContents"/>
              <w:bidi w:val="0"/>
              <w:spacing w:before="0" w:after="283"/>
              <w:jc w:val="left"/>
              <w:rPr/>
            </w:pPr>
            <w:r>
              <w:rPr/>
              <w:t> </w:t>
            </w:r>
          </w:p>
        </w:tc>
        <w:tc>
          <w:tcPr>
            <w:tcW w:w="1179" w:type="dxa"/>
            <w:vMerge w:val="restart"/>
            <w:tcBorders/>
            <w:vAlign w:val="center"/>
          </w:tcPr>
          <w:p>
            <w:pPr>
              <w:pStyle w:val="TableContents"/>
              <w:bidi w:val="0"/>
              <w:spacing w:before="0" w:after="283"/>
              <w:jc w:val="right"/>
              <w:rPr/>
            </w:pPr>
            <w:r>
              <w:rPr/>
              <w:t>0.2</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36" w:type="dxa"/>
            <w:vMerge w:val="restart"/>
            <w:tcBorders/>
            <w:vAlign w:val="center"/>
          </w:tcPr>
          <w:p>
            <w:pPr>
              <w:pStyle w:val="TableContents"/>
              <w:bidi w:val="0"/>
              <w:spacing w:before="0" w:after="283"/>
              <w:jc w:val="left"/>
              <w:rPr/>
            </w:pPr>
            <w:r>
              <w:rPr/>
              <w:t> </w:t>
            </w:r>
          </w:p>
        </w:tc>
        <w:tc>
          <w:tcPr>
            <w:tcW w:w="1149" w:type="dxa"/>
            <w:vMerge w:val="restart"/>
            <w:tcBorders/>
            <w:vAlign w:val="center"/>
          </w:tcPr>
          <w:p>
            <w:pPr>
              <w:pStyle w:val="TableContents"/>
              <w:bidi w:val="0"/>
              <w:spacing w:before="0" w:after="283"/>
              <w:jc w:val="right"/>
              <w:rPr/>
            </w:pPr>
            <w:r>
              <w:rPr/>
              <w:t>3,856</w:t>
            </w:r>
          </w:p>
        </w:tc>
        <w:tc>
          <w:tcPr>
            <w:tcW w:w="75" w:type="dxa"/>
            <w:vMerge w:val="restart"/>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(TWD Parent Holdings, LLC)</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S+610, 08/30/2027</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398 Libbey Industrial Pkwy,</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Preferred Equity</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Weymouth, MA 02189</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TPC US Parent,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Food Products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vMerge w:val="restart"/>
            <w:tcBorders/>
            <w:vAlign w:val="center"/>
          </w:tcPr>
          <w:p>
            <w:pPr>
              <w:pStyle w:val="TableContents"/>
              <w:bidi w:val="0"/>
              <w:spacing w:before="0" w:after="283"/>
              <w:jc w:val="left"/>
              <w:rPr/>
            </w:pPr>
            <w:r>
              <w:rPr/>
              <w:t> </w:t>
            </w:r>
          </w:p>
        </w:tc>
        <w:tc>
          <w:tcPr>
            <w:tcW w:w="221" w:type="dxa"/>
            <w:vMerge w:val="restart"/>
            <w:tcBorders/>
            <w:vAlign w:val="center"/>
          </w:tcPr>
          <w:p>
            <w:pPr>
              <w:pStyle w:val="TableContents"/>
              <w:bidi w:val="0"/>
              <w:spacing w:before="0" w:after="283"/>
              <w:jc w:val="left"/>
              <w:rPr/>
            </w:pPr>
            <w:r>
              <w:rPr/>
              <w:t> </w:t>
            </w:r>
          </w:p>
        </w:tc>
        <w:tc>
          <w:tcPr>
            <w:tcW w:w="1179" w:type="dxa"/>
            <w:vMerge w:val="restart"/>
            <w:tcBorders/>
            <w:vAlign w:val="center"/>
          </w:tcPr>
          <w:p>
            <w:pPr>
              <w:pStyle w:val="TableContents"/>
              <w:bidi w:val="0"/>
              <w:spacing w:before="0" w:after="283"/>
              <w:jc w:val="right"/>
              <w:rPr/>
            </w:pPr>
            <w:r>
              <w:rPr/>
              <w:t>0.6</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36" w:type="dxa"/>
            <w:vMerge w:val="restart"/>
            <w:tcBorders/>
            <w:vAlign w:val="center"/>
          </w:tcPr>
          <w:p>
            <w:pPr>
              <w:pStyle w:val="TableContents"/>
              <w:bidi w:val="0"/>
              <w:spacing w:before="0" w:after="283"/>
              <w:jc w:val="left"/>
              <w:rPr/>
            </w:pPr>
            <w:r>
              <w:rPr/>
              <w:t> </w:t>
            </w:r>
          </w:p>
        </w:tc>
        <w:tc>
          <w:tcPr>
            <w:tcW w:w="1149" w:type="dxa"/>
            <w:vMerge w:val="restart"/>
            <w:tcBorders/>
            <w:vAlign w:val="center"/>
          </w:tcPr>
          <w:p>
            <w:pPr>
              <w:pStyle w:val="TableContents"/>
              <w:bidi w:val="0"/>
              <w:spacing w:before="0" w:after="283"/>
              <w:jc w:val="right"/>
              <w:rPr/>
            </w:pPr>
            <w:r>
              <w:rPr/>
              <w:t>12,853</w:t>
            </w:r>
          </w:p>
        </w:tc>
        <w:tc>
          <w:tcPr>
            <w:tcW w:w="75" w:type="dxa"/>
            <w:vMerge w:val="restart"/>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(TPC Holding Company, LP)</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3M S+565, 11/24/2025</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151 Struthers Street</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Preferred Equity</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Warren, PA 16365</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TransGo,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Auto Components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vMerge w:val="restart"/>
            <w:tcBorders/>
            <w:vAlign w:val="center"/>
          </w:tcPr>
          <w:p>
            <w:pPr>
              <w:pStyle w:val="TableContents"/>
              <w:bidi w:val="0"/>
              <w:spacing w:before="0" w:after="283"/>
              <w:jc w:val="left"/>
              <w:rPr/>
            </w:pPr>
            <w:r>
              <w:rPr/>
              <w:t> </w:t>
            </w:r>
          </w:p>
        </w:tc>
        <w:tc>
          <w:tcPr>
            <w:tcW w:w="221" w:type="dxa"/>
            <w:vMerge w:val="restart"/>
            <w:tcBorders/>
            <w:vAlign w:val="center"/>
          </w:tcPr>
          <w:p>
            <w:pPr>
              <w:pStyle w:val="TableContents"/>
              <w:bidi w:val="0"/>
              <w:spacing w:before="0" w:after="283"/>
              <w:jc w:val="left"/>
              <w:rPr/>
            </w:pPr>
            <w:r>
              <w:rPr/>
              <w:t> </w:t>
            </w:r>
          </w:p>
        </w:tc>
        <w:tc>
          <w:tcPr>
            <w:tcW w:w="1179" w:type="dxa"/>
            <w:vMerge w:val="restart"/>
            <w:tcBorders/>
            <w:vAlign w:val="center"/>
          </w:tcPr>
          <w:p>
            <w:pPr>
              <w:pStyle w:val="TableContents"/>
              <w:bidi w:val="0"/>
              <w:spacing w:before="0" w:after="283"/>
              <w:jc w:val="right"/>
              <w:rPr/>
            </w:pPr>
            <w:r>
              <w:rPr/>
              <w:t>4.7</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36" w:type="dxa"/>
            <w:vMerge w:val="restart"/>
            <w:tcBorders/>
            <w:vAlign w:val="center"/>
          </w:tcPr>
          <w:p>
            <w:pPr>
              <w:pStyle w:val="TableContents"/>
              <w:bidi w:val="0"/>
              <w:spacing w:before="0" w:after="283"/>
              <w:jc w:val="left"/>
              <w:rPr/>
            </w:pPr>
            <w:r>
              <w:rPr/>
              <w:t> </w:t>
            </w:r>
          </w:p>
        </w:tc>
        <w:tc>
          <w:tcPr>
            <w:tcW w:w="1149" w:type="dxa"/>
            <w:vMerge w:val="restart"/>
            <w:tcBorders/>
            <w:vAlign w:val="center"/>
          </w:tcPr>
          <w:p>
            <w:pPr>
              <w:pStyle w:val="TableContents"/>
              <w:bidi w:val="0"/>
              <w:spacing w:before="0" w:after="283"/>
              <w:jc w:val="right"/>
              <w:rPr/>
            </w:pPr>
            <w:r>
              <w:rPr/>
              <w:t>15,569</w:t>
            </w:r>
          </w:p>
        </w:tc>
        <w:tc>
          <w:tcPr>
            <w:tcW w:w="75" w:type="dxa"/>
            <w:vMerge w:val="restart"/>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(Aftermarket Drivetrain Products Holdings, LLC)</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jc w:val="center"/>
              <w:rPr/>
            </w:pPr>
            <w:r>
              <w:rPr/>
              <w:t>3M S+600, 12/29/2028</w:t>
            </w:r>
          </w:p>
          <w:p>
            <w:pPr>
              <w:pStyle w:val="TableContents"/>
              <w:bidi w:val="0"/>
              <w:spacing w:before="0" w:after="20"/>
              <w:jc w:val="center"/>
              <w:rPr>
                <w:rFonts w:ascii="Times New Roman" w:hAnsi="Times New Roman"/>
                <w:sz w:val="16"/>
              </w:rPr>
            </w:pPr>
            <w:r>
              <w:rPr>
                <w:rFonts w:ascii="Times New Roman" w:hAnsi="Times New Roman"/>
                <w:sz w:val="16"/>
              </w:rPr>
              <w:t>Common Equity</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2621 Merced Avenue</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El Monte, CA, 91733</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TWS Acquisition Corporation</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Diversified Consumer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vMerge w:val="restart"/>
            <w:tcBorders/>
            <w:vAlign w:val="center"/>
          </w:tcPr>
          <w:p>
            <w:pPr>
              <w:pStyle w:val="TableContents"/>
              <w:bidi w:val="0"/>
              <w:spacing w:before="0" w:after="283"/>
              <w:jc w:val="left"/>
              <w:rPr/>
            </w:pPr>
            <w:r>
              <w:rPr/>
              <w:t> </w:t>
            </w:r>
          </w:p>
        </w:tc>
        <w:tc>
          <w:tcPr>
            <w:tcW w:w="221" w:type="dxa"/>
            <w:vMerge w:val="restart"/>
            <w:tcBorders/>
            <w:vAlign w:val="center"/>
          </w:tcPr>
          <w:p>
            <w:pPr>
              <w:pStyle w:val="TableContents"/>
              <w:bidi w:val="0"/>
              <w:spacing w:before="0" w:after="283"/>
              <w:jc w:val="left"/>
              <w:rPr/>
            </w:pPr>
            <w:r>
              <w:rPr/>
              <w:t> </w:t>
            </w:r>
          </w:p>
        </w:tc>
        <w:tc>
          <w:tcPr>
            <w:tcW w:w="1179" w:type="dxa"/>
            <w:vMerge w:val="restart"/>
            <w:tcBorders/>
            <w:vAlign w:val="center"/>
          </w:tcPr>
          <w:p>
            <w:pPr>
              <w:pStyle w:val="TableContents"/>
              <w:bidi w:val="0"/>
              <w:spacing w:before="0" w:after="283"/>
              <w:jc w:val="right"/>
              <w:rPr/>
            </w:pPr>
            <w:r>
              <w:rPr/>
              <w:t>— </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36" w:type="dxa"/>
            <w:vMerge w:val="restart"/>
            <w:tcBorders/>
            <w:vAlign w:val="center"/>
          </w:tcPr>
          <w:p>
            <w:pPr>
              <w:pStyle w:val="TableContents"/>
              <w:bidi w:val="0"/>
              <w:spacing w:before="0" w:after="283"/>
              <w:jc w:val="left"/>
              <w:rPr/>
            </w:pPr>
            <w:r>
              <w:rPr/>
              <w:t> </w:t>
            </w:r>
          </w:p>
        </w:tc>
        <w:tc>
          <w:tcPr>
            <w:tcW w:w="1149" w:type="dxa"/>
            <w:vMerge w:val="restart"/>
            <w:tcBorders/>
            <w:vAlign w:val="center"/>
          </w:tcPr>
          <w:p>
            <w:pPr>
              <w:pStyle w:val="TableContents"/>
              <w:bidi w:val="0"/>
              <w:spacing w:before="0" w:after="283"/>
              <w:jc w:val="right"/>
              <w:rPr/>
            </w:pPr>
            <w:r>
              <w:rPr/>
              <w:t>3,657</w:t>
            </w:r>
          </w:p>
        </w:tc>
        <w:tc>
          <w:tcPr>
            <w:tcW w:w="75" w:type="dxa"/>
            <w:vMerge w:val="restart"/>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120 N. 44th Street #230</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S+640, 06/16/2025</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Phoenix, AZ 85034</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283"/>
              <w:jc w:val="left"/>
              <w:rPr>
                <w:sz w:val="4"/>
                <w:szCs w:val="4"/>
              </w:rPr>
            </w:pPr>
            <w:r>
              <w:rPr>
                <w:sz w:val="4"/>
                <w:szCs w:val="4"/>
              </w:rPr>
            </w:r>
          </w:p>
        </w:tc>
        <w:tc>
          <w:tcPr>
            <w:tcW w:w="2750" w:type="dxa"/>
            <w:gridSpan w:val="2"/>
            <w:tcBorders/>
            <w:vAlign w:val="center"/>
          </w:tcPr>
          <w:p>
            <w:pPr>
              <w:pStyle w:val="TableContents"/>
              <w:bidi w:val="0"/>
              <w:spacing w:before="0" w:after="283"/>
              <w:jc w:val="left"/>
              <w:rPr>
                <w:sz w:val="4"/>
                <w:szCs w:val="4"/>
              </w:rPr>
            </w:pPr>
            <w:r>
              <w:rPr>
                <w:sz w:val="4"/>
                <w:szCs w:val="4"/>
              </w:rPr>
            </w:r>
          </w:p>
        </w:tc>
        <w:tc>
          <w:tcPr>
            <w:tcW w:w="2420" w:type="dxa"/>
            <w:gridSpan w:val="2"/>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Tyto Athene, LLC</w:t>
            </w:r>
          </w:p>
        </w:tc>
        <w:tc>
          <w:tcPr>
            <w:tcW w:w="60" w:type="dxa"/>
            <w:vMerge w:val="restart"/>
            <w:tcBorders/>
            <w:vAlign w:val="center"/>
          </w:tcPr>
          <w:p>
            <w:pPr>
              <w:pStyle w:val="TableContents"/>
              <w:bidi w:val="0"/>
              <w:spacing w:before="0" w:after="283"/>
              <w:jc w:val="left"/>
              <w:rPr/>
            </w:pPr>
            <w:r>
              <w:rPr/>
              <w:t> </w:t>
            </w:r>
          </w:p>
        </w:tc>
        <w:tc>
          <w:tcPr>
            <w:tcW w:w="2690" w:type="dxa"/>
            <w:vMerge w:val="restart"/>
            <w:tcBorders/>
            <w:vAlign w:val="center"/>
          </w:tcPr>
          <w:p>
            <w:pPr>
              <w:pStyle w:val="TableContents"/>
              <w:bidi w:val="0"/>
              <w:spacing w:before="0" w:after="283"/>
              <w:jc w:val="center"/>
              <w:rPr/>
            </w:pPr>
            <w:r>
              <w:rPr/>
              <w:t>IT Services</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First Lien Secured Debt(4),</w:t>
            </w:r>
          </w:p>
        </w:tc>
        <w:tc>
          <w:tcPr>
            <w:tcW w:w="60" w:type="dxa"/>
            <w:vMerge w:val="restart"/>
            <w:tcBorders/>
            <w:vAlign w:val="center"/>
          </w:tcPr>
          <w:p>
            <w:pPr>
              <w:pStyle w:val="TableContents"/>
              <w:bidi w:val="0"/>
              <w:spacing w:before="0" w:after="283"/>
              <w:jc w:val="left"/>
              <w:rPr/>
            </w:pPr>
            <w:r>
              <w:rPr/>
              <w:t> </w:t>
            </w:r>
          </w:p>
        </w:tc>
        <w:tc>
          <w:tcPr>
            <w:tcW w:w="221" w:type="dxa"/>
            <w:vMerge w:val="restart"/>
            <w:tcBorders/>
            <w:vAlign w:val="center"/>
          </w:tcPr>
          <w:p>
            <w:pPr>
              <w:pStyle w:val="TableContents"/>
              <w:bidi w:val="0"/>
              <w:spacing w:before="0" w:after="283"/>
              <w:jc w:val="left"/>
              <w:rPr/>
            </w:pPr>
            <w:r>
              <w:rPr/>
              <w:t> </w:t>
            </w:r>
          </w:p>
        </w:tc>
        <w:tc>
          <w:tcPr>
            <w:tcW w:w="1179" w:type="dxa"/>
            <w:vMerge w:val="restart"/>
            <w:tcBorders/>
            <w:vAlign w:val="center"/>
          </w:tcPr>
          <w:p>
            <w:pPr>
              <w:pStyle w:val="TableContents"/>
              <w:bidi w:val="0"/>
              <w:spacing w:before="0" w:after="283"/>
              <w:jc w:val="right"/>
              <w:rPr/>
            </w:pPr>
            <w:r>
              <w:rPr/>
              <w:t>— </w:t>
            </w:r>
          </w:p>
        </w:tc>
        <w:tc>
          <w:tcPr>
            <w:tcW w:w="27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36" w:type="dxa"/>
            <w:vMerge w:val="restart"/>
            <w:tcBorders/>
            <w:vAlign w:val="center"/>
          </w:tcPr>
          <w:p>
            <w:pPr>
              <w:pStyle w:val="TableContents"/>
              <w:bidi w:val="0"/>
              <w:spacing w:before="0" w:after="283"/>
              <w:jc w:val="left"/>
              <w:rPr/>
            </w:pPr>
            <w:r>
              <w:rPr/>
              <w:t> </w:t>
            </w:r>
          </w:p>
        </w:tc>
        <w:tc>
          <w:tcPr>
            <w:tcW w:w="1149" w:type="dxa"/>
            <w:vMerge w:val="restart"/>
            <w:tcBorders/>
            <w:vAlign w:val="center"/>
          </w:tcPr>
          <w:p>
            <w:pPr>
              <w:pStyle w:val="TableContents"/>
              <w:bidi w:val="0"/>
              <w:spacing w:before="0" w:after="283"/>
              <w:jc w:val="right"/>
              <w:rPr/>
            </w:pPr>
            <w:r>
              <w:rPr/>
              <w:t>12,692</w:t>
            </w:r>
          </w:p>
        </w:tc>
        <w:tc>
          <w:tcPr>
            <w:tcW w:w="75" w:type="dxa"/>
            <w:vMerge w:val="restart"/>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(NXOF Holdings, Inc)</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1M S+565, 04/01/2028</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510 Spring Street, Suite 200</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Preferred Equity</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23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Herndon, VA 20170</w:t>
            </w:r>
          </w:p>
        </w:tc>
        <w:tc>
          <w:tcPr>
            <w:tcW w:w="60" w:type="dxa"/>
            <w:vMerge w:val="continue"/>
            <w:tcBorders/>
            <w:vAlign w:val="center"/>
          </w:tcPr>
          <w:p>
            <w:pPr>
              <w:pStyle w:val="Normal"/>
              <w:bidi w:val="0"/>
              <w:jc w:val="left"/>
              <w:rPr/>
            </w:pPr>
            <w:r>
              <w:rPr/>
            </w:r>
          </w:p>
        </w:tc>
        <w:tc>
          <w:tcPr>
            <w:tcW w:w="26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t>Common Equity</w:t>
            </w:r>
          </w:p>
        </w:tc>
        <w:tc>
          <w:tcPr>
            <w:tcW w:w="60" w:type="dxa"/>
            <w:vMerge w:val="continue"/>
            <w:tcBorders/>
            <w:vAlign w:val="center"/>
          </w:tcPr>
          <w:p>
            <w:pPr>
              <w:pStyle w:val="Normal"/>
              <w:bidi w:val="0"/>
              <w:jc w:val="left"/>
              <w:rPr/>
            </w:pPr>
            <w:r>
              <w:rPr/>
            </w:r>
          </w:p>
        </w:tc>
        <w:tc>
          <w:tcPr>
            <w:tcW w:w="221" w:type="dxa"/>
            <w:vMerge w:val="continue"/>
            <w:tcBorders/>
            <w:vAlign w:val="center"/>
          </w:tcPr>
          <w:p>
            <w:pPr>
              <w:pStyle w:val="Normal"/>
              <w:bidi w:val="0"/>
              <w:jc w:val="left"/>
              <w:rPr/>
            </w:pPr>
            <w:r>
              <w:rPr/>
            </w:r>
          </w:p>
        </w:tc>
        <w:tc>
          <w:tcPr>
            <w:tcW w:w="1179" w:type="dxa"/>
            <w:vMerge w:val="continue"/>
            <w:tcBorders/>
            <w:vAlign w:val="center"/>
          </w:tcPr>
          <w:p>
            <w:pPr>
              <w:pStyle w:val="Normal"/>
              <w:bidi w:val="0"/>
              <w:jc w:val="left"/>
              <w:rPr/>
            </w:pPr>
            <w:r>
              <w:rPr/>
            </w:r>
          </w:p>
        </w:tc>
        <w:tc>
          <w:tcPr>
            <w:tcW w:w="2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49"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tbl>
      <w:tblPr>
        <w:tblW w:w="10800" w:type="dxa"/>
        <w:jc w:val="left"/>
        <w:tblInd w:w="0" w:type="dxa"/>
        <w:tblLayout w:type="fixed"/>
        <w:tblCellMar>
          <w:top w:w="0" w:type="dxa"/>
          <w:left w:w="0" w:type="dxa"/>
          <w:bottom w:w="0" w:type="dxa"/>
          <w:right w:w="0" w:type="dxa"/>
        </w:tblCellMar>
      </w:tblPr>
      <w:tblGrid>
        <w:gridCol w:w="1835"/>
        <w:gridCol w:w="60"/>
        <w:gridCol w:w="3350"/>
        <w:gridCol w:w="60"/>
        <w:gridCol w:w="60"/>
        <w:gridCol w:w="1985"/>
        <w:gridCol w:w="60"/>
        <w:gridCol w:w="60"/>
        <w:gridCol w:w="168"/>
        <w:gridCol w:w="1232"/>
        <w:gridCol w:w="410"/>
        <w:gridCol w:w="60"/>
        <w:gridCol w:w="173"/>
        <w:gridCol w:w="1212"/>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Name and</w:t>
            </w:r>
          </w:p>
          <w:p>
            <w:pPr>
              <w:pStyle w:val="TableContents"/>
              <w:pBdr>
                <w:bottom w:val="single" w:sz="8" w:space="1" w:color="000000"/>
              </w:pBdr>
              <w:bidi w:val="0"/>
              <w:spacing w:before="0" w:after="20"/>
              <w:jc w:val="left"/>
              <w:rPr>
                <w:rFonts w:ascii="Times New Roman" w:hAnsi="Times New Roman"/>
                <w:b/>
                <w:sz w:val="14"/>
              </w:rPr>
            </w:pPr>
            <w:r>
              <w:rPr>
                <w:rFonts w:ascii="Times New Roman" w:hAnsi="Times New Roman"/>
                <w:b/>
                <w:sz w:val="14"/>
              </w:rPr>
              <w:t>Address of Portfolio Company</w:t>
            </w:r>
          </w:p>
        </w:tc>
        <w:tc>
          <w:tcPr>
            <w:tcW w:w="60" w:type="dxa"/>
            <w:tcBorders/>
            <w:vAlign w:val="center"/>
          </w:tcPr>
          <w:p>
            <w:pPr>
              <w:pStyle w:val="TableContents"/>
              <w:bidi w:val="0"/>
              <w:spacing w:before="0" w:after="283"/>
              <w:jc w:val="left"/>
              <w:rPr/>
            </w:pPr>
            <w:r>
              <w:rPr/>
              <w:t> </w:t>
            </w:r>
          </w:p>
        </w:tc>
        <w:tc>
          <w:tcPr>
            <w:tcW w:w="3350" w:type="dxa"/>
            <w:tcBorders>
              <w:bottom w:val="single" w:sz="8" w:space="0" w:color="000000"/>
            </w:tcBorders>
            <w:tcMar>
              <w:bottom w:w="28" w:type="dxa"/>
            </w:tcMar>
            <w:vAlign w:val="center"/>
          </w:tcPr>
          <w:p>
            <w:pPr>
              <w:pStyle w:val="TableContents"/>
              <w:bidi w:val="0"/>
              <w:spacing w:before="0" w:after="283"/>
              <w:jc w:val="center"/>
              <w:rPr>
                <w:b/>
              </w:rPr>
            </w:pPr>
            <w:r>
              <w:rPr>
                <w:b/>
              </w:rPr>
              <w:t>Nature of Business</w:t>
            </w:r>
          </w:p>
        </w:tc>
        <w:tc>
          <w:tcPr>
            <w:tcW w:w="60" w:type="dxa"/>
            <w:tcBorders/>
            <w:vAlign w:val="center"/>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center"/>
          </w:tcPr>
          <w:p>
            <w:pPr>
              <w:pStyle w:val="TableContents"/>
              <w:bidi w:val="0"/>
              <w:spacing w:before="0" w:after="283"/>
              <w:jc w:val="center"/>
              <w:rPr/>
            </w:pPr>
            <w:r>
              <w:rPr>
                <w:b/>
              </w:rPr>
              <w:t>Type of Investment,</w:t>
            </w:r>
            <w:r>
              <w:rPr/>
              <w:br/>
            </w:r>
            <w:r>
              <w:rPr>
                <w:b/>
              </w:rPr>
              <w:t>Interest (1), 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pPr>
            <w:r>
              <w:rPr>
                <w:b/>
              </w:rPr>
              <w:t>Voting</w:t>
            </w:r>
            <w:r>
              <w:rPr/>
              <w:br/>
            </w:r>
            <w:r>
              <w:rPr>
                <w:b/>
              </w:rPr>
              <w:t>Percentage</w:t>
            </w:r>
            <w:r>
              <w:rPr/>
              <w:br/>
            </w:r>
            <w:r>
              <w:rPr>
                <w:b/>
              </w:rPr>
              <w:t>Ownership (2)</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b/>
              </w:rPr>
              <w:t>Fair Value</w:t>
            </w:r>
            <w:r>
              <w:rPr/>
              <w:br/>
            </w:r>
            <w:r>
              <w:rPr>
                <w:b/>
              </w:rPr>
              <w:t>(in thousands)</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UniTek Global Services Inc.</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Telecommunications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Preferred Equity</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— </w:t>
            </w:r>
          </w:p>
        </w:tc>
        <w:tc>
          <w:tcPr>
            <w:tcW w:w="41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w:t>
            </w:r>
          </w:p>
        </w:tc>
        <w:tc>
          <w:tcPr>
            <w:tcW w:w="1212" w:type="dxa"/>
            <w:vMerge w:val="restart"/>
            <w:tcBorders/>
            <w:vAlign w:val="center"/>
          </w:tcPr>
          <w:p>
            <w:pPr>
              <w:pStyle w:val="TableContents"/>
              <w:bidi w:val="0"/>
              <w:spacing w:before="0" w:after="283"/>
              <w:jc w:val="right"/>
              <w:rPr/>
            </w:pPr>
            <w:r>
              <w:rPr/>
              <w:t>— </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1817 Crane Ridge Drive, Suite 500</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Jackson, MS 39216</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Warrants</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UniVista Insurance(5)</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Insurance</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985" w:type="dxa"/>
            <w:vMerge w:val="restart"/>
            <w:tcBorders/>
            <w:vAlign w:val="center"/>
          </w:tcPr>
          <w:p>
            <w:pPr>
              <w:pStyle w:val="TableContents"/>
              <w:bidi w:val="0"/>
              <w:spacing w:before="0" w:after="283"/>
              <w:jc w:val="center"/>
              <w:rPr/>
            </w:pPr>
            <w:r>
              <w:rPr/>
              <w:t>Common Equity</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0.2</w:t>
            </w:r>
          </w:p>
        </w:tc>
        <w:tc>
          <w:tcPr>
            <w:tcW w:w="41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 </w:t>
            </w:r>
          </w:p>
        </w:tc>
        <w:tc>
          <w:tcPr>
            <w:tcW w:w="1212" w:type="dxa"/>
            <w:vMerge w:val="restart"/>
            <w:tcBorders/>
            <w:vAlign w:val="center"/>
          </w:tcPr>
          <w:p>
            <w:pPr>
              <w:pStyle w:val="TableContents"/>
              <w:bidi w:val="0"/>
              <w:spacing w:before="0" w:after="283"/>
              <w:jc w:val="right"/>
              <w:rPr/>
            </w:pPr>
            <w:r>
              <w:rPr/>
              <w:t>701</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1817 Crane Ridge Drive, Suite 500</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8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Jackson, MS 39216</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8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Urology Partners Co., LP</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Healthcare Providers and Services</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985" w:type="dxa"/>
            <w:vMerge w:val="restart"/>
            <w:tcBorders/>
            <w:vAlign w:val="center"/>
          </w:tcPr>
          <w:p>
            <w:pPr>
              <w:pStyle w:val="TableContents"/>
              <w:bidi w:val="0"/>
              <w:spacing w:before="0" w:after="283"/>
              <w:jc w:val="center"/>
              <w:rPr/>
            </w:pPr>
            <w:r>
              <w:rPr/>
              <w:t>Common Equity</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0.2</w:t>
            </w:r>
          </w:p>
        </w:tc>
        <w:tc>
          <w:tcPr>
            <w:tcW w:w="41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 </w:t>
            </w:r>
          </w:p>
        </w:tc>
        <w:tc>
          <w:tcPr>
            <w:tcW w:w="1212" w:type="dxa"/>
            <w:vMerge w:val="restart"/>
            <w:tcBorders/>
            <w:vAlign w:val="center"/>
          </w:tcPr>
          <w:p>
            <w:pPr>
              <w:pStyle w:val="TableContents"/>
              <w:bidi w:val="0"/>
              <w:spacing w:before="0" w:after="283"/>
              <w:jc w:val="right"/>
              <w:rPr/>
            </w:pPr>
            <w:r>
              <w:rPr/>
              <w:t>660</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500 East Broward Blvd, Suite 2150</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8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Fort Lauderdale, FL 33394</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8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Walker Edison Furniture Company LLC</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Wholesale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2.5</w:t>
            </w:r>
          </w:p>
        </w:tc>
        <w:tc>
          <w:tcPr>
            <w:tcW w:w="41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 </w:t>
            </w:r>
          </w:p>
        </w:tc>
        <w:tc>
          <w:tcPr>
            <w:tcW w:w="1212" w:type="dxa"/>
            <w:vMerge w:val="restart"/>
            <w:tcBorders/>
            <w:vAlign w:val="center"/>
          </w:tcPr>
          <w:p>
            <w:pPr>
              <w:pStyle w:val="TableContents"/>
              <w:bidi w:val="0"/>
              <w:spacing w:before="0" w:after="283"/>
              <w:jc w:val="right"/>
              <w:rPr/>
            </w:pPr>
            <w:r>
              <w:rPr/>
              <w:t>4,947</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(Walker Edison Holdco LLC)</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w:t>
            </w:r>
            <w:r>
              <w:rPr/>
              <w:t>, 03/01/2029</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1553 W 9000 S</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West Jordan, UT 84088</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Watchtower Intermediate, LLC</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Electronic Equipment, Instruments,</w:t>
              <w:br/>
              <w:t>and Components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2.5</w:t>
            </w:r>
          </w:p>
        </w:tc>
        <w:tc>
          <w:tcPr>
            <w:tcW w:w="41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 </w:t>
            </w:r>
          </w:p>
        </w:tc>
        <w:tc>
          <w:tcPr>
            <w:tcW w:w="1212" w:type="dxa"/>
            <w:vMerge w:val="restart"/>
            <w:tcBorders/>
            <w:vAlign w:val="center"/>
          </w:tcPr>
          <w:p>
            <w:pPr>
              <w:pStyle w:val="TableContents"/>
              <w:bidi w:val="0"/>
              <w:spacing w:before="0" w:after="283"/>
              <w:jc w:val="right"/>
              <w:rPr/>
            </w:pPr>
            <w:r>
              <w:rPr/>
              <w:t>11,530</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(Watchtower Holdings, LLC)(5)</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3M S+600 , 12/01/2029</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127 Weldon Parkway</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Maryland Heights, MO 63043</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WCP IvyRehab QP CF Feeder, LP(5)</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Healthcare Providers and Services</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985" w:type="dxa"/>
            <w:vMerge w:val="restart"/>
            <w:tcBorders/>
            <w:vAlign w:val="center"/>
          </w:tcPr>
          <w:p>
            <w:pPr>
              <w:pStyle w:val="TableContents"/>
              <w:bidi w:val="0"/>
              <w:spacing w:before="0" w:after="283"/>
              <w:jc w:val="center"/>
              <w:rPr/>
            </w:pPr>
            <w:r>
              <w:rPr/>
              <w:t>Common Equity</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0.2</w:t>
            </w:r>
          </w:p>
        </w:tc>
        <w:tc>
          <w:tcPr>
            <w:tcW w:w="41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 </w:t>
            </w:r>
          </w:p>
        </w:tc>
        <w:tc>
          <w:tcPr>
            <w:tcW w:w="1212" w:type="dxa"/>
            <w:vMerge w:val="restart"/>
            <w:tcBorders/>
            <w:vAlign w:val="center"/>
          </w:tcPr>
          <w:p>
            <w:pPr>
              <w:pStyle w:val="TableContents"/>
              <w:bidi w:val="0"/>
              <w:spacing w:before="0" w:after="283"/>
              <w:jc w:val="right"/>
              <w:rPr/>
            </w:pPr>
            <w:r>
              <w:rPr/>
              <w:t>4,173</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(WCP IvyRehab Coinvestment, LP) (5) </w:t>
            </w:r>
          </w:p>
          <w:p>
            <w:pPr>
              <w:pStyle w:val="TableContents"/>
              <w:bidi w:val="0"/>
              <w:spacing w:before="0" w:after="20"/>
              <w:jc w:val="left"/>
              <w:rPr>
                <w:rFonts w:ascii="Times New Roman" w:hAnsi="Times New Roman"/>
                <w:sz w:val="16"/>
              </w:rPr>
            </w:pPr>
            <w:r>
              <w:rPr>
                <w:rFonts w:ascii="Times New Roman" w:hAnsi="Times New Roman"/>
                <w:sz w:val="16"/>
              </w:rPr>
              <w:t>1311 Mamaroneck Avenue, Suite 140</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8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White Plains, NY 10605</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98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Wildcat Buyerco, Inc.</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Electronic Equipment, Instruments,</w:t>
              <w:br/>
              <w:t>and Components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— </w:t>
            </w:r>
          </w:p>
        </w:tc>
        <w:tc>
          <w:tcPr>
            <w:tcW w:w="41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 </w:t>
            </w:r>
          </w:p>
        </w:tc>
        <w:tc>
          <w:tcPr>
            <w:tcW w:w="1212" w:type="dxa"/>
            <w:vMerge w:val="restart"/>
            <w:tcBorders/>
            <w:vAlign w:val="center"/>
          </w:tcPr>
          <w:p>
            <w:pPr>
              <w:pStyle w:val="TableContents"/>
              <w:bidi w:val="0"/>
              <w:spacing w:before="0" w:after="283"/>
              <w:jc w:val="right"/>
              <w:rPr/>
            </w:pPr>
            <w:r>
              <w:rPr/>
              <w:t>13,378</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(Wildcat Parent, LP)</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3M S+575, 02/26/2027</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9730 Northcross Center Court</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Common Equity</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Huntersville, NC 28078</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Wrench Group, LLC</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Commercial Services &amp; Supplies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First Lien Secured Debt,</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— </w:t>
            </w:r>
          </w:p>
        </w:tc>
        <w:tc>
          <w:tcPr>
            <w:tcW w:w="41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 </w:t>
            </w:r>
          </w:p>
        </w:tc>
        <w:tc>
          <w:tcPr>
            <w:tcW w:w="1212" w:type="dxa"/>
            <w:vMerge w:val="restart"/>
            <w:tcBorders/>
            <w:vAlign w:val="center"/>
          </w:tcPr>
          <w:p>
            <w:pPr>
              <w:pStyle w:val="TableContents"/>
              <w:bidi w:val="0"/>
              <w:spacing w:before="0" w:after="283"/>
              <w:jc w:val="right"/>
              <w:rPr/>
            </w:pPr>
            <w:r>
              <w:rPr/>
              <w:t>3,509</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1819 Main Street Suite 1300</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3M S+426, 10/30/2028</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Sarasota, FL 34236</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Zips Car Wash, LLC</w:t>
            </w:r>
          </w:p>
          <w:p>
            <w:pPr>
              <w:pStyle w:val="TableContents"/>
              <w:bidi w:val="0"/>
              <w:spacing w:before="0" w:after="0"/>
              <w:jc w:val="left"/>
              <w:rPr>
                <w:rFonts w:ascii="Times New Roman" w:hAnsi="Times New Roman"/>
                <w:sz w:val="16"/>
              </w:rPr>
            </w:pPr>
            <w:r>
              <w:rPr>
                <w:rFonts w:ascii="Times New Roman" w:hAnsi="Times New Roman"/>
                <w:sz w:val="16"/>
              </w:rPr>
              <w:t>1809 East Parker Road</w:t>
            </w:r>
          </w:p>
          <w:p>
            <w:pPr>
              <w:pStyle w:val="TableContents"/>
              <w:bidi w:val="0"/>
              <w:spacing w:before="0" w:after="20"/>
              <w:jc w:val="left"/>
              <w:rPr>
                <w:rFonts w:ascii="Times New Roman" w:hAnsi="Times New Roman"/>
                <w:sz w:val="16"/>
              </w:rPr>
            </w:pPr>
            <w:r>
              <w:rPr>
                <w:rFonts w:ascii="Times New Roman" w:hAnsi="Times New Roman"/>
                <w:sz w:val="16"/>
              </w:rPr>
              <w:t>Jonesboro, AR 72404</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Automobiles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First Lien Secured Debt,</w:t>
              <w:br/>
              <w:t>3M S+735 (PIK 1.50%),</w:t>
              <w:br/>
              <w:t>12/31/2024</w:t>
            </w:r>
          </w:p>
        </w:tc>
        <w:tc>
          <w:tcPr>
            <w:tcW w:w="60" w:type="dxa"/>
            <w:tcBorders/>
            <w:vAlign w:val="center"/>
          </w:tcPr>
          <w:p>
            <w:pPr>
              <w:pStyle w:val="TableContents"/>
              <w:bidi w:val="0"/>
              <w:spacing w:before="0" w:after="283"/>
              <w:jc w:val="left"/>
              <w:rPr/>
            </w:pPr>
            <w:r>
              <w:rPr/>
              <w:t> </w:t>
            </w:r>
            <w:r>
              <w:rPr/>
              <w:br/>
              <w:t> </w:t>
              <w:b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— </w:t>
            </w:r>
          </w:p>
        </w:tc>
        <w:tc>
          <w:tcPr>
            <w:tcW w:w="41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 </w:t>
            </w:r>
          </w:p>
        </w:tc>
        <w:tc>
          <w:tcPr>
            <w:tcW w:w="1212" w:type="dxa"/>
            <w:vMerge w:val="restart"/>
            <w:tcBorders/>
            <w:vAlign w:val="center"/>
          </w:tcPr>
          <w:p>
            <w:pPr>
              <w:pStyle w:val="TableContents"/>
              <w:bidi w:val="0"/>
              <w:spacing w:before="0" w:after="283"/>
              <w:jc w:val="right"/>
              <w:rPr/>
            </w:pPr>
            <w:r>
              <w:rPr/>
              <w:t>12,960</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Companies 25% or More Owned</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Marketplace Events LLC</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Media: Diversified and Production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First Lien Secured Debt(4),</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8" w:type="dxa"/>
            <w:vMerge w:val="restart"/>
            <w:tcBorders/>
            <w:vAlign w:val="center"/>
          </w:tcPr>
          <w:p>
            <w:pPr>
              <w:pStyle w:val="TableContents"/>
              <w:bidi w:val="0"/>
              <w:spacing w:before="0" w:after="283"/>
              <w:jc w:val="left"/>
              <w:rPr/>
            </w:pPr>
            <w:r>
              <w:rPr/>
              <w:t> </w:t>
            </w:r>
          </w:p>
        </w:tc>
        <w:tc>
          <w:tcPr>
            <w:tcW w:w="1232" w:type="dxa"/>
            <w:vMerge w:val="restart"/>
            <w:tcBorders/>
            <w:vAlign w:val="center"/>
          </w:tcPr>
          <w:p>
            <w:pPr>
              <w:pStyle w:val="TableContents"/>
              <w:bidi w:val="0"/>
              <w:spacing w:before="0" w:after="283"/>
              <w:jc w:val="right"/>
              <w:rPr/>
            </w:pPr>
            <w:r>
              <w:rPr/>
              <w:t>32.6</w:t>
            </w:r>
          </w:p>
        </w:tc>
        <w:tc>
          <w:tcPr>
            <w:tcW w:w="410" w:type="dxa"/>
            <w:vMerge w:val="restart"/>
            <w:tcBorders/>
            <w:vAlign w:val="center"/>
          </w:tcPr>
          <w:p>
            <w:pPr>
              <w:pStyle w:val="TableContents"/>
              <w:bidi w:val="0"/>
              <w:spacing w:before="0" w:after="283"/>
              <w:jc w:val="left"/>
              <w:rPr/>
            </w:pPr>
            <w:r>
              <w:rPr/>
              <w:t>%(3) </w:t>
            </w:r>
          </w:p>
        </w:tc>
        <w:tc>
          <w:tcPr>
            <w:tcW w:w="60" w:type="dxa"/>
            <w:vMerge w:val="restart"/>
            <w:tcBorders/>
            <w:vAlign w:val="center"/>
          </w:tcPr>
          <w:p>
            <w:pPr>
              <w:pStyle w:val="TableContents"/>
              <w:bidi w:val="0"/>
              <w:spacing w:before="0" w:after="283"/>
              <w:jc w:val="left"/>
              <w:rPr/>
            </w:pPr>
            <w:r>
              <w:rPr/>
              <w:t> </w:t>
            </w:r>
          </w:p>
        </w:tc>
        <w:tc>
          <w:tcPr>
            <w:tcW w:w="173" w:type="dxa"/>
            <w:vMerge w:val="restart"/>
            <w:tcBorders/>
            <w:vAlign w:val="center"/>
          </w:tcPr>
          <w:p>
            <w:pPr>
              <w:pStyle w:val="TableContents"/>
              <w:bidi w:val="0"/>
              <w:spacing w:before="0" w:after="283"/>
              <w:jc w:val="left"/>
              <w:rPr/>
            </w:pPr>
            <w:r>
              <w:rPr/>
              <w:t> </w:t>
            </w:r>
          </w:p>
        </w:tc>
        <w:tc>
          <w:tcPr>
            <w:tcW w:w="1212" w:type="dxa"/>
            <w:vMerge w:val="restart"/>
            <w:tcBorders/>
            <w:vAlign w:val="center"/>
          </w:tcPr>
          <w:p>
            <w:pPr>
              <w:pStyle w:val="TableContents"/>
              <w:bidi w:val="0"/>
              <w:spacing w:before="0" w:after="283"/>
              <w:jc w:val="right"/>
              <w:rPr/>
            </w:pPr>
            <w:r>
              <w:rPr/>
              <w:t>38,004</w:t>
            </w:r>
          </w:p>
        </w:tc>
        <w:tc>
          <w:tcPr>
            <w:tcW w:w="75" w:type="dxa"/>
            <w:vMerge w:val="restart"/>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(New MPE Holdings, LLC)(5)</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3M S+550, 09/30/2026</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31105 Bainbridge Road, Suite 3</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Solon, OH 44139</w:t>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168" w:type="dxa"/>
            <w:vMerge w:val="continue"/>
            <w:tcBorders/>
            <w:vAlign w:val="center"/>
          </w:tcPr>
          <w:p>
            <w:pPr>
              <w:pStyle w:val="Normal"/>
              <w:bidi w:val="0"/>
              <w:jc w:val="left"/>
              <w:rPr/>
            </w:pPr>
            <w:r>
              <w:rPr/>
            </w:r>
          </w:p>
        </w:tc>
        <w:tc>
          <w:tcPr>
            <w:tcW w:w="1232" w:type="dxa"/>
            <w:vMerge w:val="continue"/>
            <w:tcBorders/>
            <w:vAlign w:val="center"/>
          </w:tcPr>
          <w:p>
            <w:pPr>
              <w:pStyle w:val="Normal"/>
              <w:bidi w:val="0"/>
              <w:jc w:val="left"/>
              <w:rPr/>
            </w:pPr>
            <w:r>
              <w:rPr/>
            </w:r>
          </w:p>
        </w:tc>
        <w:tc>
          <w:tcPr>
            <w:tcW w:w="41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73" w:type="dxa"/>
            <w:vMerge w:val="continue"/>
            <w:tcBorders/>
            <w:vAlign w:val="center"/>
          </w:tcPr>
          <w:p>
            <w:pPr>
              <w:pStyle w:val="Normal"/>
              <w:bidi w:val="0"/>
              <w:jc w:val="left"/>
              <w:rPr/>
            </w:pPr>
            <w:r>
              <w:rPr/>
            </w:r>
          </w:p>
        </w:tc>
        <w:tc>
          <w:tcPr>
            <w:tcW w:w="1212" w:type="dxa"/>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c>
          <w:tcPr>
            <w:tcW w:w="18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PennantPark Senior Secured Loan Fund I LLC(6)</w:t>
            </w:r>
          </w:p>
          <w:p>
            <w:pPr>
              <w:pStyle w:val="TableContents"/>
              <w:bidi w:val="0"/>
              <w:spacing w:before="0" w:after="0"/>
              <w:jc w:val="left"/>
              <w:rPr>
                <w:rFonts w:ascii="Times New Roman" w:hAnsi="Times New Roman"/>
                <w:sz w:val="16"/>
              </w:rPr>
            </w:pPr>
            <w:r>
              <w:rPr>
                <w:rFonts w:ascii="Times New Roman" w:hAnsi="Times New Roman"/>
                <w:sz w:val="16"/>
              </w:rPr>
              <w:t>1691 Michigan Avenue</w:t>
            </w:r>
          </w:p>
          <w:p>
            <w:pPr>
              <w:pStyle w:val="TableContents"/>
              <w:bidi w:val="0"/>
              <w:spacing w:before="0" w:after="20"/>
              <w:jc w:val="left"/>
              <w:rPr>
                <w:rFonts w:ascii="Times New Roman" w:hAnsi="Times New Roman"/>
                <w:sz w:val="16"/>
              </w:rPr>
            </w:pPr>
            <w:r>
              <w:rPr>
                <w:rFonts w:ascii="Times New Roman" w:hAnsi="Times New Roman"/>
                <w:sz w:val="16"/>
              </w:rPr>
              <w:t>Miami, FL 33139</w:t>
            </w:r>
          </w:p>
        </w:tc>
        <w:tc>
          <w:tcPr>
            <w:tcW w:w="60" w:type="dxa"/>
            <w:vMerge w:val="restart"/>
            <w:tcBorders/>
            <w:vAlign w:val="center"/>
          </w:tcPr>
          <w:p>
            <w:pPr>
              <w:pStyle w:val="TableContents"/>
              <w:bidi w:val="0"/>
              <w:spacing w:before="0" w:after="283"/>
              <w:jc w:val="left"/>
              <w:rPr/>
            </w:pPr>
            <w:r>
              <w:rPr/>
              <w:t> </w:t>
            </w:r>
          </w:p>
        </w:tc>
        <w:tc>
          <w:tcPr>
            <w:tcW w:w="3350" w:type="dxa"/>
            <w:vMerge w:val="restart"/>
            <w:tcBorders/>
            <w:vAlign w:val="center"/>
          </w:tcPr>
          <w:p>
            <w:pPr>
              <w:pStyle w:val="TableContents"/>
              <w:bidi w:val="0"/>
              <w:spacing w:before="0" w:after="283"/>
              <w:jc w:val="center"/>
              <w:rPr/>
            </w:pPr>
            <w:r>
              <w:rPr/>
              <w:t>Financial 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pPr>
            <w:r>
              <w:rPr/>
              <w:t>First Lien Secured Debt,</w:t>
              <w:br/>
              <w:t>3M S+800, 05/06/2024</w:t>
              <w:br/>
              <w:t>Common Equity</w:t>
            </w:r>
          </w:p>
        </w:tc>
        <w:tc>
          <w:tcPr>
            <w:tcW w:w="60" w:type="dxa"/>
            <w:tcBorders/>
            <w:vAlign w:val="center"/>
          </w:tcPr>
          <w:p>
            <w:pPr>
              <w:pStyle w:val="TableContents"/>
              <w:bidi w:val="0"/>
              <w:spacing w:before="0" w:after="283"/>
              <w:jc w:val="left"/>
              <w:rPr/>
            </w:pPr>
            <w:r>
              <w:rPr/>
              <w:t> </w:t>
            </w:r>
            <w:r>
              <w:rPr/>
              <w:br/>
              <w:t> </w:t>
              <w:b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50.0</w:t>
            </w:r>
          </w:p>
        </w:tc>
        <w:tc>
          <w:tcPr>
            <w:tcW w:w="41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263,199</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33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single" w:sz="2" w:space="1" w:color="000000"/>
              </w:pBdr>
              <w:bidi w:val="0"/>
              <w:spacing w:before="0" w:after="0"/>
              <w:jc w:val="left"/>
              <w:rPr/>
            </w:pPr>
            <w:r>
              <w:rPr/>
              <w:t> </w:t>
            </w:r>
          </w:p>
        </w:tc>
        <w:tc>
          <w:tcPr>
            <w:tcW w:w="121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Investments</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1212" w:type="dxa"/>
            <w:tcBorders/>
            <w:vAlign w:val="center"/>
          </w:tcPr>
          <w:p>
            <w:pPr>
              <w:pStyle w:val="TableContents"/>
              <w:bidi w:val="0"/>
              <w:spacing w:before="0" w:after="283"/>
              <w:jc w:val="right"/>
              <w:rPr/>
            </w:pPr>
            <w:r>
              <w:rPr/>
              <w:t>1,477,883</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pBdr>
                <w:top w:val="double" w:sz="6" w:space="1" w:color="000000"/>
              </w:pBdr>
              <w:bidi w:val="0"/>
              <w:spacing w:before="0" w:after="0"/>
              <w:jc w:val="left"/>
              <w:rPr/>
            </w:pPr>
            <w:r>
              <w:rPr/>
              <w:t> </w:t>
            </w:r>
          </w:p>
        </w:tc>
        <w:tc>
          <w:tcPr>
            <w:tcW w:w="121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floating rate instruments that accrue interest at a predetermined spread relative to an index, typically the applicable Secured Overnight Financing Rate, or “S”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ownership percentage refers only to common equity, preferred equity and warrants held, if any, were we to have voting rights. </w:t>
            </w:r>
          </w:p>
        </w:tc>
      </w:tr>
    </w:tbl>
    <w:tbl>
      <w:tblPr>
        <w:tblW w:w="7690" w:type="dxa"/>
        <w:jc w:val="left"/>
        <w:tblInd w:w="0" w:type="dxa"/>
        <w:tblLayout w:type="fixed"/>
        <w:tblCellMar>
          <w:top w:w="0" w:type="dxa"/>
          <w:left w:w="0" w:type="dxa"/>
          <w:bottom w:w="0" w:type="dxa"/>
          <w:right w:w="0" w:type="dxa"/>
        </w:tblCellMar>
      </w:tblPr>
      <w:tblGrid>
        <w:gridCol w:w="305"/>
        <w:gridCol w:w="7385"/>
      </w:tblGrid>
      <w:tr>
        <w:trPr/>
        <w:tc>
          <w:tcPr>
            <w:tcW w:w="305" w:type="dxa"/>
            <w:tcBorders/>
            <w:vAlign w:val="center"/>
          </w:tcPr>
          <w:p>
            <w:pPr>
              <w:pStyle w:val="TableContents"/>
              <w:bidi w:val="0"/>
              <w:spacing w:before="0" w:after="283"/>
              <w:jc w:val="left"/>
              <w:rPr/>
            </w:pPr>
            <w:r>
              <w:rPr/>
              <w:t>(3)</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hold one or more voting seats on the portfolio company’s board of directors/managers.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purchase of a security with delayed settlement or a revolving line of credit that is currently an unfunded investment, that does not earn a basis point spread above an index while it is unfunded. </w:t>
            </w:r>
          </w:p>
        </w:tc>
      </w:tr>
    </w:tbl>
    <w:tbl>
      <w:tblPr>
        <w:tblW w:w="4540" w:type="dxa"/>
        <w:jc w:val="left"/>
        <w:tblInd w:w="0" w:type="dxa"/>
        <w:tblLayout w:type="fixed"/>
        <w:tblCellMar>
          <w:top w:w="0" w:type="dxa"/>
          <w:left w:w="0" w:type="dxa"/>
          <w:bottom w:w="0" w:type="dxa"/>
          <w:right w:w="0" w:type="dxa"/>
        </w:tblCellMar>
      </w:tblPr>
      <w:tblGrid>
        <w:gridCol w:w="305"/>
        <w:gridCol w:w="4235"/>
      </w:tblGrid>
      <w:tr>
        <w:trPr/>
        <w:tc>
          <w:tcPr>
            <w:tcW w:w="305" w:type="dxa"/>
            <w:tcBorders/>
            <w:vAlign w:val="center"/>
          </w:tcPr>
          <w:p>
            <w:pPr>
              <w:pStyle w:val="TableContents"/>
              <w:bidi w:val="0"/>
              <w:spacing w:before="0" w:after="283"/>
              <w:jc w:val="left"/>
              <w:rPr/>
            </w:pPr>
            <w:r>
              <w:rPr/>
              <w:t>(5)</w:t>
            </w:r>
          </w:p>
        </w:tc>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Investment is held through our Taxable Subsidiary.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(6)</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83% of our total assets and non-qualifying assets represent 17% of our total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Set forth below is a brief description of each portfolio company in which we have made an investment that represents greater than 5% of our total assets as of March 31, 2024: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PennantPark Senior Secured Loan Fund I LLC (Financial Services) </w:t>
      </w:r>
    </w:p>
    <w:p>
      <w:pPr>
        <w:pStyle w:val="TextBody"/>
        <w:bidi w:val="0"/>
        <w:spacing w:before="120" w:after="0"/>
        <w:jc w:val="left"/>
        <w:rPr>
          <w:rFonts w:ascii="Times New Roman" w:hAnsi="Times New Roman"/>
          <w:sz w:val="20"/>
        </w:rPr>
      </w:pPr>
      <w:r>
        <w:rPr>
          <w:rFonts w:ascii="Times New Roman" w:hAnsi="Times New Roman"/>
          <w:sz w:val="20"/>
        </w:rPr>
        <w:t xml:space="preserve">PennantPark Senior Secured Loan Fund I LLC is an unconsolidated joint venture between the Company and certain entities of Kemper Insurance Corporation, or Kemper, which invests primarily in floating rate loans, with an emphasis on senior secured loans, in middle-market leveraged companies.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describes investments by industry classification and enumerates the percentage, by fair value, of the total portfolio assets (excluding cash and cash equivalents) in such industries: </w:t>
      </w:r>
    </w:p>
    <w:p>
      <w:pPr>
        <w:pStyle w:val="TextBody"/>
        <w:bidi w:val="0"/>
        <w:spacing w:before="0" w:after="0"/>
        <w:jc w:val="left"/>
        <w:rPr/>
      </w:pPr>
      <w:r>
        <w:rPr/>
        <w:t> </w:t>
      </w:r>
    </w:p>
    <w:tbl>
      <w:tblPr>
        <w:tblW w:w="9138" w:type="dxa"/>
        <w:jc w:val="left"/>
        <w:tblInd w:w="0" w:type="dxa"/>
        <w:tblLayout w:type="fixed"/>
        <w:tblCellMar>
          <w:top w:w="0" w:type="dxa"/>
          <w:left w:w="0" w:type="dxa"/>
          <w:bottom w:w="0" w:type="dxa"/>
          <w:right w:w="0" w:type="dxa"/>
        </w:tblCellMar>
      </w:tblPr>
      <w:tblGrid>
        <w:gridCol w:w="4325"/>
        <w:gridCol w:w="120"/>
        <w:gridCol w:w="363"/>
        <w:gridCol w:w="1576"/>
        <w:gridCol w:w="275"/>
        <w:gridCol w:w="60"/>
        <w:gridCol w:w="439"/>
        <w:gridCol w:w="1905"/>
        <w:gridCol w:w="75"/>
      </w:tblGrid>
      <w:tr>
        <w:trPr/>
        <w:tc>
          <w:tcPr>
            <w:tcW w:w="4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Industry Classification</w:t>
            </w:r>
          </w:p>
        </w:tc>
        <w:tc>
          <w:tcPr>
            <w:tcW w:w="120" w:type="dxa"/>
            <w:tcBorders/>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2024 (1)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2023 (1)</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Aerospace and Defense</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Media</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Healthcare Providers and Services</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Electronic Equipment, Instruments, and Components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&amp; Engineering</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Personal Products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 Services</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Distributors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Media: Diversified and Production</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Healthcare Technology</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High Tech Industries</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Commercial Services &amp; Supplies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and Building</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Equipment</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Air Freight and Logistics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Auto Components</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Automobiles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Business Services</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Chemicals, Plastics and Rubber</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Consumer Services</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Diversified Consumer Services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Diversified Financial Services</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Energy Equipment and Services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Services</w:t>
            </w:r>
          </w:p>
        </w:tc>
        <w:tc>
          <w:tcPr>
            <w:tcW w:w="12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90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Food Products</w:t>
            </w:r>
          </w:p>
        </w:tc>
        <w:tc>
          <w:tcPr>
            <w:tcW w:w="12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p>
        </w:tc>
        <w:tc>
          <w:tcPr>
            <w:tcW w:w="1905"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tbl>
      <w:tblPr>
        <w:tblW w:w="8018" w:type="dxa"/>
        <w:jc w:val="left"/>
        <w:tblInd w:w="0" w:type="dxa"/>
        <w:tblLayout w:type="fixed"/>
        <w:tblCellMar>
          <w:top w:w="0" w:type="dxa"/>
          <w:left w:w="0" w:type="dxa"/>
          <w:bottom w:w="0" w:type="dxa"/>
          <w:right w:w="0" w:type="dxa"/>
        </w:tblCellMar>
      </w:tblPr>
      <w:tblGrid>
        <w:gridCol w:w="2990"/>
        <w:gridCol w:w="120"/>
        <w:gridCol w:w="264"/>
        <w:gridCol w:w="1675"/>
        <w:gridCol w:w="275"/>
        <w:gridCol w:w="60"/>
        <w:gridCol w:w="319"/>
        <w:gridCol w:w="2025"/>
        <w:gridCol w:w="290"/>
      </w:tblGrid>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Industry Classification</w:t>
            </w:r>
          </w:p>
        </w:tc>
        <w:tc>
          <w:tcPr>
            <w:tcW w:w="120" w:type="dxa"/>
            <w:tcBorders/>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2024 (1)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2023 (1)</w:t>
            </w:r>
          </w:p>
        </w:tc>
        <w:tc>
          <w:tcPr>
            <w:tcW w:w="29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Healthcare Equipment and Supplies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675"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Hotels, Restaurants and Leisure</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75"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Internet Software and Services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675"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Leisure Products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75"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Metals and Mining</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675"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Textiles, Apparel and Luxury Goods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75" w:type="dxa"/>
            <w:tcBorders/>
            <w:vAlign w:val="center"/>
          </w:tcPr>
          <w:p>
            <w:pPr>
              <w:pStyle w:val="TableContents"/>
              <w:bidi w:val="0"/>
              <w:spacing w:before="0" w:after="283"/>
              <w:jc w:val="right"/>
              <w:rPr/>
            </w:pPr>
            <w:r>
              <w:rPr/>
              <w:t>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675" w:type="dxa"/>
            <w:tcBorders/>
            <w:shd w:fill="CCEEFF" w:val="clear"/>
            <w:vAlign w:val="center"/>
          </w:tcPr>
          <w:p>
            <w:pPr>
              <w:pStyle w:val="TableContents"/>
              <w:bidi w:val="0"/>
              <w:spacing w:before="0" w:after="283"/>
              <w:jc w:val="right"/>
              <w:rPr/>
            </w:pPr>
            <w:r>
              <w:rPr/>
              <w:t>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single" w:sz="2" w:space="1" w:color="000000"/>
              </w:pBdr>
              <w:bidi w:val="0"/>
              <w:spacing w:before="0" w:after="0"/>
              <w:jc w:val="left"/>
              <w:rPr/>
            </w:pPr>
            <w:r>
              <w:rPr/>
              <w:t> </w:t>
            </w:r>
          </w:p>
        </w:tc>
        <w:tc>
          <w:tcPr>
            <w:tcW w:w="1675"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pBdr>
                <w:top w:val="single" w:sz="2" w:space="1" w:color="000000"/>
              </w:pBdr>
              <w:bidi w:val="0"/>
              <w:spacing w:before="0" w:after="0"/>
              <w:jc w:val="left"/>
              <w:rPr/>
            </w:pPr>
            <w:r>
              <w:rPr/>
              <w:t> </w:t>
            </w:r>
          </w:p>
        </w:tc>
        <w:tc>
          <w:tcPr>
            <w:tcW w:w="2025"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675"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2025"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pBdr>
                <w:top w:val="double" w:sz="6" w:space="1" w:color="000000"/>
              </w:pBdr>
              <w:bidi w:val="0"/>
              <w:spacing w:before="0" w:after="0"/>
              <w:jc w:val="left"/>
              <w:rPr/>
            </w:pPr>
            <w:r>
              <w:rPr/>
              <w:t> </w:t>
            </w:r>
          </w:p>
        </w:tc>
        <w:tc>
          <w:tcPr>
            <w:tcW w:w="1675"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pBdr>
                <w:top w:val="double" w:sz="6" w:space="1" w:color="000000"/>
              </w:pBdr>
              <w:bidi w:val="0"/>
              <w:spacing w:before="0" w:after="0"/>
              <w:jc w:val="left"/>
              <w:rPr/>
            </w:pPr>
            <w:r>
              <w:rPr/>
              <w:t> </w:t>
            </w:r>
          </w:p>
        </w:tc>
        <w:tc>
          <w:tcPr>
            <w:tcW w:w="2025"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950" w:type="dxa"/>
        <w:jc w:val="left"/>
        <w:tblInd w:w="0" w:type="dxa"/>
        <w:tblLayout w:type="fixed"/>
        <w:tblCellMar>
          <w:top w:w="0" w:type="dxa"/>
          <w:left w:w="0" w:type="dxa"/>
          <w:bottom w:w="0" w:type="dxa"/>
          <w:right w:w="0" w:type="dxa"/>
        </w:tblCellMar>
      </w:tblPr>
      <w:tblGrid>
        <w:gridCol w:w="365"/>
        <w:gridCol w:w="2585"/>
      </w:tblGrid>
      <w:tr>
        <w:trPr/>
        <w:tc>
          <w:tcPr>
            <w:tcW w:w="365" w:type="dxa"/>
            <w:tcBorders/>
            <w:vAlign w:val="center"/>
          </w:tcPr>
          <w:p>
            <w:pPr>
              <w:pStyle w:val="TableContents"/>
              <w:bidi w:val="0"/>
              <w:spacing w:before="0" w:after="283"/>
              <w:jc w:val="left"/>
              <w:rPr/>
            </w:pPr>
            <w:r>
              <w:rPr/>
              <w:t>(1) </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investments in PSSL.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4" w:name="tx894111_11a"/>
      <w:bookmarkEnd w:id="14"/>
      <w:r>
        <w:rPr>
          <w:rFonts w:ascii="Times New Roman" w:hAnsi="Times New Roman"/>
          <w:b/>
          <w:sz w:val="20"/>
        </w:rPr>
        <w:t xml:space="preserve">MANAGEMENT OF THE COMPANY </w:t>
      </w:r>
    </w:p>
    <w:p>
      <w:pPr>
        <w:pStyle w:val="TextBody"/>
        <w:bidi w:val="0"/>
        <w:spacing w:before="240" w:after="0"/>
        <w:jc w:val="left"/>
        <w:rPr/>
      </w:pPr>
      <w:r>
        <w:rPr>
          <w:rFonts w:ascii="Times New Roman" w:hAnsi="Times New Roman"/>
          <w:sz w:val="20"/>
        </w:rPr>
        <w:t xml:space="preserve">The information in the sections entitled “Security Ownership of Certain Beneficial Owners and Management,” “Information About the Nominees and Directors,” “Corporate Governance,” and “Board’s Oversight Role in Management” in our most recent Definitive Proxy Statement on </w:t>
      </w:r>
      <w:hyperlink r:id="rId21">
        <w:r>
          <w:rPr>
            <w:rStyle w:val="InternetLink"/>
            <w:rFonts w:ascii="Times New Roman" w:hAnsi="Times New Roman"/>
            <w:sz w:val="20"/>
          </w:rPr>
          <w:t>Schedule 14A</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x894111_11b"/>
      <w:bookmarkEnd w:id="15"/>
      <w:r>
        <w:rPr>
          <w:rFonts w:ascii="Times New Roman" w:hAnsi="Times New Roman"/>
          <w:b/>
          <w:sz w:val="20"/>
        </w:rPr>
        <w:t xml:space="preserve">INVESTMENT MANAGEMENT AND ADMINISTRATION AGREEMENT </w:t>
      </w:r>
    </w:p>
    <w:p>
      <w:pPr>
        <w:pStyle w:val="TextBody"/>
        <w:bidi w:val="0"/>
        <w:spacing w:before="240" w:after="0"/>
        <w:jc w:val="left"/>
        <w:rPr/>
      </w:pPr>
      <w:r>
        <w:rPr>
          <w:rFonts w:ascii="Times New Roman" w:hAnsi="Times New Roman"/>
          <w:sz w:val="20"/>
        </w:rPr>
        <w:t xml:space="preserve">The information in the section entitled “Business—Investment Management Agreement,” “Business—Investment Advisory Fees,” “Business—Organization of the Investment Adviser,” “Business—Administration Agreements” in Part I, Item 1 of our most recent Annual Report on </w:t>
      </w:r>
      <w:hyperlink r:id="rId22">
        <w:r>
          <w:rPr>
            <w:rStyle w:val="InternetLink"/>
            <w:rFonts w:ascii="Times New Roman" w:hAnsi="Times New Roman"/>
            <w:sz w:val="20"/>
          </w:rPr>
          <w:t>Form 10-K</w:t>
        </w:r>
      </w:hyperlink>
      <w:r>
        <w:rPr>
          <w:rFonts w:ascii="Times New Roman" w:hAnsi="Times New Roman"/>
          <w:sz w:val="20"/>
        </w:rPr>
        <w:t xml:space="preserve"> and in the notes to our consolidated financial statements under the caption “Note 3. Agreements and Related Party Transactions” in our most recent Annual Report on </w:t>
      </w:r>
      <w:hyperlink r:id="rId23">
        <w:r>
          <w:rPr>
            <w:rStyle w:val="InternetLink"/>
            <w:rFonts w:ascii="Times New Roman" w:hAnsi="Times New Roman"/>
            <w:sz w:val="20"/>
          </w:rPr>
          <w:t>Form 10-K</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tx894111_12"/>
      <w:bookmarkEnd w:id="16"/>
      <w:r>
        <w:rPr>
          <w:rFonts w:ascii="Times New Roman" w:hAnsi="Times New Roman"/>
          <w:b/>
          <w:sz w:val="20"/>
        </w:rPr>
        <w:t xml:space="preserve">PORTFOLIO MANAGEMENT </w:t>
      </w:r>
    </w:p>
    <w:p>
      <w:pPr>
        <w:pStyle w:val="TextBody"/>
        <w:bidi w:val="0"/>
        <w:spacing w:before="240" w:after="0"/>
        <w:jc w:val="left"/>
        <w:rPr>
          <w:rFonts w:ascii="Times New Roman" w:hAnsi="Times New Roman"/>
          <w:sz w:val="20"/>
        </w:rPr>
      </w:pPr>
      <w:r>
        <w:rPr>
          <w:rFonts w:ascii="Times New Roman" w:hAnsi="Times New Roman"/>
          <w:sz w:val="20"/>
        </w:rPr>
        <w:t xml:space="preserve">Our Investment Adviser, which manages our day-to-day investment activities under the supervision of our board of directors, has nine experienced portfolio managers.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portfolio managers receive no compensation from us. The compensation of these individuals is paid by our Investment Adviser and compensation includes a base salary and a bonus contingent upon past and future performance. </w:t>
      </w:r>
    </w:p>
    <w:p>
      <w:pPr>
        <w:pStyle w:val="TextBody"/>
        <w:bidi w:val="0"/>
        <w:spacing w:before="240" w:after="0"/>
        <w:jc w:val="left"/>
        <w:rPr>
          <w:rFonts w:ascii="Times New Roman" w:hAnsi="Times New Roman"/>
          <w:sz w:val="20"/>
        </w:rPr>
      </w:pPr>
      <w:r>
        <w:rPr>
          <w:rFonts w:ascii="Times New Roman" w:hAnsi="Times New Roman"/>
          <w:sz w:val="20"/>
        </w:rPr>
        <w:t xml:space="preserve">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w:t>
      </w:r>
    </w:p>
    <w:p>
      <w:pPr>
        <w:pStyle w:val="TextBody"/>
        <w:bidi w:val="0"/>
        <w:spacing w:before="240" w:after="0"/>
        <w:jc w:val="left"/>
        <w:rPr>
          <w:rFonts w:ascii="Times New Roman" w:hAnsi="Times New Roman"/>
          <w:sz w:val="20"/>
        </w:rPr>
      </w:pPr>
      <w:r>
        <w:rPr>
          <w:rFonts w:ascii="Times New Roman" w:hAnsi="Times New Roman"/>
          <w:sz w:val="20"/>
        </w:rPr>
        <w:t xml:space="preserve">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 </w:t>
      </w:r>
    </w:p>
    <w:p>
      <w:pPr>
        <w:pStyle w:val="TextBody"/>
        <w:bidi w:val="0"/>
        <w:spacing w:before="240" w:after="0"/>
        <w:jc w:val="left"/>
        <w:rPr>
          <w:rFonts w:ascii="Times New Roman" w:hAnsi="Times New Roman"/>
          <w:sz w:val="20"/>
        </w:rPr>
      </w:pPr>
      <w:r>
        <w:rPr>
          <w:rFonts w:ascii="Times New Roman" w:hAnsi="Times New Roman"/>
          <w:sz w:val="20"/>
        </w:rPr>
        <w:t xml:space="preserve">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 </w:t>
      </w:r>
    </w:p>
    <w:p>
      <w:pPr>
        <w:pStyle w:val="TextBody"/>
        <w:bidi w:val="0"/>
        <w:spacing w:before="240" w:after="0"/>
        <w:jc w:val="left"/>
        <w:rPr>
          <w:rFonts w:ascii="Times New Roman" w:hAnsi="Times New Roman"/>
          <w:sz w:val="20"/>
        </w:rPr>
      </w:pPr>
      <w:r>
        <w:rPr>
          <w:rFonts w:ascii="Times New Roman" w:hAnsi="Times New Roman"/>
          <w:sz w:val="20"/>
        </w:rPr>
        <w:t xml:space="preserve">Michael Appelbaum joined PennantPark Investment Advisers in August 2011. Previously, Mr. Appelbaum was an Analyst in the Leveraged Finance Group at Bank of America Merrill Lynch from 2010 to 2011 and an Analyst in Aerospace and Defense Finance at CIT Group from 2007 to 2010. </w:t>
      </w:r>
    </w:p>
    <w:p>
      <w:pPr>
        <w:pStyle w:val="TextBody"/>
        <w:bidi w:val="0"/>
        <w:spacing w:before="240" w:after="0"/>
        <w:jc w:val="left"/>
        <w:rPr>
          <w:rFonts w:ascii="Times New Roman" w:hAnsi="Times New Roman"/>
          <w:sz w:val="20"/>
        </w:rPr>
      </w:pPr>
      <w:r>
        <w:rPr>
          <w:rFonts w:ascii="Times New Roman" w:hAnsi="Times New Roman"/>
          <w:sz w:val="20"/>
        </w:rPr>
        <w:t xml:space="preserve">Terence Clerkin joined PennantPark Investment Advisers in September 2012. Previously, Mr. Clerkin was an Associate in the Mezzanine Group at Crescent Capital from 2010 to 2012. Before that, he was an Analyst at Moelis &amp; Company from 2008 to 2010 and an Analyst at Bear, Stearns &amp; Co. from 2007 to 2008.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 </w:t>
      </w:r>
    </w:p>
    <w:p>
      <w:pPr>
        <w:pStyle w:val="TextBody"/>
        <w:bidi w:val="0"/>
        <w:spacing w:before="240" w:after="0"/>
        <w:jc w:val="left"/>
        <w:rPr>
          <w:rFonts w:ascii="Times New Roman" w:hAnsi="Times New Roman"/>
          <w:sz w:val="20"/>
        </w:rPr>
      </w:pPr>
      <w:r>
        <w:rPr>
          <w:rFonts w:ascii="Times New Roman" w:hAnsi="Times New Roman"/>
          <w:sz w:val="20"/>
        </w:rPr>
        <w:t xml:space="preserve">Ryan Raskopf joined PennantPark Investment Advisers in August 2007. Previously, Mr. Raskopf was an Analyst in the Financial Institutions Group at Credit Suisse Securities (USA) LLC from 2005 to 2007. </w:t>
      </w:r>
    </w:p>
    <w:p>
      <w:pPr>
        <w:pStyle w:val="TextBody"/>
        <w:bidi w:val="0"/>
        <w:spacing w:before="240" w:after="0"/>
        <w:jc w:val="left"/>
        <w:rPr>
          <w:rFonts w:ascii="Times New Roman" w:hAnsi="Times New Roman"/>
          <w:sz w:val="20"/>
        </w:rPr>
      </w:pPr>
      <w:r>
        <w:rPr>
          <w:rFonts w:ascii="Times New Roman" w:hAnsi="Times New Roman"/>
          <w:sz w:val="20"/>
        </w:rPr>
        <w:t xml:space="preserve">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 </w:t>
      </w:r>
    </w:p>
    <w:p>
      <w:pPr>
        <w:pStyle w:val="TextBody"/>
        <w:bidi w:val="0"/>
        <w:spacing w:before="240" w:after="0"/>
        <w:jc w:val="left"/>
        <w:rPr>
          <w:rFonts w:ascii="Times New Roman" w:hAnsi="Times New Roman"/>
          <w:sz w:val="20"/>
        </w:rPr>
      </w:pPr>
      <w:r>
        <w:rPr>
          <w:rFonts w:ascii="Times New Roman" w:hAnsi="Times New Roman"/>
          <w:sz w:val="20"/>
        </w:rPr>
        <w:t xml:space="preserve">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managing our investments, as of March 31, 2024, our portfolio managers also managed investments on behalf of the following entities: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6"/>
        <w:gridCol w:w="120"/>
        <w:gridCol w:w="1741"/>
        <w:gridCol w:w="120"/>
        <w:gridCol w:w="4891"/>
        <w:gridCol w:w="120"/>
        <w:gridCol w:w="266"/>
        <w:gridCol w:w="1064"/>
        <w:gridCol w:w="77"/>
      </w:tblGrid>
      <w:tr>
        <w:trPr/>
        <w:tc>
          <w:tcPr>
            <w:tcW w:w="18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806" w:type="dxa"/>
            <w:tcBorders/>
            <w:vAlign w:val="center"/>
          </w:tcPr>
          <w:p>
            <w:pPr>
              <w:pStyle w:val="TableContents"/>
              <w:bidi w:val="0"/>
              <w:spacing w:before="0" w:after="283"/>
              <w:jc w:val="center"/>
              <w:rPr>
                <w:b/>
              </w:rPr>
            </w:pPr>
            <w:r>
              <w:rPr>
                <w:b/>
              </w:rPr>
              <w:t>Name</w:t>
            </w:r>
          </w:p>
        </w:tc>
        <w:tc>
          <w:tcPr>
            <w:tcW w:w="120"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center"/>
              <w:rPr>
                <w:b/>
              </w:rPr>
            </w:pPr>
            <w:r>
              <w:rPr>
                <w:b/>
              </w:rPr>
              <w:t>Entity</w:t>
            </w:r>
          </w:p>
        </w:tc>
        <w:tc>
          <w:tcPr>
            <w:tcW w:w="120" w:type="dxa"/>
            <w:tcBorders/>
            <w:vAlign w:val="center"/>
          </w:tcPr>
          <w:p>
            <w:pPr>
              <w:pStyle w:val="TableContents"/>
              <w:bidi w:val="0"/>
              <w:spacing w:before="0" w:after="283"/>
              <w:jc w:val="left"/>
              <w:rPr/>
            </w:pPr>
            <w:r>
              <w:rPr/>
              <w:t>  </w:t>
            </w:r>
          </w:p>
        </w:tc>
        <w:tc>
          <w:tcPr>
            <w:tcW w:w="4891" w:type="dxa"/>
            <w:tcBorders/>
            <w:vAlign w:val="center"/>
          </w:tcPr>
          <w:p>
            <w:pPr>
              <w:pStyle w:val="TableContents"/>
              <w:bidi w:val="0"/>
              <w:spacing w:before="0" w:after="283"/>
              <w:jc w:val="center"/>
              <w:rPr>
                <w:b/>
              </w:rPr>
            </w:pPr>
            <w:r>
              <w:rPr>
                <w:b/>
              </w:rPr>
              <w:t>Investment Focus</w:t>
            </w:r>
          </w:p>
        </w:tc>
        <w:tc>
          <w:tcPr>
            <w:tcW w:w="12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center"/>
              <w:rPr>
                <w:b/>
              </w:rPr>
            </w:pPr>
            <w:r>
              <w:rPr>
                <w:b/>
              </w:rPr>
              <w:t>Gross Assets</w:t>
              <w:br/>
              <w:t>($ in millions)</w:t>
            </w:r>
          </w:p>
        </w:tc>
        <w:tc>
          <w:tcPr>
            <w:tcW w:w="77" w:type="dxa"/>
            <w:tcBorders/>
            <w:vAlign w:val="center"/>
          </w:tcPr>
          <w:p>
            <w:pPr>
              <w:pStyle w:val="TableContents"/>
              <w:bidi w:val="0"/>
              <w:spacing w:before="0" w:after="283"/>
              <w:jc w:val="left"/>
              <w:rPr/>
            </w:pPr>
            <w:r>
              <w:rPr/>
              <w:t> </w:t>
            </w:r>
          </w:p>
        </w:tc>
      </w:tr>
      <w:tr>
        <w:trPr/>
        <w:tc>
          <w:tcPr>
            <w:tcW w:w="18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PennantPark Investment Corporation</w:t>
            </w:r>
          </w:p>
        </w:tc>
        <w:tc>
          <w:tcPr>
            <w:tcW w:w="120"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left"/>
              <w:rPr/>
            </w:pPr>
            <w:r>
              <w:rPr/>
              <w:t>Business development company</w:t>
            </w:r>
          </w:p>
        </w:tc>
        <w:tc>
          <w:tcPr>
            <w:tcW w:w="120" w:type="dxa"/>
            <w:tcBorders/>
            <w:shd w:fill="CCEEFF" w:val="clear"/>
            <w:vAlign w:val="center"/>
          </w:tcPr>
          <w:p>
            <w:pPr>
              <w:pStyle w:val="TableContents"/>
              <w:bidi w:val="0"/>
              <w:spacing w:before="0" w:after="283"/>
              <w:jc w:val="left"/>
              <w:rPr/>
            </w:pPr>
            <w:r>
              <w:rPr/>
              <w:t>  </w:t>
            </w:r>
          </w:p>
        </w:tc>
        <w:tc>
          <w:tcPr>
            <w:tcW w:w="4891" w:type="dxa"/>
            <w:tcBorders/>
            <w:shd w:fill="CCEEFF" w:val="clear"/>
            <w:vAlign w:val="center"/>
          </w:tcPr>
          <w:p>
            <w:pPr>
              <w:pStyle w:val="TableContents"/>
              <w:bidi w:val="0"/>
              <w:spacing w:before="0" w:after="283"/>
              <w:jc w:val="left"/>
              <w:rPr/>
            </w:pPr>
            <w:r>
              <w:rPr/>
              <w:t>Primarily in U.S. middle market companies in the form of first lien secured loans, second lien secured debt, subordinated debt and equity investments</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1,291</w:t>
            </w:r>
          </w:p>
        </w:tc>
        <w:tc>
          <w:tcPr>
            <w:tcW w:w="77" w:type="dxa"/>
            <w:tcBorders/>
            <w:shd w:fill="CCEEFF" w:val="clear"/>
            <w:vAlign w:val="center"/>
          </w:tcPr>
          <w:p>
            <w:pPr>
              <w:pStyle w:val="TableContents"/>
              <w:bidi w:val="0"/>
              <w:spacing w:before="0" w:after="283"/>
              <w:jc w:val="left"/>
              <w:rPr/>
            </w:pPr>
            <w:r>
              <w:rPr/>
              <w:t> </w:t>
            </w:r>
          </w:p>
        </w:tc>
      </w:tr>
      <w:tr>
        <w:trPr/>
        <w:tc>
          <w:tcPr>
            <w:tcW w:w="1806" w:type="dxa"/>
            <w:tcBorders/>
            <w:vAlign w:val="center"/>
          </w:tcPr>
          <w:p>
            <w:pPr>
              <w:pStyle w:val="TableContents"/>
              <w:bidi w:val="0"/>
              <w:spacing w:before="0" w:after="283"/>
              <w:jc w:val="left"/>
              <w:rPr>
                <w:sz w:val="4"/>
                <w:szCs w:val="4"/>
              </w:rPr>
            </w:pPr>
            <w:r>
              <w:rPr>
                <w:sz w:val="4"/>
                <w:szCs w:val="4"/>
              </w:rPr>
            </w:r>
          </w:p>
        </w:tc>
        <w:tc>
          <w:tcPr>
            <w:tcW w:w="1861" w:type="dxa"/>
            <w:gridSpan w:val="2"/>
            <w:tcBorders/>
            <w:vAlign w:val="center"/>
          </w:tcPr>
          <w:p>
            <w:pPr>
              <w:pStyle w:val="TableContents"/>
              <w:bidi w:val="0"/>
              <w:spacing w:before="0" w:after="283"/>
              <w:jc w:val="left"/>
              <w:rPr>
                <w:sz w:val="4"/>
                <w:szCs w:val="4"/>
              </w:rPr>
            </w:pPr>
            <w:r>
              <w:rPr>
                <w:sz w:val="4"/>
                <w:szCs w:val="4"/>
              </w:rPr>
            </w:r>
          </w:p>
        </w:tc>
        <w:tc>
          <w:tcPr>
            <w:tcW w:w="5011" w:type="dxa"/>
            <w:gridSpan w:val="2"/>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PennantPark Senior Secured Loan Fund I LLC</w:t>
            </w:r>
          </w:p>
        </w:tc>
        <w:tc>
          <w:tcPr>
            <w:tcW w:w="120"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Joint Venture</w:t>
            </w:r>
          </w:p>
        </w:tc>
        <w:tc>
          <w:tcPr>
            <w:tcW w:w="120" w:type="dxa"/>
            <w:tcBorders/>
            <w:vAlign w:val="center"/>
          </w:tcPr>
          <w:p>
            <w:pPr>
              <w:pStyle w:val="TableContents"/>
              <w:bidi w:val="0"/>
              <w:spacing w:before="0" w:after="283"/>
              <w:jc w:val="left"/>
              <w:rPr/>
            </w:pPr>
            <w:r>
              <w:rPr/>
              <w:t>  </w:t>
            </w:r>
          </w:p>
        </w:tc>
        <w:tc>
          <w:tcPr>
            <w:tcW w:w="4891" w:type="dxa"/>
            <w:tcBorders/>
            <w:vAlign w:val="center"/>
          </w:tcPr>
          <w:p>
            <w:pPr>
              <w:pStyle w:val="TableContents"/>
              <w:bidi w:val="0"/>
              <w:spacing w:before="0" w:after="283"/>
              <w:jc w:val="left"/>
              <w:rPr/>
            </w:pPr>
            <w:r>
              <w:rPr/>
              <w:t>Primarily floating rate loans, with an emphasis on senior secured loans, in middle-market leveraged companies.</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941</w:t>
            </w:r>
          </w:p>
        </w:tc>
        <w:tc>
          <w:tcPr>
            <w:tcW w:w="77" w:type="dxa"/>
            <w:tcBorders/>
            <w:vAlign w:val="center"/>
          </w:tcPr>
          <w:p>
            <w:pPr>
              <w:pStyle w:val="TableContents"/>
              <w:bidi w:val="0"/>
              <w:spacing w:before="0" w:after="283"/>
              <w:jc w:val="left"/>
              <w:rPr/>
            </w:pPr>
            <w:r>
              <w:rPr/>
              <w:t> </w:t>
            </w:r>
          </w:p>
        </w:tc>
      </w:tr>
      <w:tr>
        <w:trPr/>
        <w:tc>
          <w:tcPr>
            <w:tcW w:w="1806" w:type="dxa"/>
            <w:tcBorders/>
            <w:vAlign w:val="center"/>
          </w:tcPr>
          <w:p>
            <w:pPr>
              <w:pStyle w:val="TableContents"/>
              <w:bidi w:val="0"/>
              <w:spacing w:before="0" w:after="283"/>
              <w:jc w:val="left"/>
              <w:rPr>
                <w:sz w:val="4"/>
                <w:szCs w:val="4"/>
              </w:rPr>
            </w:pPr>
            <w:r>
              <w:rPr>
                <w:sz w:val="4"/>
                <w:szCs w:val="4"/>
              </w:rPr>
            </w:r>
          </w:p>
        </w:tc>
        <w:tc>
          <w:tcPr>
            <w:tcW w:w="1861" w:type="dxa"/>
            <w:gridSpan w:val="2"/>
            <w:tcBorders/>
            <w:vAlign w:val="center"/>
          </w:tcPr>
          <w:p>
            <w:pPr>
              <w:pStyle w:val="TableContents"/>
              <w:bidi w:val="0"/>
              <w:spacing w:before="0" w:after="283"/>
              <w:jc w:val="left"/>
              <w:rPr>
                <w:sz w:val="4"/>
                <w:szCs w:val="4"/>
              </w:rPr>
            </w:pPr>
            <w:r>
              <w:rPr>
                <w:sz w:val="4"/>
                <w:szCs w:val="4"/>
              </w:rPr>
            </w:r>
          </w:p>
        </w:tc>
        <w:tc>
          <w:tcPr>
            <w:tcW w:w="5011" w:type="dxa"/>
            <w:gridSpan w:val="2"/>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8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PennantPark Senior Loan Fund, LLC</w:t>
            </w:r>
          </w:p>
        </w:tc>
        <w:tc>
          <w:tcPr>
            <w:tcW w:w="120"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left"/>
              <w:rPr/>
            </w:pPr>
            <w:r>
              <w:rPr/>
              <w:t>Joint Venture</w:t>
            </w:r>
          </w:p>
        </w:tc>
        <w:tc>
          <w:tcPr>
            <w:tcW w:w="120" w:type="dxa"/>
            <w:tcBorders/>
            <w:shd w:fill="CCEEFF" w:val="clear"/>
            <w:vAlign w:val="center"/>
          </w:tcPr>
          <w:p>
            <w:pPr>
              <w:pStyle w:val="TableContents"/>
              <w:bidi w:val="0"/>
              <w:spacing w:before="0" w:after="283"/>
              <w:jc w:val="left"/>
              <w:rPr/>
            </w:pPr>
            <w:r>
              <w:rPr/>
              <w:t>  </w:t>
            </w:r>
          </w:p>
        </w:tc>
        <w:tc>
          <w:tcPr>
            <w:tcW w:w="4891" w:type="dxa"/>
            <w:tcBorders/>
            <w:shd w:fill="CCEEFF" w:val="clear"/>
            <w:vAlign w:val="center"/>
          </w:tcPr>
          <w:p>
            <w:pPr>
              <w:pStyle w:val="TableContents"/>
              <w:bidi w:val="0"/>
              <w:spacing w:before="0" w:after="283"/>
              <w:jc w:val="left"/>
              <w:rPr/>
            </w:pPr>
            <w:r>
              <w:rPr/>
              <w:t>Primarily invests in middle-market and other corporate debt consistent with PennantPark Investment Corporation’s strategy.</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987</w:t>
            </w:r>
          </w:p>
        </w:tc>
        <w:tc>
          <w:tcPr>
            <w:tcW w:w="77" w:type="dxa"/>
            <w:tcBorders/>
            <w:shd w:fill="CCEEFF" w:val="clear"/>
            <w:vAlign w:val="center"/>
          </w:tcPr>
          <w:p>
            <w:pPr>
              <w:pStyle w:val="TableContents"/>
              <w:bidi w:val="0"/>
              <w:spacing w:before="0" w:after="283"/>
              <w:jc w:val="left"/>
              <w:rPr/>
            </w:pPr>
            <w:r>
              <w:rPr/>
              <w:t> </w:t>
            </w:r>
          </w:p>
        </w:tc>
      </w:tr>
      <w:tr>
        <w:trPr/>
        <w:tc>
          <w:tcPr>
            <w:tcW w:w="1806" w:type="dxa"/>
            <w:tcBorders/>
            <w:vAlign w:val="center"/>
          </w:tcPr>
          <w:p>
            <w:pPr>
              <w:pStyle w:val="TableContents"/>
              <w:bidi w:val="0"/>
              <w:spacing w:before="0" w:after="283"/>
              <w:jc w:val="left"/>
              <w:rPr>
                <w:sz w:val="4"/>
                <w:szCs w:val="4"/>
              </w:rPr>
            </w:pPr>
            <w:r>
              <w:rPr>
                <w:sz w:val="4"/>
                <w:szCs w:val="4"/>
              </w:rPr>
            </w:r>
          </w:p>
        </w:tc>
        <w:tc>
          <w:tcPr>
            <w:tcW w:w="1861" w:type="dxa"/>
            <w:gridSpan w:val="2"/>
            <w:tcBorders/>
            <w:vAlign w:val="center"/>
          </w:tcPr>
          <w:p>
            <w:pPr>
              <w:pStyle w:val="TableContents"/>
              <w:bidi w:val="0"/>
              <w:spacing w:before="0" w:after="283"/>
              <w:jc w:val="left"/>
              <w:rPr>
                <w:sz w:val="4"/>
                <w:szCs w:val="4"/>
              </w:rPr>
            </w:pPr>
            <w:r>
              <w:rPr>
                <w:sz w:val="4"/>
                <w:szCs w:val="4"/>
              </w:rPr>
            </w:r>
          </w:p>
        </w:tc>
        <w:tc>
          <w:tcPr>
            <w:tcW w:w="5011" w:type="dxa"/>
            <w:gridSpan w:val="2"/>
            <w:tcBorders/>
            <w:vAlign w:val="center"/>
          </w:tcPr>
          <w:p>
            <w:pPr>
              <w:pStyle w:val="TableContents"/>
              <w:bidi w:val="0"/>
              <w:spacing w:before="0" w:after="283"/>
              <w:jc w:val="left"/>
              <w:rPr>
                <w:sz w:val="4"/>
                <w:szCs w:val="4"/>
              </w:rPr>
            </w:pPr>
            <w:r>
              <w:rPr>
                <w:sz w:val="4"/>
                <w:szCs w:val="4"/>
              </w:rPr>
            </w:r>
          </w:p>
        </w:tc>
        <w:tc>
          <w:tcPr>
            <w:tcW w:w="1527" w:type="dxa"/>
            <w:gridSpan w:val="4"/>
            <w:tcBorders/>
            <w:vAlign w:val="center"/>
          </w:tcPr>
          <w:p>
            <w:pPr>
              <w:pStyle w:val="TableContents"/>
              <w:bidi w:val="0"/>
              <w:spacing w:before="0" w:after="283"/>
              <w:jc w:val="left"/>
              <w:rPr>
                <w:sz w:val="4"/>
                <w:szCs w:val="4"/>
              </w:rPr>
            </w:pPr>
            <w:r>
              <w:rPr>
                <w:sz w:val="4"/>
                <w:szCs w:val="4"/>
              </w:rPr>
            </w:r>
          </w:p>
        </w:tc>
      </w:tr>
      <w:tr>
        <w:trPr/>
        <w:tc>
          <w:tcPr>
            <w:tcW w:w="1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Managed Funds or Accounts(1)</w:t>
            </w:r>
          </w:p>
        </w:tc>
        <w:tc>
          <w:tcPr>
            <w:tcW w:w="120" w:type="dxa"/>
            <w:tcBorders/>
            <w:vAlign w:val="center"/>
          </w:tcPr>
          <w:p>
            <w:pPr>
              <w:pStyle w:val="TableContents"/>
              <w:bidi w:val="0"/>
              <w:spacing w:before="0" w:after="283"/>
              <w:jc w:val="left"/>
              <w:rPr/>
            </w:pPr>
            <w:r>
              <w:rPr/>
              <w:t>  </w:t>
            </w:r>
          </w:p>
        </w:tc>
        <w:tc>
          <w:tcPr>
            <w:tcW w:w="1741" w:type="dxa"/>
            <w:tcBorders/>
            <w:vAlign w:val="center"/>
          </w:tcPr>
          <w:p>
            <w:pPr>
              <w:pStyle w:val="TableContents"/>
              <w:bidi w:val="0"/>
              <w:spacing w:before="0" w:after="283"/>
              <w:jc w:val="left"/>
              <w:rPr/>
            </w:pPr>
            <w:r>
              <w:rPr/>
              <w:t>Direct Lending Funds</w:t>
            </w:r>
          </w:p>
        </w:tc>
        <w:tc>
          <w:tcPr>
            <w:tcW w:w="120" w:type="dxa"/>
            <w:tcBorders/>
            <w:vAlign w:val="center"/>
          </w:tcPr>
          <w:p>
            <w:pPr>
              <w:pStyle w:val="TableContents"/>
              <w:bidi w:val="0"/>
              <w:spacing w:before="0" w:after="283"/>
              <w:jc w:val="left"/>
              <w:rPr/>
            </w:pPr>
            <w:r>
              <w:rPr/>
              <w:t>  </w:t>
            </w:r>
          </w:p>
        </w:tc>
        <w:tc>
          <w:tcPr>
            <w:tcW w:w="4891" w:type="dxa"/>
            <w:tcBorders/>
            <w:vAlign w:val="center"/>
          </w:tcPr>
          <w:p>
            <w:pPr>
              <w:pStyle w:val="TableContents"/>
              <w:bidi w:val="0"/>
              <w:spacing w:before="0" w:after="283"/>
              <w:jc w:val="left"/>
              <w:rPr/>
            </w:pPr>
            <w:r>
              <w:rPr/>
              <w:t>Other credit opportunities</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1,898</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identifies, based on gross assets as of March 31, 2024, (i) the number of other registered investment companies, other pooled investment vehicles and other accounts managed by the portfolio managers; and (ii) the total assets of such companies, vehicles and accounts. </w:t>
            </w:r>
          </w:p>
        </w:tc>
      </w:tr>
    </w:tbl>
    <w:p>
      <w:pPr>
        <w:pStyle w:val="TextBody"/>
        <w:bidi w:val="0"/>
        <w:spacing w:before="0" w:after="0"/>
        <w:jc w:val="left"/>
        <w:rPr/>
      </w:pPr>
      <w:r>
        <w:rPr/>
        <w:t> </w:t>
      </w:r>
    </w:p>
    <w:tbl>
      <w:tblPr>
        <w:tblW w:w="5340" w:type="dxa"/>
        <w:jc w:val="left"/>
        <w:tblInd w:w="0" w:type="dxa"/>
        <w:tblLayout w:type="fixed"/>
        <w:tblCellMar>
          <w:top w:w="0" w:type="dxa"/>
          <w:left w:w="0" w:type="dxa"/>
          <w:bottom w:w="0" w:type="dxa"/>
          <w:right w:w="0" w:type="dxa"/>
        </w:tblCellMar>
      </w:tblPr>
      <w:tblGrid>
        <w:gridCol w:w="2765"/>
        <w:gridCol w:w="120"/>
        <w:gridCol w:w="211"/>
        <w:gridCol w:w="919"/>
        <w:gridCol w:w="60"/>
        <w:gridCol w:w="120"/>
        <w:gridCol w:w="214"/>
        <w:gridCol w:w="856"/>
        <w:gridCol w:w="75"/>
      </w:tblGrid>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Account</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Accounts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Assets of</w:t>
              <w:br/>
              <w:t>Accounts</w:t>
              <w:br/>
              <w:t>($millions)</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Registered Investment companies</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pooled investment vehicles</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1,703</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pPr>
      <w:r>
        <w:rPr>
          <w:rFonts w:ascii="Times New Roman" w:hAnsi="Times New Roman"/>
          <w:sz w:val="20"/>
        </w:rPr>
        <w:t xml:space="preserve">Because 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we are subject to inherent conflicts of interest. See “Risk Factors—Risks Relating to our Business and Structure—There are significant potential conflicts of interest which could impact our investment returns” in our most recent Annual Report on </w:t>
      </w:r>
      <w:hyperlink r:id="rId24">
        <w:r>
          <w:rPr>
            <w:rStyle w:val="InternetLink"/>
            <w:rFonts w:ascii="Times New Roman" w:hAnsi="Times New Roman"/>
            <w:sz w:val="20"/>
          </w:rPr>
          <w:t>Form 10-K</w:t>
        </w:r>
      </w:hyperlink>
      <w:r>
        <w:rPr>
          <w:rFonts w:ascii="Times New Roman" w:hAnsi="Times New Roman"/>
          <w:sz w:val="20"/>
        </w:rPr>
        <w:t xml:space="preserve"> for more information of potential conflicts of interests.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dollar range of our common stock beneficially owned by each of our senior investment professionals as of March 31, 2024. Information as to the beneficial ownerships is based on information furnished to us by such persons. We are not part of a “family of investment companies,” as that term is defined in the 1940 Act. </w:t>
      </w:r>
    </w:p>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1835"/>
        <w:gridCol w:w="120"/>
        <w:gridCol w:w="60"/>
        <w:gridCol w:w="2180"/>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Dollar Range of the</w:t>
            </w:r>
          </w:p>
          <w:p>
            <w:pPr>
              <w:pStyle w:val="TableContents"/>
              <w:bidi w:val="0"/>
              <w:spacing w:before="0" w:after="0"/>
              <w:jc w:val="center"/>
              <w:rPr>
                <w:rFonts w:ascii="Times New Roman" w:hAnsi="Times New Roman"/>
                <w:b/>
                <w:sz w:val="16"/>
              </w:rPr>
            </w:pPr>
            <w:r>
              <w:rPr>
                <w:rFonts w:ascii="Times New Roman" w:hAnsi="Times New Roman"/>
                <w:b/>
                <w:sz w:val="16"/>
              </w:rPr>
              <w:t>Common Stock of</w:t>
            </w:r>
          </w:p>
          <w:p>
            <w:pPr>
              <w:pStyle w:val="TableContents"/>
              <w:bidi w:val="0"/>
              <w:spacing w:before="0" w:after="20"/>
              <w:jc w:val="center"/>
              <w:rPr>
                <w:rFonts w:ascii="Times New Roman" w:hAnsi="Times New Roman"/>
                <w:b/>
                <w:sz w:val="16"/>
              </w:rPr>
            </w:pPr>
            <w:r>
              <w:rPr>
                <w:rFonts w:ascii="Times New Roman" w:hAnsi="Times New Roman"/>
                <w:b/>
                <w:sz w:val="16"/>
              </w:rPr>
              <w:t>PennantPark Floating Rate</w:t>
              <w:br/>
              <w:t>Capital Ltd. (1)</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Arthur H. Penn(2)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right"/>
              <w:rPr/>
            </w:pPr>
            <w:r>
              <w:rPr/>
              <w:t>Over $1,000,000</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José A. Briones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Over $1,000,000</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Salvatore Giannetti III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right"/>
              <w:rPr/>
            </w:pPr>
            <w:r>
              <w:rPr/>
              <w:t>Over $1,000,000</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Appelbaum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$100,001 - $500,000</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Terence Clerkin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right"/>
              <w:rPr/>
            </w:pPr>
            <w:r>
              <w:rPr/>
              <w:t>$100,001 - $500,000</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Dan Horn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Over $1,000,000</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Ryan Raskopf</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right"/>
              <w:rPr/>
            </w:pPr>
            <w:r>
              <w:rPr/>
              <w:t>$100,001 - $500,000</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Stone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$50,001 - $100,000</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 Winograd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right"/>
              <w:rPr/>
            </w:pPr>
            <w:r>
              <w:rPr/>
              <w:t>$500,001 - $1,000,000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$1-$10,000; $10,001-$50,000; $50,001-$100,000; $100,001-$500,000; $500,001-$1,000,000; or over $1,000,000. Beneficial ownership has been determined in accordance with Rule 16a-1(a)(2) promulgated under the Exchange Act. </w:t>
            </w:r>
          </w:p>
        </w:tc>
      </w:tr>
    </w:tbl>
    <w:tbl>
      <w:tblPr>
        <w:tblW w:w="5635" w:type="dxa"/>
        <w:jc w:val="left"/>
        <w:tblInd w:w="0" w:type="dxa"/>
        <w:tblLayout w:type="fixed"/>
        <w:tblCellMar>
          <w:top w:w="0" w:type="dxa"/>
          <w:left w:w="0" w:type="dxa"/>
          <w:bottom w:w="0" w:type="dxa"/>
          <w:right w:w="0" w:type="dxa"/>
        </w:tblCellMar>
      </w:tblPr>
      <w:tblGrid>
        <w:gridCol w:w="305"/>
        <w:gridCol w:w="5330"/>
      </w:tblGrid>
      <w:tr>
        <w:trPr/>
        <w:tc>
          <w:tcPr>
            <w:tcW w:w="305" w:type="dxa"/>
            <w:tcBorders/>
            <w:vAlign w:val="center"/>
          </w:tcPr>
          <w:p>
            <w:pPr>
              <w:pStyle w:val="TableContents"/>
              <w:bidi w:val="0"/>
              <w:spacing w:before="0" w:after="283"/>
              <w:jc w:val="left"/>
              <w:rPr/>
            </w:pPr>
            <w:r>
              <w:rPr/>
              <w:t>(2)</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Also reflects holdings of PennantPark Investment Advisers,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 w:name="tx894111_13"/>
      <w:bookmarkEnd w:id="17"/>
      <w:r>
        <w:rPr>
          <w:rFonts w:ascii="Times New Roman" w:hAnsi="Times New Roman"/>
          <w:b/>
          <w:sz w:val="20"/>
        </w:rPr>
        <w:t xml:space="preserve">DETERMINATION OF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The NAV per share of our outstanding shares of common stock is determined quarterly by dividing the value of total assets minus liabilities by the total number of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As a BDC, we generally invest in illiquid securities including debt and equity investments of middle-market companies.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(1)</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quarterly valuation process begins with each portfolio company or investment being initially valued by the investment professionals of our Investment Adviser responsible for the portfolio investment;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290"/>
        <w:gridCol w:w="97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valuation conclusions are then documented and discussed with the management of our Investment Adviser;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(3)</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(4)</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(5)</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discusses these valuations and determines the fair value of each investment in our portfolio in good faith, based on the input of our Investment Adviser, the respective independent valuation firms and the audit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 </w:t>
      </w:r>
    </w:p>
    <w:p>
      <w:pPr>
        <w:pStyle w:val="TextBody"/>
        <w:bidi w:val="0"/>
        <w:spacing w:before="240" w:after="0"/>
        <w:jc w:val="left"/>
        <w:rPr>
          <w:rFonts w:ascii="Times New Roman" w:hAnsi="Times New Roman"/>
          <w:sz w:val="20"/>
        </w:rPr>
      </w:pPr>
      <w:r>
        <w:rPr>
          <w:rFonts w:ascii="Times New Roman" w:hAnsi="Times New Roman"/>
          <w:sz w:val="20"/>
        </w:rPr>
        <w:t xml:space="preserve">ASC 820 classifies the inputs used to measure these fair values into the following hierarchies: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757"/>
        <w:gridCol w:w="9373"/>
      </w:tblGrid>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Level 1:</w:t>
            </w:r>
          </w:p>
        </w:tc>
        <w:tc>
          <w:tcPr>
            <w:tcW w:w="93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Inputs that are quoted prices (unadjusted) in active markets for identical assets or liabilities, accessible by us at the measurement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64"/>
        <w:gridCol w:w="9466"/>
      </w:tblGrid>
      <w:tr>
        <w:trPr/>
        <w:tc>
          <w:tcPr>
            <w:tcW w:w="75"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pPr>
            <w:r>
              <w:rPr/>
              <w:t>Level 2:</w:t>
            </w:r>
          </w:p>
        </w:tc>
        <w:tc>
          <w:tcPr>
            <w:tcW w:w="94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726"/>
        <w:gridCol w:w="9404"/>
      </w:tblGrid>
      <w:tr>
        <w:trPr/>
        <w:tc>
          <w:tcPr>
            <w:tcW w:w="75"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Level 3:</w:t>
            </w:r>
          </w:p>
        </w:tc>
        <w:tc>
          <w:tcPr>
            <w:tcW w:w="94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Inputs that are unobservable for an asset or liability because they are based on our own assumptions about how market participants would price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financial instrument’s categorization within the valuation hierarchy is based upon the lowest level of input that is significant to the fair value measurement. Generally, most of our investments, our 2031 Asset-Backed Debt, 2036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Determinations In Connection With Offerings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 </w:t>
      </w:r>
    </w:p>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NAV of our common stock disclosed in the most recent periodic report that we filed with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magnitude of the difference between the offering price of the shares of our common stock in the proposed offering and management’s assessment of any change in the NAV of our common stock during the period discussed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only sell shares of our common stock at a price below NAV per share if the following conditions are met: </w:t>
      </w:r>
    </w:p>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110"/>
        <w:gridCol w:w="60"/>
        <w:gridCol w:w="9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majority of our independent directors who have no financial interest in the sale must have approved the sale;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 </w:t>
      </w:r>
    </w:p>
    <w:p>
      <w:pPr>
        <w:pStyle w:val="TextBody"/>
        <w:bidi w:val="0"/>
        <w:spacing w:before="240" w:after="0"/>
        <w:jc w:val="left"/>
        <w:rPr>
          <w:rFonts w:ascii="Times New Roman" w:hAnsi="Times New Roman"/>
          <w:sz w:val="20"/>
        </w:rPr>
      </w:pPr>
      <w:r>
        <w:rPr>
          <w:rFonts w:ascii="Times New Roman" w:hAnsi="Times New Roman"/>
          <w:sz w:val="20"/>
        </w:rPr>
        <w:t xml:space="preserve">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 w:name="tx894111_14"/>
      <w:bookmarkEnd w:id="18"/>
      <w:r>
        <w:rPr>
          <w:rFonts w:ascii="Times New Roman" w:hAnsi="Times New Roman"/>
          <w:b/>
          <w:sz w:val="20"/>
        </w:rPr>
        <w:t xml:space="preserve">DESCRIPTION OF OUR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Stock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2024, our authorized capital stock consisted of 100,000,000 shares of stock, par value $0.001 per share, all of which is classified as common stock. Our common stock is quoted on The New York Stock Exchange under the ticker symbol “PFLT.” There are no outstanding options or warrants to purchase our stock. No stock has been authorized for issuance under any equity compensation plans. Under Maryland law, our stockholders generally are not personally liable for our debts or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last reported closing market price of our common stock on May 23, 2024 was $11.26 per share. As of March 31, 2024, we had 32 stockholders of record.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our outstanding classes of securities as of March 31, 2024: </w:t>
      </w:r>
    </w:p>
    <w:p>
      <w:pPr>
        <w:pStyle w:val="TextBody"/>
        <w:bidi w:val="0"/>
        <w:spacing w:before="0" w:after="0"/>
        <w:jc w:val="left"/>
        <w:rPr/>
      </w:pPr>
      <w:r>
        <w:rPr/>
        <w:t> </w:t>
      </w:r>
    </w:p>
    <w:tbl>
      <w:tblPr>
        <w:tblW w:w="7505" w:type="dxa"/>
        <w:jc w:val="left"/>
        <w:tblInd w:w="0" w:type="dxa"/>
        <w:tblLayout w:type="fixed"/>
        <w:tblCellMar>
          <w:top w:w="0" w:type="dxa"/>
          <w:left w:w="0" w:type="dxa"/>
          <w:bottom w:w="0" w:type="dxa"/>
          <w:right w:w="0" w:type="dxa"/>
        </w:tblCellMar>
      </w:tblPr>
      <w:tblGrid>
        <w:gridCol w:w="3515"/>
        <w:gridCol w:w="120"/>
        <w:gridCol w:w="60"/>
        <w:gridCol w:w="1220"/>
        <w:gridCol w:w="60"/>
        <w:gridCol w:w="120"/>
        <w:gridCol w:w="164"/>
        <w:gridCol w:w="711"/>
        <w:gridCol w:w="60"/>
        <w:gridCol w:w="120"/>
        <w:gridCol w:w="66"/>
        <w:gridCol w:w="1214"/>
        <w:gridCol w:w="75"/>
      </w:tblGrid>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 Class</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br/>
              <w:t>Authorized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br/>
              <w:t>Held by</w:t>
              <w:br/>
              <w:t>Us or</w:t>
              <w:br/>
              <w:t>for Our</w:t>
              <w:br/>
              <w:t>Account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br/>
              <w:t>Outstanding</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par value $0.001 per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63,228,138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bidi w:val="0"/>
        <w:spacing w:before="120" w:after="0"/>
        <w:jc w:val="left"/>
        <w:rPr>
          <w:rFonts w:ascii="Times New Roman" w:hAnsi="Times New Roman"/>
          <w:sz w:val="20"/>
        </w:rPr>
      </w:pPr>
      <w:r>
        <w:rPr>
          <w:rFonts w:ascii="Times New Roman" w:hAnsi="Times New Roman"/>
          <w:sz w:val="20"/>
        </w:rPr>
        <w:t xml:space="preserve">Maryland law permits a Maryland corporation to include in its charter a provision eliminating the liability of its directors and officers to the corporation and its stockholders for money damages except for liability resulting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Nothing in our charter restricting or eliminating the liabilities of directors under Maryland law will apply to, or in any way limit, the duties or liabilities of such persons with respect to matters arising under the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w:t>
      </w:r>
    </w:p>
    <w:p>
      <w:pPr>
        <w:pStyle w:val="TextBody"/>
        <w:bidi w:val="0"/>
        <w:spacing w:before="240" w:after="0"/>
        <w:jc w:val="left"/>
        <w:rPr>
          <w:rFonts w:ascii="Times New Roman" w:hAnsi="Times New Roman"/>
          <w:sz w:val="20"/>
        </w:rPr>
      </w:pPr>
      <w:r>
        <w:rPr>
          <w:rFonts w:ascii="Times New Roman" w:hAnsi="Times New Roman"/>
          <w:sz w:val="20"/>
        </w:rPr>
        <w:t xml:space="preserve">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indemnification provided for in our charter and bylaws, we have entered into indemnification agreements with each of our current directors and certain of our officers that provide for the maximum indemnification permitted under Maryland law and the 1940 Act. </w:t>
      </w:r>
    </w:p>
    <w:p>
      <w:pPr>
        <w:pStyle w:val="TextBody"/>
        <w:bidi w:val="0"/>
        <w:spacing w:before="240" w:after="0"/>
        <w:jc w:val="left"/>
        <w:rPr>
          <w:rFonts w:ascii="Times New Roman" w:hAnsi="Times New Roman"/>
          <w:sz w:val="20"/>
        </w:rPr>
      </w:pPr>
      <w:r>
        <w:rPr>
          <w:rFonts w:ascii="Times New Roman" w:hAnsi="Times New Roman"/>
          <w:sz w:val="20"/>
        </w:rPr>
        <w:t xml:space="preserve">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Provisions of the Maryland General Corporation Law and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of directors serving staggered three-year terms. The terms of the first, second and third classes will expire at the annual meeting of stockholders held in 2027, 2025 and 2026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Number of directors; vacancies; removal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a director may be removed only for cause, as defined in our charter, and then only by the affirmative vote of at least two-thirds of the votes entitled to be cast generally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stockholders </w:t>
      </w:r>
    </w:p>
    <w:p>
      <w:pPr>
        <w:pStyle w:val="TextBody"/>
        <w:bidi w:val="0"/>
        <w:spacing w:before="120" w:after="0"/>
        <w:jc w:val="left"/>
        <w:rPr>
          <w:rFonts w:ascii="Times New Roman" w:hAnsi="Times New Roman"/>
          <w:sz w:val="20"/>
        </w:rPr>
      </w:pPr>
      <w:r>
        <w:rPr>
          <w:rFonts w:ascii="Times New Roman" w:hAnsi="Times New Roman"/>
          <w:sz w:val="20"/>
        </w:rPr>
        <w:t xml:space="preserve">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Advance notice provisions for stockholder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Calling of 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extraordinary corporate action; amendment of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charter and bylaws provide that the board of directors will have the exclusive power to adopt, alter or repeal any provision of our bylaws and to make new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appraisal rights arising in connection with the Control Share Acquisition Act discussed below, as permitted by the Maryland General Corporation Law, our charter provides that stockholders will not be entitled to exercise appraisal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Control share acquisitions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w:t>
      </w:r>
    </w:p>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one-tenth or more but less than one-third;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one-third or more but less than a majority; or </w:t>
            </w:r>
          </w:p>
        </w:tc>
      </w:tr>
    </w:tbl>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majority or more of all voting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Acquisition Act does not apply (a) to shares acquired in a merger, consolidation or share exchange if the corporation is a party to the transaction or (b) to acquisitions approved or exempted by the charter or bylaws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 </w:t>
      </w:r>
    </w:p>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person who beneficially owns, directly or indirectly, 10% or more of the voting power of the corporation’s shares;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affiliate or associate of the corporation who, at any time within the two-year period prior to the date in question, was the beneficial owner, directly or indirectly, of 10% or more of the voting power of the then outstanding voting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After the five-year prohibition, any business combination between the corporation and an interested stockholder generally must be recommended by the board of directors of the corporation and approved by the affirmative vote of at least: </w:t>
      </w:r>
    </w:p>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80% of the votes entitled to be cast by holders of outstanding shares of voting stock of the corporation;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w:t>
      </w:r>
    </w:p>
    <w:p>
      <w:pPr>
        <w:pStyle w:val="TextBody"/>
        <w:bidi w:val="0"/>
        <w:spacing w:before="240" w:after="0"/>
        <w:jc w:val="left"/>
        <w:rPr>
          <w:rFonts w:ascii="Times New Roman" w:hAnsi="Times New Roman"/>
          <w:sz w:val="20"/>
        </w:rPr>
      </w:pPr>
      <w:r>
        <w:rPr>
          <w:rFonts w:ascii="Times New Roman" w:hAnsi="Times New Roman"/>
          <w:sz w:val="20"/>
        </w:rPr>
        <w:t xml:space="preserve">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Conflict with 1940 Act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Section 1-101(q) of the Maryland General Corporation Law, or any successor provision thereof, (b) any derivative action or proceeding brought on behalf of the Company, other than actions arising under federal securities laws, (c) 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9" w:name="tx894111_15"/>
      <w:bookmarkEnd w:id="19"/>
      <w:r>
        <w:rPr>
          <w:rFonts w:ascii="Times New Roman" w:hAnsi="Times New Roman"/>
          <w:b/>
          <w:sz w:val="20"/>
        </w:rPr>
        <w:t xml:space="preserve">DESCRIPTION OF OUR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 </w:t>
      </w:r>
    </w:p>
    <w:p>
      <w:pPr>
        <w:pStyle w:val="TextBody"/>
        <w:bidi w:val="0"/>
        <w:spacing w:before="240" w:after="0"/>
        <w:jc w:val="left"/>
        <w:rPr>
          <w:rFonts w:ascii="Times New Roman" w:hAnsi="Times New Roman"/>
          <w:sz w:val="20"/>
        </w:rPr>
      </w:pPr>
      <w:r>
        <w:rPr>
          <w:rFonts w:ascii="Times New Roman" w:hAnsi="Times New Roman"/>
          <w:sz w:val="20"/>
        </w:rPr>
        <w:t xml:space="preserve">For any series of preferred stock that we may issue, our board of directors will determine and the prospectus supplement relating to such series will describe: </w:t>
      </w:r>
    </w:p>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dividends will be paid on shares of such series, as well as whether such dividends are cumulative or non-cumulative and participating or non-participating;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series are outstanding;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 preferences and participating, optional or special rights of shares of such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0" w:name="tx894111_16"/>
      <w:bookmarkEnd w:id="20"/>
      <w:r>
        <w:rPr>
          <w:rFonts w:ascii="Times New Roman" w:hAnsi="Times New Roman"/>
          <w:b/>
          <w:sz w:val="20"/>
        </w:rPr>
        <w:t xml:space="preserve">DESCRIPTION OF OUR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will commence and the date on which such right will expire;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1" w:name="tx894111_17"/>
      <w:bookmarkEnd w:id="21"/>
      <w:r>
        <w:rPr>
          <w:rFonts w:ascii="Times New Roman" w:hAnsi="Times New Roman"/>
          <w:b/>
          <w:sz w:val="20"/>
        </w:rPr>
        <w:t xml:space="preserve">DESCRIPTION OF OUR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or a formula for the determination of the exercise price for such subscription rights;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 formula for the determination of the number of such subscription rights issued to each stockholder;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are transferable;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the material U.S. federal income tax considerations applicable to the issuance or exercise of such subscription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subscription rights would commence, and the date on which such rights will expire (subject to any extension);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other purchase arrangement that we may enter into in connection with the subscription rights offering;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subscription rights, including terms, procedures and limitations relating to the exchange and exercise of such subscription rights.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t>
      </w:r>
    </w:p>
    <w:p>
      <w:pPr>
        <w:pStyle w:val="TextBody"/>
        <w:bidi w:val="0"/>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2" w:name="tx894111_18"/>
      <w:bookmarkEnd w:id="22"/>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Equiniti Trust Company, LLC (f/k/a American Stock Transfer &amp; Trust Company, LLC), or Equiniti, as trustee, as supplemented by the First Supplemental Indenture, dated March 23, 2021, between the Company and Equiniti. The 2026 Notes are due on April 1, 2026 and may be redeemed in whole or in part at the Company’s option. </w:t>
      </w:r>
    </w:p>
    <w:p>
      <w:pPr>
        <w:pStyle w:val="TextBody"/>
        <w:bidi w:val="0"/>
        <w:spacing w:before="240" w:after="0"/>
        <w:jc w:val="left"/>
        <w:rPr>
          <w:rFonts w:ascii="Times New Roman" w:hAnsi="Times New Roman"/>
          <w:sz w:val="20"/>
        </w:rPr>
      </w:pPr>
      <w:r>
        <w:rPr>
          <w:rFonts w:ascii="Times New Roman" w:hAnsi="Times New Roman"/>
          <w:sz w:val="20"/>
        </w:rPr>
        <w:t xml:space="preserve">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 - Events of Default” For more information. Second, the trustee performs certain administrative duties for us, such as sending interest and principal payments to holders.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which will accompany this prospectus with respect to a particular offering of debt securities, will describe the particular series of debt securities being offered by including: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series of debt securities and whether or not the offering may be reopened for additional securities of that series and on what terms;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City of New York, of payment, transfer, conversion and/or exchange of the debt securities;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10"/>
        <w:gridCol w:w="60"/>
        <w:gridCol w:w="1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are issuable in certificated form;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special federal income tax implications, including, if applicable, federal income tax considerations relating to original issue discount, or OID;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contain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240" w:after="0"/>
        <w:jc w:val="left"/>
        <w:rPr>
          <w:rFonts w:ascii="Times New Roman" w:hAnsi="Times New Roman"/>
          <w:sz w:val="20"/>
        </w:rPr>
      </w:pPr>
      <w:r>
        <w:rPr>
          <w:rFonts w:ascii="Times New Roman" w:hAnsi="Times New Roman"/>
          <w:sz w:val="20"/>
        </w:rPr>
        <w:t xml:space="preserve">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Securities in Registered Form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also will have the option of issuing debt securities in non-registered form as bearer securities if we issue the securities outside the United States to non-U.S. persons. In that case, the prospectus supplement will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 </w:t>
      </w:r>
    </w:p>
    <w:p>
      <w:pPr>
        <w:pStyle w:val="TextBody"/>
        <w:bidi w:val="0"/>
        <w:spacing w:before="360" w:after="0"/>
        <w:jc w:val="left"/>
        <w:rPr>
          <w:rFonts w:ascii="Times New Roman" w:hAnsi="Times New Roman"/>
          <w:i/>
          <w:sz w:val="20"/>
        </w:rPr>
      </w:pPr>
      <w:r>
        <w:rPr>
          <w:rFonts w:ascii="Times New Roman" w:hAnsi="Times New Roman"/>
          <w:i/>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debt securities through a bank, broker or other financial institution, either in book-entry form or in street name, we urge you to check with that institution to find out: </w:t>
      </w:r>
    </w:p>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debt securities registered in your own name so you can be a holder, if that is permitted in the future for a particular series of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debt securities if there were a default or other event triggering the need for holders to act to protect their interests; and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before="360" w:after="0"/>
        <w:jc w:val="left"/>
        <w:rPr>
          <w:rFonts w:ascii="Times New Roman" w:hAnsi="Times New Roman"/>
          <w:i/>
          <w:sz w:val="20"/>
        </w:rPr>
      </w:pPr>
      <w:r>
        <w:rPr>
          <w:rFonts w:ascii="Times New Roman" w:hAnsi="Times New Roman"/>
          <w:i/>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depositary that holds the global security will be considered the holder of the debt securities represented by the global security. </w:t>
      </w:r>
    </w:p>
    <w:p>
      <w:pPr>
        <w:pStyle w:val="TextBody"/>
        <w:bidi w:val="0"/>
        <w:spacing w:before="120" w:after="0"/>
        <w:jc w:val="left"/>
        <w:rPr>
          <w:rFonts w:ascii="Times New Roman" w:hAnsi="Times New Roman"/>
          <w:sz w:val="20"/>
        </w:rPr>
      </w:pPr>
      <w:r>
        <w:rPr>
          <w:rFonts w:ascii="Times New Roman" w:hAnsi="Times New Roman"/>
          <w:sz w:val="20"/>
        </w:rPr>
        <w:t xml:space="preserve">If debt securities are issued only in the form of a global security, an investor should be aware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debt securities to be registered in his or her name and cannot obtain certificates for his or her interest in the debt securities, except in the special situations we describe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debt securities to some insurance companies and other institutions that are required by law to own their securities in non-book-entry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a global security in circumstances where certificates representing the debt securities must be delivered to the lender or other beneficiary of the pledge in order for the pledge to be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redeem less than all the debt securities of a particular series being redeemed, DTC’s practice is to determine by lot the amount to be redeemed from each of its participants holding that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 </w:t>
      </w:r>
    </w:p>
    <w:p>
      <w:pPr>
        <w:pStyle w:val="TextBody"/>
        <w:bidi w:val="0"/>
        <w:spacing w:before="240" w:after="0"/>
        <w:jc w:val="left"/>
        <w:rPr>
          <w:rFonts w:ascii="Times New Roman" w:hAnsi="Times New Roman"/>
          <w:sz w:val="20"/>
        </w:rPr>
      </w:pPr>
      <w:r>
        <w:rPr>
          <w:rFonts w:ascii="Times New Roman" w:hAnsi="Times New Roman"/>
          <w:sz w:val="20"/>
        </w:rPr>
        <w:t xml:space="preserve">The special situations for termination of a global security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are unable to appoint another institution to act as depositary;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notify the trustee that we wish to terminate that global security;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the debt securities represented by that global security and has not been cured or waived; we discuss defaults later under “Description of our Debt Securities—Events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before="360" w:after="0"/>
        <w:jc w:val="left"/>
        <w:rPr>
          <w:rFonts w:ascii="Times New Roman" w:hAnsi="Times New Roman"/>
          <w:i/>
          <w:sz w:val="20"/>
        </w:rPr>
      </w:pPr>
      <w:r>
        <w:rPr>
          <w:rFonts w:ascii="Times New Roman" w:hAnsi="Times New Roman"/>
          <w:i/>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bidi w:val="0"/>
        <w:spacing w:before="12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on its due date;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within 30 days of its due date;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deposit any sinking fund payment in respect of debt securities of the series on its due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prospectus supplement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 </w:t>
      </w:r>
    </w:p>
    <w:p>
      <w:pPr>
        <w:pStyle w:val="TextBody"/>
        <w:bidi w:val="0"/>
        <w:spacing w:before="360" w:after="0"/>
        <w:jc w:val="left"/>
        <w:rPr>
          <w:rFonts w:ascii="Times New Roman" w:hAnsi="Times New Roman"/>
          <w:i/>
          <w:sz w:val="20"/>
        </w:rPr>
      </w:pPr>
      <w:r>
        <w:rPr>
          <w:rFonts w:ascii="Times New Roman" w:hAnsi="Times New Roman"/>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has occurred and remains uncured;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debt securities must not have given the trustee a direction inconsistent with the above notice during that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24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360" w:after="0"/>
        <w:jc w:val="left"/>
        <w:rPr>
          <w:rFonts w:ascii="Times New Roman" w:hAnsi="Times New Roman"/>
          <w:i/>
          <w:sz w:val="20"/>
        </w:rPr>
      </w:pPr>
      <w:r>
        <w:rPr>
          <w:rFonts w:ascii="Times New Roman" w:hAnsi="Times New Roman"/>
          <w:i/>
          <w:sz w:val="20"/>
        </w:rPr>
        <w:t xml:space="preserve">Waiver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sell our assets, the resulting entity must agree to be legally responsible for our obligations under the debt securities;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alternatively, we must be the surviving company;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transaction no event of default will exist;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security following a default;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debt security (except as otherwise described in the prospectus or prospectus supplement);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of the indenture dealing with supplemental indentures, modification and waiver of past defaults, changes to the quorum or voting requirements or the waiver of certain covenants;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 </w:t>
      </w:r>
    </w:p>
    <w:p>
      <w:pPr>
        <w:pStyle w:val="TextBody"/>
        <w:bidi w:val="0"/>
        <w:spacing w:before="360" w:after="0"/>
        <w:jc w:val="left"/>
        <w:rPr>
          <w:rFonts w:ascii="Times New Roman" w:hAnsi="Times New Roman"/>
          <w:i/>
          <w:sz w:val="20"/>
        </w:rPr>
      </w:pPr>
      <w:r>
        <w:rPr>
          <w:rFonts w:ascii="Times New Roman" w:hAnsi="Times New Roman"/>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OID securities, we will use the principal amount that would be due and payable on the voting date if the maturity of these debt securities were accelerated to that date because of a default;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debt security described in the prospectus supplement; and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36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U.S. government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government agency notes or bonds that will generate enough cash to make interest, principal and any other payments on the debt securities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certifying compliance with all conditions precedent to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in denominations of $1,000 and amounts that are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securities for debt securities of smaller denominations or combined into fewer debt securities of larger denominations, as long as the total principal amount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Provisions—Subordination </w:t>
      </w:r>
    </w:p>
    <w:p>
      <w:pPr>
        <w:pStyle w:val="TextBody"/>
        <w:bidi w:val="0"/>
        <w:spacing w:before="120" w:after="0"/>
        <w:jc w:val="left"/>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Senior Indebtedness is defined in the indenture as the principal of (and premium, if any) and unpaid interest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Equiniti Trust Company, LLC (f/k/a American Stock Transfer &amp; Trust Company, LLC) is the trustee under the indenture and the 2026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3" w:name="tx894111_19"/>
      <w:bookmarkEnd w:id="23"/>
      <w:r>
        <w:rPr>
          <w:rFonts w:ascii="Times New Roman" w:hAnsi="Times New Roman"/>
          <w:b/>
          <w:sz w:val="20"/>
        </w:rPr>
        <w:t xml:space="preserve">BROKERAGE ALLOCATIONS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4" w:name="tx894111_20"/>
      <w:bookmarkEnd w:id="24"/>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generally is a beneficial owner of shares of our common stock that is for U.S. federal income tax purposes: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any state thereof or the District of Columbia;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stockholder” is a beneficial owner of shares of our common stock that is neither a U.S. stockholder nor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in Connection with Holding Securities other than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Election to be Treated as a RIC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qualify as a RIC for federal income tax purposes, we must: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an election to be treated as a BDC under the 1940 Act at all times during each taxable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diversify our holdings, or the Diversification Tests, so that at the end of each quarter of the taxable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 </w:t>
      </w:r>
    </w:p>
    <w:p>
      <w:pPr>
        <w:pStyle w:val="TextBody"/>
        <w:bidi w:val="0"/>
        <w:spacing w:before="240" w:after="0"/>
        <w:jc w:val="left"/>
        <w:rPr>
          <w:rFonts w:ascii="Times New Roman" w:hAnsi="Times New Roman"/>
          <w:sz w:val="20"/>
        </w:rPr>
      </w:pPr>
      <w:r>
        <w:rPr>
          <w:rFonts w:ascii="Times New Roman" w:hAnsi="Times New Roman"/>
          <w:sz w:val="20"/>
        </w:rPr>
        <w:t xml:space="preserve">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as a RIC </w:t>
      </w:r>
    </w:p>
    <w:p>
      <w:pPr>
        <w:pStyle w:val="TextBody"/>
        <w:bidi w:val="0"/>
        <w:spacing w:before="120" w:after="0"/>
        <w:jc w:val="left"/>
        <w:rPr>
          <w:rFonts w:ascii="Times New Roman" w:hAnsi="Times New Roman"/>
          <w:sz w:val="20"/>
        </w:rPr>
      </w:pPr>
      <w:r>
        <w:rPr>
          <w:rFonts w:ascii="Times New Roman" w:hAnsi="Times New Roman"/>
          <w:sz w:val="20"/>
        </w:rPr>
        <w:t xml:space="preserve">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 </w:t>
      </w:r>
    </w:p>
    <w:p>
      <w:pPr>
        <w:pStyle w:val="TextBody"/>
        <w:bidi w:val="0"/>
        <w:spacing w:before="240" w:after="0"/>
        <w:jc w:val="left"/>
        <w:rPr>
          <w:rFonts w:ascii="Times New Roman" w:hAnsi="Times New Roman"/>
          <w:sz w:val="20"/>
        </w:rPr>
      </w:pPr>
      <w:r>
        <w:rPr>
          <w:rFonts w:ascii="Times New Roman" w:hAnsi="Times New Roman"/>
          <w:sz w:val="20"/>
        </w:rPr>
        <w:t xml:space="preserve">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 </w:t>
      </w:r>
    </w:p>
    <w:p>
      <w:pPr>
        <w:pStyle w:val="TextBody"/>
        <w:bidi w:val="0"/>
        <w:spacing w:before="240" w:after="0"/>
        <w:jc w:val="left"/>
        <w:rPr>
          <w:rFonts w:ascii="Times New Roman" w:hAnsi="Times New Roman"/>
          <w:sz w:val="20"/>
        </w:rPr>
      </w:pPr>
      <w:r>
        <w:rPr>
          <w:rFonts w:ascii="Times New Roman" w:hAnsi="Times New Roman"/>
          <w:sz w:val="20"/>
        </w:rPr>
        <w:t xml:space="preserve">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 </w:t>
      </w:r>
    </w:p>
    <w:p>
      <w:pPr>
        <w:pStyle w:val="TextBody"/>
        <w:bidi w:val="0"/>
        <w:spacing w:before="240" w:after="0"/>
        <w:jc w:val="left"/>
        <w:rPr>
          <w:rFonts w:ascii="Times New Roman" w:hAnsi="Times New Roman"/>
          <w:sz w:val="20"/>
        </w:rPr>
      </w:pPr>
      <w:r>
        <w:rPr>
          <w:rFonts w:ascii="Times New Roman" w:hAnsi="Times New Roman"/>
          <w:sz w:val="20"/>
        </w:rPr>
        <w:t xml:space="preserve">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Certain of our investment practices may be subject to special and complex U.S. federal income tax provisions that may, among other things, (a) 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 </w:t>
      </w:r>
    </w:p>
    <w:p>
      <w:pPr>
        <w:pStyle w:val="TextBody"/>
        <w:bidi w:val="0"/>
        <w:spacing w:before="240" w:after="0"/>
        <w:jc w:val="left"/>
        <w:rPr>
          <w:rFonts w:ascii="Times New Roman" w:hAnsi="Times New Roman"/>
          <w:sz w:val="20"/>
        </w:rPr>
      </w:pPr>
      <w:r>
        <w:rPr>
          <w:rFonts w:ascii="Times New Roman" w:hAnsi="Times New Roman"/>
          <w:sz w:val="20"/>
        </w:rPr>
        <w:t xml:space="preserve">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 </w:t>
      </w:r>
    </w:p>
    <w:p>
      <w:pPr>
        <w:pStyle w:val="TextBody"/>
        <w:bidi w:val="0"/>
        <w:spacing w:before="240" w:after="0"/>
        <w:jc w:val="left"/>
        <w:rPr>
          <w:rFonts w:ascii="Times New Roman" w:hAnsi="Times New Roman"/>
          <w:sz w:val="20"/>
        </w:rPr>
      </w:pPr>
      <w:r>
        <w:rPr>
          <w:rFonts w:ascii="Times New Roman" w:hAnsi="Times New Roman"/>
          <w:sz w:val="20"/>
        </w:rPr>
        <w:t xml:space="preserve">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 </w:t>
      </w:r>
    </w:p>
    <w:p>
      <w:pPr>
        <w:pStyle w:val="TextBody"/>
        <w:bidi w:val="0"/>
        <w:spacing w:before="240" w:after="0"/>
        <w:jc w:val="left"/>
        <w:rPr>
          <w:rFonts w:ascii="Times New Roman" w:hAnsi="Times New Roman"/>
          <w:sz w:val="20"/>
        </w:rPr>
      </w:pPr>
      <w:r>
        <w:rPr>
          <w:rFonts w:ascii="Times New Roman" w:hAnsi="Times New Roman"/>
          <w:sz w:val="20"/>
        </w:rPr>
        <w:t xml:space="preserve">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 </w:t>
      </w:r>
    </w:p>
    <w:p>
      <w:pPr>
        <w:pStyle w:val="TextBody"/>
        <w:bidi w:val="0"/>
        <w:spacing w:before="240" w:after="0"/>
        <w:jc w:val="left"/>
        <w:rPr>
          <w:rFonts w:ascii="Times New Roman" w:hAnsi="Times New Roman"/>
          <w:sz w:val="20"/>
        </w:rPr>
      </w:pPr>
      <w:r>
        <w:rPr>
          <w:rFonts w:ascii="Times New Roman" w:hAnsi="Times New Roman"/>
          <w:sz w:val="20"/>
        </w:rPr>
        <w:t xml:space="preserve">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the distributions we receive from PFICs and our proceeds from dispositions of PFIC stock during that year, and such income will nevertheless be subject to the Annual Distribution Requirement and will be taken into account for purposes of determining whether we satisfy the Excise Tax Avoidance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 </w:t>
      </w:r>
    </w:p>
    <w:p>
      <w:pPr>
        <w:pStyle w:val="TextBody"/>
        <w:bidi w:val="0"/>
        <w:spacing w:before="240" w:after="0"/>
        <w:jc w:val="left"/>
        <w:rPr>
          <w:rFonts w:ascii="Times New Roman" w:hAnsi="Times New Roman"/>
          <w:sz w:val="20"/>
        </w:rPr>
      </w:pPr>
      <w:r>
        <w:rPr>
          <w:rFonts w:ascii="Times New Roman" w:hAnsi="Times New Roman"/>
          <w:sz w:val="20"/>
        </w:rPr>
        <w:t xml:space="preserve">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 </w:t>
      </w:r>
    </w:p>
    <w:p>
      <w:pPr>
        <w:pStyle w:val="TextBody"/>
        <w:bidi w:val="0"/>
        <w:spacing w:before="240" w:after="0"/>
        <w:jc w:val="left"/>
        <w:rPr>
          <w:rFonts w:ascii="Times New Roman" w:hAnsi="Times New Roman"/>
          <w:sz w:val="20"/>
        </w:rPr>
      </w:pPr>
      <w:r>
        <w:rPr>
          <w:rFonts w:ascii="Times New Roman" w:hAnsi="Times New Roman"/>
          <w:sz w:val="20"/>
        </w:rPr>
        <w:t xml:space="preserve">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indefinitely, and use them to offset future capital gains to the extent permitted by the Code. Further, our deduction of net business interest expense is generally limited to 30% of our “adjusted taxable income” plus “floor plan financing interest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Failure to Qualify as a RIC </w:t>
      </w:r>
    </w:p>
    <w:p>
      <w:pPr>
        <w:pStyle w:val="TextBody"/>
        <w:bidi w:val="0"/>
        <w:spacing w:before="120" w:after="0"/>
        <w:jc w:val="left"/>
        <w:rPr>
          <w:rFonts w:ascii="Times New Roman" w:hAnsi="Times New Roman"/>
          <w:sz w:val="20"/>
        </w:rPr>
      </w:pPr>
      <w:r>
        <w:rPr>
          <w:rFonts w:ascii="Times New Roman" w:hAnsi="Times New Roman"/>
          <w:sz w:val="20"/>
        </w:rPr>
        <w:t xml:space="preserve">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The remainder of this discussion assumes that we qualify as a RIC and have satisfied the Annual Distribution Requirement.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To the extent distributions paid by us to non-corporate stockholders (including individuals) are attributable to dividends from U.S. corporations and certain qualified foreign corporations and are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out of our current and accumulated earnings and profits will not be eligible for the 20% pass through deduction under Section 199A of the Code. </w:t>
      </w:r>
    </w:p>
    <w:p>
      <w:pPr>
        <w:pStyle w:val="TextBody"/>
        <w:bidi w:val="0"/>
        <w:spacing w:before="240" w:after="0"/>
        <w:jc w:val="left"/>
        <w:rPr>
          <w:rFonts w:ascii="Times New Roman" w:hAnsi="Times New Roman"/>
          <w:sz w:val="20"/>
        </w:rPr>
      </w:pPr>
      <w:r>
        <w:rPr>
          <w:rFonts w:ascii="Times New Roman" w:hAnsi="Times New Roman"/>
          <w:sz w:val="20"/>
        </w:rPr>
        <w:t xml:space="preserve">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 </w:t>
      </w:r>
    </w:p>
    <w:p>
      <w:pPr>
        <w:pStyle w:val="TextBody"/>
        <w:bidi w:val="0"/>
        <w:spacing w:before="240" w:after="0"/>
        <w:jc w:val="left"/>
        <w:rPr>
          <w:rFonts w:ascii="Times New Roman" w:hAnsi="Times New Roman"/>
          <w:sz w:val="20"/>
        </w:rPr>
      </w:pPr>
      <w:r>
        <w:rPr>
          <w:rFonts w:ascii="Times New Roman" w:hAnsi="Times New Roman"/>
          <w:sz w:val="20"/>
        </w:rPr>
        <w:t xml:space="preserve">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 </w:t>
      </w:r>
    </w:p>
    <w:p>
      <w:pPr>
        <w:pStyle w:val="TextBody"/>
        <w:bidi w:val="0"/>
        <w:spacing w:before="240" w:after="0"/>
        <w:jc w:val="left"/>
        <w:rPr>
          <w:rFonts w:ascii="Times New Roman" w:hAnsi="Times New Roman"/>
          <w:sz w:val="20"/>
        </w:rPr>
      </w:pPr>
      <w:r>
        <w:rPr>
          <w:rFonts w:ascii="Times New Roman" w:hAnsi="Times New Roman"/>
          <w:sz w:val="20"/>
        </w:rPr>
        <w:t xml:space="preserve">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 </w:t>
      </w:r>
    </w:p>
    <w:p>
      <w:pPr>
        <w:pStyle w:val="TextBody"/>
        <w:bidi w:val="0"/>
        <w:spacing w:before="240" w:after="0"/>
        <w:jc w:val="left"/>
        <w:rPr>
          <w:rFonts w:ascii="Times New Roman" w:hAnsi="Times New Roman"/>
          <w:sz w:val="20"/>
        </w:rPr>
      </w:pPr>
      <w:r>
        <w:rPr>
          <w:rFonts w:ascii="Times New Roman" w:hAnsi="Times New Roman"/>
          <w:sz w:val="20"/>
        </w:rPr>
        <w:t xml:space="preserve">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preferential rate). Distributions may also be subject to additional state, local and foreign taxes depending on a U.S. stockholder’s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 </w:t>
      </w:r>
    </w:p>
    <w:p>
      <w:pPr>
        <w:pStyle w:val="TextBody"/>
        <w:bidi w:val="0"/>
        <w:spacing w:before="240" w:after="0"/>
        <w:jc w:val="left"/>
        <w:rPr>
          <w:rFonts w:ascii="Times New Roman" w:hAnsi="Times New Roman"/>
          <w:sz w:val="20"/>
        </w:rPr>
      </w:pPr>
      <w:r>
        <w:rPr>
          <w:rFonts w:ascii="Times New Roman" w:hAnsi="Times New Roman"/>
          <w:sz w:val="20"/>
        </w:rPr>
        <w:t xml:space="preserve">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Non-U.S. stockholders may also be subject to U.S. estate tax with respect to their investment in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Non-U.S. persons should consult their own tax advisors with respect to the U.S. federal income tax and withholding tax, and state, local and foreign tax consequences of an investment in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5" w:name="tx894111_21"/>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and the amounts of securities underwritten or purchased by each of them;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of the securities and the proceeds to us and any discounts, commissions or concessions allowed or reallowed or paid to dealers; and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6" w:name="tx894111_22"/>
      <w:bookmarkEnd w:id="26"/>
      <w:r>
        <w:rPr>
          <w:rFonts w:ascii="Times New Roman" w:hAnsi="Times New Roman"/>
          <w:b/>
          <w:sz w:val="20"/>
        </w:rPr>
        <w:t xml:space="preserve">SUB-ADMINISTRATOR, CUSTODIAN, TRANSFER AGENT AND TRUSTEE </w:t>
      </w:r>
    </w:p>
    <w:p>
      <w:pPr>
        <w:pStyle w:val="TextBody"/>
        <w:bidi w:val="0"/>
        <w:spacing w:before="240" w:after="0"/>
        <w:jc w:val="left"/>
        <w:rPr>
          <w:rFonts w:ascii="Times New Roman" w:hAnsi="Times New Roman"/>
          <w:sz w:val="20"/>
        </w:rPr>
      </w:pPr>
      <w:r>
        <w:rPr>
          <w:rFonts w:ascii="Times New Roman" w:hAnsi="Times New Roman"/>
          <w:sz w:val="20"/>
        </w:rPr>
        <w:t xml:space="preserve">BNY Mellon Investment Servicing (US) Inc., a subsidiary of The Bank of New York Mellon, provides administrative and accounting services to us under a sub-administration and accounting services agreement and serves as custodian for PFLT Investment Holdings, LLC, a subsidiary of PennantPark Floating Rate Capital Ltd. The Bank of New York Mellon provides custodian services to us pursuant to a custodian services agreement. The principal business address of The Bank of New York Mellon is 240 Greenwich Street, New York, NY 10286. Equiniti Trust Company, LLC (f/k/a American Stock Transfer &amp; Trust Company, LLC) acts as our transfer agent, distribution paying agent and registrar. Equiniti also serves as trustee under our 2026 Notes. The principal business address of Equiniti is 48 Wall Street, 22nd Floor, New York, NY 10005, telephone number: (800) 468-9716. </w:t>
      </w:r>
    </w:p>
    <w:p>
      <w:pPr>
        <w:pStyle w:val="TextBody"/>
        <w:bidi w:val="0"/>
        <w:spacing w:before="240" w:after="0"/>
        <w:jc w:val="left"/>
        <w:rPr>
          <w:rFonts w:ascii="Times New Roman" w:hAnsi="Times New Roman"/>
          <w:sz w:val="20"/>
        </w:rPr>
      </w:pPr>
      <w:r>
        <w:rPr>
          <w:rFonts w:ascii="Times New Roman" w:hAnsi="Times New Roman"/>
          <w:sz w:val="20"/>
        </w:rPr>
        <w:t xml:space="preserve">In addition, Wilmington Trust, National Association, serves as custodian for PennantPark CLO VIII, LLC, a subsidiary of PennantPark Floating Rate Capital Ltd., in connection with certain financing matters. The principal business address of Wilmington Trust, National Association is 1100 North Market Street, Wilmington, Delaware 19890, telephone number: (302) 651-1000. In addition, U.S. Bank National Association serves as custodian for PennantPark Floating Rate Funding I, LLC, PennantPark Floating Rate Funding II, LLC, PennantPark CLO I, LLC and PennantPark CLO I, Ltd., each a subsidiary of PennantPark Floating Rate Capital Ltd., in connection with certain financing matters. The principal business address of U.S. Bank National Association is One Federal Street, Third Floor, Boston, Massachusetts 02110, telephone number: (617) 603-6461. </w:t>
      </w:r>
    </w:p>
    <w:p>
      <w:pPr>
        <w:pStyle w:val="TextBody"/>
        <w:bidi w:val="0"/>
        <w:spacing w:before="480" w:after="0"/>
        <w:jc w:val="center"/>
        <w:rPr>
          <w:rFonts w:ascii="Times New Roman" w:hAnsi="Times New Roman"/>
          <w:b/>
          <w:sz w:val="20"/>
        </w:rPr>
      </w:pPr>
      <w:bookmarkStart w:id="27" w:name="tx894111_23"/>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 </w:t>
      </w:r>
    </w:p>
    <w:p>
      <w:pPr>
        <w:pStyle w:val="TextBody"/>
        <w:bidi w:val="0"/>
        <w:spacing w:before="480" w:after="0"/>
        <w:jc w:val="center"/>
        <w:rPr>
          <w:rFonts w:ascii="Times New Roman" w:hAnsi="Times New Roman"/>
          <w:b/>
          <w:sz w:val="20"/>
        </w:rPr>
      </w:pPr>
      <w:bookmarkStart w:id="28" w:name="tx894111_24"/>
      <w:bookmarkEnd w:id="28"/>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PennantPark Floating Rate Capital Ltd. and Subsidiaries (the Company) as of September 30, 2023 and 2022 and for each of the years in the three-year period ended September 30, 2023 and the effectiveness of internal control over financial reporting as of September 30, 2023 incorporated in this Prospectus by reference from the PennantPark Floating Rate Capital Ltd. Annual Report on Form 10-K for the year ended September 30, 2023 have been audited by RSM US LLP, an independent registered public accounting firm, as stated in their report thereon (which report expresses an unqualified opinion and includes an emphasis of matter paragraph relating to the reclassification of certain amounts presented therewithin of the 2022 and 2021 financial statements), incorporated herein by reference, and have been incorporated in this Prospectus and Registration Statement in reliance upon such report and upon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report of RSM US LLP dated December 7, 2023, on the effectiveness of internal control over financial reporting as of September 30, 2023, expressed an opinion that PennantPark Floating Rate Capital Ltd. had not maintained effective internal control over financial reporting as of September 30, 2023, based on criteria established in </w:t>
      </w:r>
      <w:r>
        <w:rPr>
          <w:rFonts w:ascii="Times New Roman" w:hAnsi="Times New Roman"/>
          <w:i/>
          <w:sz w:val="20"/>
        </w:rPr>
        <w:t>Internal Control — Integrated Framework</w:t>
      </w:r>
      <w:r>
        <w:rPr>
          <w:rFonts w:ascii="Times New Roman" w:hAnsi="Times New Roman"/>
          <w:sz w:val="20"/>
        </w:rPr>
        <w:t xml:space="preserve"> issued by the Committee of Sponsoring Organizations of the Treadway Commission in 2013. </w:t>
      </w:r>
    </w:p>
    <w:p>
      <w:pPr>
        <w:pStyle w:val="TextBody"/>
        <w:bidi w:val="0"/>
        <w:spacing w:before="480" w:after="0"/>
        <w:jc w:val="center"/>
        <w:rPr>
          <w:rFonts w:ascii="Times New Roman" w:hAnsi="Times New Roman"/>
          <w:b/>
          <w:sz w:val="20"/>
        </w:rPr>
      </w:pPr>
      <w:bookmarkStart w:id="29" w:name="tx894111_25"/>
      <w:bookmarkEnd w:id="29"/>
      <w:r>
        <w:rPr>
          <w:rFonts w:ascii="Times New Roman" w:hAnsi="Times New Roman"/>
          <w:b/>
          <w:sz w:val="20"/>
        </w:rPr>
        <w:t xml:space="preserve">INDEPENDENT AUDITOR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PennantPark Senior Secured Loan Fund I LLC as of September 30, 2023, September 30, 2022 and September 30, 2021 and for the years then ended included as Exhibits 99.3 and 99.4 in our Annual Report on Form 10-K for the fiscal year ended September 30, 2023 have been incorporated herein by reference, and have been incorporated in this Prospectus and Registration Statement in reliance upon such report and upon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0" w:name="tx894111_26"/>
      <w:bookmarkEnd w:id="30"/>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w:t>
      </w:r>
    </w:p>
    <w:p>
      <w:pPr>
        <w:pStyle w:val="TextBody"/>
        <w:bidi w:val="0"/>
        <w:spacing w:before="240" w:after="0"/>
        <w:jc w:val="left"/>
        <w:rPr>
          <w:rFonts w:ascii="Times New Roman" w:hAnsi="Times New Roman"/>
          <w:sz w:val="20"/>
        </w:rPr>
      </w:pPr>
      <w:bookmarkStart w:id="31" w:name="TOC894111_6"/>
      <w:bookmarkEnd w:id="31"/>
      <w:r>
        <w:rPr>
          <w:rFonts w:ascii="Times New Roman" w:hAnsi="Times New Roman"/>
          <w:sz w:val="20"/>
        </w:rPr>
        <w:t xml:space="preserve">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incorporates by reference the documents set forth below that have previously been filed with the SEC: </w:t>
      </w:r>
    </w:p>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25">
              <w:r>
                <w:rPr>
                  <w:rStyle w:val="InternetLink"/>
                  <w:rFonts w:ascii="Times New Roman" w:hAnsi="Times New Roman"/>
                  <w:sz w:val="20"/>
                </w:rPr>
                <w:t>Form 10-K</w:t>
              </w:r>
            </w:hyperlink>
            <w:r>
              <w:rPr>
                <w:rFonts w:ascii="Times New Roman" w:hAnsi="Times New Roman"/>
                <w:sz w:val="20"/>
              </w:rPr>
              <w:t xml:space="preserve"> for the fiscal year ended September 30, 2023, filed on December 8, 2023;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pPr>
            <w:r>
              <w:rPr>
                <w:rFonts w:ascii="Times New Roman" w:hAnsi="Times New Roman"/>
                <w:sz w:val="20"/>
              </w:rPr>
              <w:t xml:space="preserve">Our Definitive Proxy Statement on </w:t>
            </w:r>
            <w:hyperlink r:id="rId26">
              <w:r>
                <w:rPr>
                  <w:rStyle w:val="InternetLink"/>
                  <w:rFonts w:ascii="Times New Roman" w:hAnsi="Times New Roman"/>
                  <w:sz w:val="20"/>
                </w:rPr>
                <w:t>Schedule 14A</w:t>
              </w:r>
            </w:hyperlink>
            <w:r>
              <w:rPr>
                <w:rFonts w:ascii="Times New Roman" w:hAnsi="Times New Roman"/>
                <w:sz w:val="20"/>
              </w:rPr>
              <w:t xml:space="preserve">, filed with the SEC on December 13,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Quarterly Reports on Form 10-Q for the fiscal quarters ended December 31, 2023 and March 31, 2024, filed with the SEC on </w:t>
            </w:r>
            <w:hyperlink r:id="rId27">
              <w:r>
                <w:rPr>
                  <w:rStyle w:val="InternetLink"/>
                  <w:rFonts w:ascii="Times New Roman" w:hAnsi="Times New Roman"/>
                  <w:sz w:val="20"/>
                </w:rPr>
                <w:t>February 7, 2024</w:t>
              </w:r>
            </w:hyperlink>
            <w:r>
              <w:rPr>
                <w:rFonts w:ascii="Times New Roman" w:hAnsi="Times New Roman"/>
                <w:sz w:val="20"/>
              </w:rPr>
              <w:t xml:space="preserve"> and </w:t>
            </w:r>
            <w:hyperlink r:id="rId28">
              <w:r>
                <w:rPr>
                  <w:rStyle w:val="InternetLink"/>
                  <w:rFonts w:ascii="Times New Roman" w:hAnsi="Times New Roman"/>
                  <w:sz w:val="20"/>
                </w:rPr>
                <w:t>May 8, 2024</w:t>
              </w:r>
            </w:hyperlink>
            <w:r>
              <w:rPr>
                <w:rFonts w:ascii="Times New Roman" w:hAnsi="Times New Roman"/>
                <w:sz w:val="20"/>
              </w:rPr>
              <w:t xml:space="preserve">,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Our Current Reports on Form 8-K filed with the SEC on </w:t>
            </w:r>
            <w:hyperlink r:id="rId29">
              <w:r>
                <w:rPr>
                  <w:rStyle w:val="InternetLink"/>
                  <w:rFonts w:ascii="Times New Roman" w:hAnsi="Times New Roman"/>
                  <w:sz w:val="20"/>
                </w:rPr>
                <w:t>January 12, 2024</w:t>
              </w:r>
            </w:hyperlink>
            <w:r>
              <w:rPr>
                <w:rFonts w:ascii="Times New Roman" w:hAnsi="Times New Roman"/>
                <w:sz w:val="20"/>
              </w:rPr>
              <w:t xml:space="preserve">, </w:t>
            </w:r>
            <w:hyperlink r:id="rId30">
              <w:r>
                <w:rPr>
                  <w:rStyle w:val="InternetLink"/>
                  <w:rFonts w:ascii="Times New Roman" w:hAnsi="Times New Roman"/>
                  <w:sz w:val="20"/>
                </w:rPr>
                <w:t>February 8, 2024</w:t>
              </w:r>
            </w:hyperlink>
            <w:r>
              <w:rPr>
                <w:rFonts w:ascii="Times New Roman" w:hAnsi="Times New Roman"/>
                <w:sz w:val="20"/>
              </w:rPr>
              <w:t xml:space="preserve">, </w:t>
            </w:r>
            <w:hyperlink r:id="rId31">
              <w:r>
                <w:rPr>
                  <w:rStyle w:val="InternetLink"/>
                  <w:rFonts w:ascii="Times New Roman" w:hAnsi="Times New Roman"/>
                  <w:sz w:val="20"/>
                </w:rPr>
                <w:t>February 9, 2024</w:t>
              </w:r>
            </w:hyperlink>
            <w:r>
              <w:rPr>
                <w:rFonts w:ascii="Times New Roman" w:hAnsi="Times New Roman"/>
                <w:sz w:val="20"/>
              </w:rPr>
              <w:t xml:space="preserve">, </w:t>
            </w:r>
            <w:hyperlink r:id="rId32">
              <w:r>
                <w:rPr>
                  <w:rStyle w:val="InternetLink"/>
                  <w:rFonts w:ascii="Times New Roman" w:hAnsi="Times New Roman"/>
                  <w:sz w:val="20"/>
                </w:rPr>
                <w:t>February 27, 2024</w:t>
              </w:r>
            </w:hyperlink>
            <w:r>
              <w:rPr>
                <w:rFonts w:ascii="Times New Roman" w:hAnsi="Times New Roman"/>
                <w:sz w:val="20"/>
              </w:rPr>
              <w:t xml:space="preserve">, </w:t>
            </w:r>
            <w:hyperlink r:id="rId33">
              <w:r>
                <w:rPr>
                  <w:rStyle w:val="InternetLink"/>
                  <w:rFonts w:ascii="Times New Roman" w:hAnsi="Times New Roman"/>
                  <w:sz w:val="20"/>
                </w:rPr>
                <w:t>April 18, 2024</w:t>
              </w:r>
            </w:hyperlink>
            <w:r>
              <w:rPr>
                <w:rFonts w:ascii="Times New Roman" w:hAnsi="Times New Roman"/>
                <w:sz w:val="20"/>
              </w:rPr>
              <w:t xml:space="preserve"> and </w:t>
            </w:r>
            <w:hyperlink r:id="rId34">
              <w:r>
                <w:rPr>
                  <w:rStyle w:val="InternetLink"/>
                  <w:rFonts w:ascii="Times New Roman" w:hAnsi="Times New Roman"/>
                  <w:sz w:val="20"/>
                </w:rPr>
                <w:t>May 8, 2024</w:t>
              </w:r>
            </w:hyperlink>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rFonts w:ascii="Times New Roman" w:hAnsi="Times New Roman"/>
                <w:sz w:val="20"/>
              </w:rPr>
              <w:t xml:space="preserve">The description of our common stock contained in </w:t>
            </w:r>
            <w:hyperlink r:id="rId35">
              <w:r>
                <w:rPr>
                  <w:rStyle w:val="InternetLink"/>
                  <w:rFonts w:ascii="Times New Roman" w:hAnsi="Times New Roman"/>
                  <w:sz w:val="20"/>
                </w:rPr>
                <w:t>Exhibit 4.4</w:t>
              </w:r>
            </w:hyperlink>
            <w:r>
              <w:rPr>
                <w:rFonts w:ascii="Times New Roman" w:hAnsi="Times New Roman"/>
                <w:sz w:val="20"/>
              </w:rPr>
              <w:t xml:space="preserve"> of our Annual Report on Form 10-K for the fiscal year ended September 30, 2019 (File No. 814-00891), as filed with the SEC on November 20, 2019, which updated the description thereof referenced in our Registration Statement on </w:t>
            </w:r>
            <w:hyperlink r:id="rId36">
              <w:r>
                <w:rPr>
                  <w:rStyle w:val="InternetLink"/>
                  <w:rFonts w:ascii="Times New Roman" w:hAnsi="Times New Roman"/>
                  <w:sz w:val="20"/>
                </w:rPr>
                <w:t>Form 8-A</w:t>
              </w:r>
            </w:hyperlink>
            <w:r>
              <w:rPr>
                <w:rFonts w:ascii="Times New Roman" w:hAnsi="Times New Roman"/>
                <w:sz w:val="20"/>
              </w:rPr>
              <w:t xml:space="preserve"> (File No. 001-35127), as filed with the SEC on April 7, 2011, including any amendment or report filed for the purpose of updating such description prior to the termination of the offering of the common stock registered hereby.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obtain copies of these filings, see “Available Information.” </w:t>
      </w:r>
    </w:p>
    <w:p>
      <w:pPr>
        <w:pStyle w:val="TextBody"/>
        <w:bidi w:val="0"/>
        <w:spacing w:before="480" w:after="0"/>
        <w:jc w:val="center"/>
        <w:rPr>
          <w:rFonts w:ascii="Times New Roman" w:hAnsi="Times New Roman"/>
          <w:b/>
          <w:sz w:val="20"/>
        </w:rPr>
      </w:pPr>
      <w:bookmarkStart w:id="32" w:name="tx894111_27"/>
      <w:bookmarkEnd w:id="32"/>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hAnsi="Times New Roman"/>
          <w:i/>
          <w:sz w:val="20"/>
          <w:u w:val="single"/>
        </w:rPr>
        <w:t>www.pennantpark.com</w:t>
      </w:r>
      <w:r>
        <w:rPr>
          <w:rFonts w:ascii="Times New Roman" w:hAnsi="Times New Roman"/>
          <w:sz w:val="20"/>
        </w:rPr>
        <w:t xml:space="preserve">. Except for the documents incorporated by reference into this prospectus and any accompanying prospectus supplement, the 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hAnsi="Times New Roman"/>
          <w:i/>
          <w:sz w:val="20"/>
          <w:u w:val="single"/>
        </w:rPr>
        <w:t>www.sec.gov</w:t>
      </w:r>
      <w:r>
        <w:rPr>
          <w:rFonts w:ascii="Times New Roman" w:hAnsi="Times New Roman"/>
          <w:sz w:val="20"/>
        </w:rPr>
        <w:t xml:space="preserve">. Copies of these reports, proxy and information statements and other information may be obtained, after paying a duplicating fee, by sending a request by email to: publicinfo@sec.gov.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$200,000,000 </w:t>
      </w:r>
    </w:p>
    <w:p>
      <w:pPr>
        <w:pStyle w:val="TextBody"/>
        <w:bidi w:val="0"/>
        <w:spacing w:before="240" w:after="0"/>
        <w:jc w:val="center"/>
        <w:rPr>
          <w:rFonts w:ascii="Times New Roman" w:hAnsi="Times New Roman"/>
          <w:b/>
          <w:sz w:val="32"/>
        </w:rPr>
      </w:pPr>
      <w:r>
        <w:rPr>
          <w:rFonts w:ascii="Times New Roman" w:hAnsi="Times New Roman"/>
          <w:b/>
          <w:sz w:val="32"/>
        </w:rPr>
        <w:t xml:space="preserve">6.75% Notes due 2029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60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8780" w:type="dxa"/>
        <w:jc w:val="left"/>
        <w:tblInd w:w="0" w:type="dxa"/>
        <w:tblLayout w:type="fixed"/>
        <w:tblCellMar>
          <w:top w:w="0" w:type="dxa"/>
          <w:left w:w="0" w:type="dxa"/>
          <w:bottom w:w="0" w:type="dxa"/>
          <w:right w:w="0" w:type="dxa"/>
        </w:tblCellMar>
      </w:tblPr>
      <w:tblGrid>
        <w:gridCol w:w="1730"/>
        <w:gridCol w:w="60"/>
        <w:gridCol w:w="2615"/>
        <w:gridCol w:w="60"/>
        <w:gridCol w:w="2555"/>
        <w:gridCol w:w="60"/>
        <w:gridCol w:w="1700"/>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center"/>
          </w:tcPr>
          <w:p>
            <w:pPr>
              <w:pStyle w:val="TableContents"/>
              <w:bidi w:val="0"/>
              <w:spacing w:before="0" w:after="283"/>
              <w:jc w:val="center"/>
              <w:rPr>
                <w:b/>
              </w:rPr>
            </w:pPr>
            <w:r>
              <w:rPr>
                <w:b/>
              </w:rPr>
              <w:t>Raymond James</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b/>
              </w:rPr>
            </w:pPr>
            <w:r>
              <w:rPr>
                <w:b/>
              </w:rPr>
              <w:t>Keefe, Bruyette &amp; Woods</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b/>
              </w:rPr>
            </w:pPr>
            <w:r>
              <w:rPr>
                <w:b/>
              </w:rPr>
              <w:t>Citizens Capital Markets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b/>
              </w:rPr>
            </w:pPr>
            <w:r>
              <w:rPr>
                <w:b/>
              </w:rPr>
              <w:t>Truist Securities</w:t>
            </w:r>
          </w:p>
        </w:tc>
      </w:tr>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pPr>
            <w:r>
              <w:rPr/>
              <w:t>     </w:t>
            </w:r>
            <w:r>
              <w:rPr>
                <w:b/>
                <w:i/>
              </w:rPr>
              <w:t>A Stifel Company</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i/>
          <w:sz w:val="24"/>
        </w:rPr>
      </w:pPr>
      <w:r>
        <w:rPr>
          <w:rFonts w:ascii="Times New Roman" w:hAnsi="Times New Roman"/>
          <w:b/>
          <w:i/>
          <w:sz w:val="24"/>
        </w:rPr>
        <w:t xml:space="preserve">Co-Managers </w:t>
      </w:r>
    </w:p>
    <w:p>
      <w:pPr>
        <w:pStyle w:val="TextBody"/>
        <w:bidi w:val="0"/>
        <w:spacing w:before="0" w:after="0"/>
        <w:jc w:val="left"/>
        <w:rPr/>
      </w:pPr>
      <w:r>
        <w:rPr/>
        <w:t> </w:t>
      </w:r>
    </w:p>
    <w:tbl>
      <w:tblPr>
        <w:tblW w:w="5865" w:type="dxa"/>
        <w:jc w:val="left"/>
        <w:tblInd w:w="0" w:type="dxa"/>
        <w:tblLayout w:type="fixed"/>
        <w:tblCellMar>
          <w:top w:w="0" w:type="dxa"/>
          <w:left w:w="0" w:type="dxa"/>
          <w:bottom w:w="0" w:type="dxa"/>
          <w:right w:w="0" w:type="dxa"/>
        </w:tblCellMar>
      </w:tblPr>
      <w:tblGrid>
        <w:gridCol w:w="1205"/>
        <w:gridCol w:w="60"/>
        <w:gridCol w:w="2090"/>
        <w:gridCol w:w="60"/>
        <w:gridCol w:w="2450"/>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   </w:t>
            </w:r>
            <w:r>
              <w:rPr>
                <w:b/>
              </w:rPr>
              <w:t>ING</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b/>
              </w:rPr>
            </w:pPr>
            <w:r>
              <w:rPr>
                <w:b/>
              </w:rPr>
              <w:t>Oppenheimer &amp; Co.</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b/>
              </w:rPr>
            </w:pPr>
            <w:r>
              <w:rPr>
                <w:b/>
              </w:rPr>
              <w:t>Regions Securities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The date of this prospectus supplement is February 25,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504619/000119312526042778/pflt-20251231.htm" TargetMode="External"/><Relationship Id="rId4" Type="http://schemas.openxmlformats.org/officeDocument/2006/relationships/hyperlink" Target="http://www.sec.gov/ix?doc=/Archives/edgar/data/1504619/000119312526042778/pflt-20251231.htm" TargetMode="External"/><Relationship Id="rId5" Type="http://schemas.openxmlformats.org/officeDocument/2006/relationships/hyperlink" Target="http://www.sec.gov/ix?doc=/Archives/edgar/data/1504619/000119312525293672/pflt-20250930.htm" TargetMode="External"/><Relationship Id="rId6" Type="http://schemas.openxmlformats.org/officeDocument/2006/relationships/hyperlink" Target="http://www.sec.gov/ix?doc=/Archives/edgar/data/1504619/000119312525293672/pflt-20250930.htm" TargetMode="External"/><Relationship Id="rId7" Type="http://schemas.openxmlformats.org/officeDocument/2006/relationships/hyperlink" Target="http://www.sec.gov/ix?doc=/Archives/edgar/data/1504619/000119312525300797/d24379d8k.htm" TargetMode="External"/><Relationship Id="rId8" Type="http://schemas.openxmlformats.org/officeDocument/2006/relationships/hyperlink" Target="http://www.sec.gov/ix?doc=/Archives/edgar/data/1504619/000119312526039366/pflt-20240206.htm" TargetMode="External"/><Relationship Id="rId9" Type="http://schemas.openxmlformats.org/officeDocument/2006/relationships/hyperlink" Target="http://www.sec.gov/Archives/edgar/data/1504619/000119312525322696/pflt-20251217.htm" TargetMode="External"/><Relationship Id="rId10" Type="http://schemas.openxmlformats.org/officeDocument/2006/relationships/hyperlink" Target="http://www.sec.gov/ix?doc=/Archives/edgar/data/1504619/000119312525293672/pflt-20250930.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1504619/000095017023068908/pflt-20230930.htm" TargetMode="External"/><Relationship Id="rId13" Type="http://schemas.openxmlformats.org/officeDocument/2006/relationships/hyperlink" Target="http://www.sec.gov/Archives/edgar/data/1504619/000095017023068908/pflt-20230930.htm" TargetMode="External"/><Relationship Id="rId14" Type="http://schemas.openxmlformats.org/officeDocument/2006/relationships/hyperlink" Target="http://www.sec.gov/Archives/edgar/data/1504619/000095017024055631/pflt-20240331.htm" TargetMode="External"/><Relationship Id="rId15" Type="http://schemas.openxmlformats.org/officeDocument/2006/relationships/hyperlink" Target="http://www.sec.gov/Archives/edgar/data/../../../ix?doc=/Archives/edgar/data/1504619/000095017023068908/pflt-20230930.htm" TargetMode="External"/><Relationship Id="rId16" Type="http://schemas.openxmlformats.org/officeDocument/2006/relationships/hyperlink" Target="http://www.sec.gov/Archives/edgar/data/../../../ix?doc=/Archives/edgar/data/1504619/000095017024055631/pflt-20240331.htm" TargetMode="External"/><Relationship Id="rId17" Type="http://schemas.openxmlformats.org/officeDocument/2006/relationships/hyperlink" Target="http://www.sec.gov/Archives/edgar/data/1504619/000095017023068908/pflt-20230930.htm" TargetMode="External"/><Relationship Id="rId18" Type="http://schemas.openxmlformats.org/officeDocument/2006/relationships/hyperlink" Target="http://www.sec.gov/Archives/edgar/data/../../../ix?doc=/Archives/edgar/data/1504619/000095017023068908/pflt-20230930.htm" TargetMode="External"/><Relationship Id="rId19" Type="http://schemas.openxmlformats.org/officeDocument/2006/relationships/hyperlink" Target="http://www.sec.gov/Archives/edgar/data/1504619/000095017023068908/pflt-20230930.htm" TargetMode="External"/><Relationship Id="rId20" Type="http://schemas.openxmlformats.org/officeDocument/2006/relationships/hyperlink" Target="http://www.sec.gov/Archives/edgar/data/../../../ix?doc=/Archives/edgar/data/1504619/000095017024055631/pflt-20240331.htm" TargetMode="External"/><Relationship Id="rId21" Type="http://schemas.openxmlformats.org/officeDocument/2006/relationships/hyperlink" Target="http://www.sec.gov/Archives/edgar/data/1504619/000095017023070038/pflt-2024-def_14a.htm" TargetMode="External"/><Relationship Id="rId22" Type="http://schemas.openxmlformats.org/officeDocument/2006/relationships/hyperlink" Target="http://www.sec.gov/Archives/edgar/data/../../../ix?doc=/Archives/edgar/data/1504619/000095017023068908/pflt-20230930.htm" TargetMode="External"/><Relationship Id="rId23" Type="http://schemas.openxmlformats.org/officeDocument/2006/relationships/hyperlink" Target="http://www.sec.gov/Archives/edgar/data/1504619/000095017023068908/pflt-20230930.htm" TargetMode="External"/><Relationship Id="rId24" Type="http://schemas.openxmlformats.org/officeDocument/2006/relationships/hyperlink" Target="http://www.sec.gov/Archives/edgar/data/1504619/000095017023068908/pflt-20230930.htm" TargetMode="External"/><Relationship Id="rId25" Type="http://schemas.openxmlformats.org/officeDocument/2006/relationships/hyperlink" Target="http://www.sec.gov/Archives/edgar/data/../../../ix?doc=/Archives/edgar/data/1504619/000095017023068908/pflt-20230930.htm" TargetMode="External"/><Relationship Id="rId26" Type="http://schemas.openxmlformats.org/officeDocument/2006/relationships/hyperlink" Target="http://www.sec.gov/Archives/edgar/data/1504619/000095017023070038/pflt-2024-def_14a.htm" TargetMode="External"/><Relationship Id="rId27" Type="http://schemas.openxmlformats.org/officeDocument/2006/relationships/hyperlink" Target="http://www.sec.gov/Archives/edgar/data/../../../ix?doc=/Archives/edgar/data/1504619/000095017024012187/pflt-20231231.htm" TargetMode="External"/><Relationship Id="rId28" Type="http://schemas.openxmlformats.org/officeDocument/2006/relationships/hyperlink" Target="http://www.sec.gov/Archives/edgar/data/../../../ix?doc=/Archives/edgar/data/1504619/000095017024055631/pflt-20240331.htm" TargetMode="External"/><Relationship Id="rId29" Type="http://schemas.openxmlformats.org/officeDocument/2006/relationships/hyperlink" Target="http://www.sec.gov/Archives/edgar/data/../../../ix?doc=/Archives/edgar/data/1504619/000117184324000243/f8k_011224.htm" TargetMode="External"/><Relationship Id="rId30" Type="http://schemas.openxmlformats.org/officeDocument/2006/relationships/hyperlink" Target="http://www.sec.gov/Archives/edgar/data/../../../ix?doc=/Archives/edgar/data/1504619/000117184324000688/f8k_020824.htm" TargetMode="External"/><Relationship Id="rId31" Type="http://schemas.openxmlformats.org/officeDocument/2006/relationships/hyperlink" Target="http://www.sec.gov/Archives/edgar/data/../../../ix?doc=/Archives/edgar/data/1504619/000095017024013264/pflt-20240206.htm" TargetMode="External"/><Relationship Id="rId32" Type="http://schemas.openxmlformats.org/officeDocument/2006/relationships/hyperlink" Target="http://www.sec.gov/Archives/edgar/data/../../../ix?doc=/Archives/edgar/data/1504619/000119312524047922/d620677d8k.htm" TargetMode="External"/><Relationship Id="rId33" Type="http://schemas.openxmlformats.org/officeDocument/2006/relationships/hyperlink" Target="http://www.sec.gov/Archives/edgar/data/../../../ix?doc=/Archives/edgar/data/1504619/000095017024045307/pflt-20240416.htm" TargetMode="External"/><Relationship Id="rId34" Type="http://schemas.openxmlformats.org/officeDocument/2006/relationships/hyperlink" Target="http://www.sec.gov/Archives/edgar/data/../../../ix?doc=/Archives/edgar/data/1504619/000117184324002668/f8k_050824.htm" TargetMode="External"/><Relationship Id="rId35" Type="http://schemas.openxmlformats.org/officeDocument/2006/relationships/hyperlink" Target="http://www.sec.gov/Archives/edgar/data/1504619/000156459019043972/pflt-ex44_124.htm" TargetMode="External"/><Relationship Id="rId36" Type="http://schemas.openxmlformats.org/officeDocument/2006/relationships/hyperlink" Target="http://www.sec.gov/Archives/edgar/data/1504619/000119312511090965/d8a12b.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Pages>
  <Words>72334</Words>
  <Characters>375977</Characters>
  <CharactersWithSpaces>452128</CharactersWithSpaces>
  <Paragraphs>11591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