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31750</wp:posOffset>
            </wp:positionV>
            <wp:extent cx="3968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1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6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CURRENT REPORT</w:t>
      </w:r>
    </w:p>
    <w:p>
      <w:pPr>
        <w:spacing w:after="0" w:line="158"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Exchange Act of 1934</w:t>
      </w:r>
    </w:p>
    <w:p>
      <w:pPr>
        <w:spacing w:after="0" w:line="328"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Date of Report: February 8, 2023</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166"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3380" w:type="dxa"/>
            <w:vAlign w:val="bottom"/>
          </w:tcPr>
          <w:p>
            <w:pPr>
              <w:jc w:val="center"/>
              <w:ind w:right="688"/>
              <w:spacing w:after="0"/>
              <w:rPr>
                <w:sz w:val="20"/>
                <w:szCs w:val="20"/>
                <w:color w:val="auto"/>
              </w:rPr>
            </w:pPr>
            <w:r>
              <w:rPr>
                <w:rFonts w:ascii="Arial" w:cs="Arial" w:eastAsia="Arial" w:hAnsi="Arial"/>
                <w:sz w:val="14"/>
                <w:szCs w:val="14"/>
                <w:b w:val="1"/>
                <w:bCs w:val="1"/>
                <w:color w:val="auto"/>
              </w:rPr>
              <w:t>Maryland</w:t>
            </w:r>
          </w:p>
        </w:tc>
        <w:tc>
          <w:tcPr>
            <w:tcW w:w="3040" w:type="dxa"/>
            <w:vAlign w:val="bottom"/>
          </w:tcPr>
          <w:p>
            <w:pPr>
              <w:jc w:val="right"/>
              <w:ind w:right="1148"/>
              <w:spacing w:after="0"/>
              <w:rPr>
                <w:sz w:val="20"/>
                <w:szCs w:val="20"/>
                <w:color w:val="auto"/>
              </w:rPr>
            </w:pPr>
            <w:r>
              <w:rPr>
                <w:rFonts w:ascii="Arial" w:cs="Arial" w:eastAsia="Arial" w:hAnsi="Arial"/>
                <w:sz w:val="14"/>
                <w:szCs w:val="14"/>
                <w:b w:val="1"/>
                <w:bCs w:val="1"/>
                <w:color w:val="auto"/>
              </w:rPr>
              <w:t>814-00891</w:t>
            </w:r>
          </w:p>
        </w:tc>
        <w:tc>
          <w:tcPr>
            <w:tcW w:w="2960" w:type="dxa"/>
            <w:vAlign w:val="bottom"/>
          </w:tcPr>
          <w:p>
            <w:pPr>
              <w:jc w:val="right"/>
              <w:ind w:right="688"/>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2"/>
        </w:trPr>
        <w:tc>
          <w:tcPr>
            <w:tcW w:w="3380" w:type="dxa"/>
            <w:vAlign w:val="bottom"/>
          </w:tcPr>
          <w:p>
            <w:pPr>
              <w:jc w:val="center"/>
              <w:ind w:right="708"/>
              <w:spacing w:after="0"/>
              <w:rPr>
                <w:sz w:val="20"/>
                <w:szCs w:val="20"/>
                <w:color w:val="auto"/>
              </w:rPr>
            </w:pPr>
            <w:r>
              <w:rPr>
                <w:rFonts w:ascii="Arial" w:cs="Arial" w:eastAsia="Arial" w:hAnsi="Arial"/>
                <w:sz w:val="14"/>
                <w:szCs w:val="14"/>
                <w:color w:val="auto"/>
                <w:w w:val="95"/>
              </w:rPr>
              <w:t>(State or Other Jurisdiction of Incorporation)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(Commission File Number)</w:t>
            </w:r>
          </w:p>
        </w:tc>
        <w:tc>
          <w:tcPr>
            <w:tcW w:w="2960" w:type="dxa"/>
            <w:vAlign w:val="bottom"/>
          </w:tcPr>
          <w:p>
            <w:pPr>
              <w:jc w:val="center"/>
              <w:ind w:left="648"/>
              <w:spacing w:after="0"/>
              <w:rPr>
                <w:sz w:val="20"/>
                <w:szCs w:val="20"/>
                <w:color w:val="auto"/>
              </w:rPr>
            </w:pPr>
            <w:r>
              <w:rPr>
                <w:rFonts w:ascii="Arial" w:cs="Arial" w:eastAsia="Arial" w:hAnsi="Arial"/>
                <w:sz w:val="14"/>
                <w:szCs w:val="14"/>
                <w:color w:val="auto"/>
                <w:w w:val="96"/>
              </w:rPr>
              <w:t>(IRS Employer Identification Number)</w:t>
            </w:r>
          </w:p>
        </w:tc>
        <w:tc>
          <w:tcPr>
            <w:tcW w:w="0" w:type="dxa"/>
            <w:vAlign w:val="bottom"/>
          </w:tcPr>
          <w:p>
            <w:pPr>
              <w:spacing w:after="0"/>
              <w:rPr>
                <w:sz w:val="1"/>
                <w:szCs w:val="1"/>
                <w:color w:val="auto"/>
              </w:rPr>
            </w:pPr>
          </w:p>
        </w:tc>
      </w:tr>
      <w:tr>
        <w:trPr>
          <w:trHeight w:val="556"/>
        </w:trPr>
        <w:tc>
          <w:tcPr>
            <w:tcW w:w="3380" w:type="dxa"/>
            <w:vAlign w:val="bottom"/>
          </w:tcPr>
          <w:p>
            <w:pPr>
              <w:jc w:val="center"/>
              <w:ind w:right="348"/>
              <w:spacing w:after="0"/>
              <w:rPr>
                <w:sz w:val="20"/>
                <w:szCs w:val="20"/>
                <w:color w:val="auto"/>
              </w:rPr>
            </w:pPr>
            <w:r>
              <w:rPr>
                <w:rFonts w:ascii="Arial" w:cs="Arial" w:eastAsia="Arial" w:hAnsi="Arial"/>
                <w:sz w:val="14"/>
                <w:szCs w:val="14"/>
                <w:b w:val="1"/>
                <w:bCs w:val="1"/>
                <w:color w:val="auto"/>
                <w:w w:val="93"/>
              </w:rPr>
              <w:t>1691 Michigan Avenue</w:t>
            </w:r>
          </w:p>
        </w:tc>
        <w:tc>
          <w:tcPr>
            <w:tcW w:w="3040" w:type="dxa"/>
            <w:vAlign w:val="bottom"/>
          </w:tcPr>
          <w:p>
            <w:pPr>
              <w:spacing w:after="0"/>
              <w:rPr>
                <w:sz w:val="24"/>
                <w:szCs w:val="24"/>
                <w:color w:val="auto"/>
              </w:rPr>
            </w:pPr>
          </w:p>
        </w:tc>
        <w:tc>
          <w:tcPr>
            <w:tcW w:w="2960" w:type="dxa"/>
            <w:vAlign w:val="bottom"/>
            <w:vMerge w:val="restart"/>
          </w:tcPr>
          <w:p>
            <w:pPr>
              <w:jc w:val="right"/>
              <w:ind w:right="1188"/>
              <w:spacing w:after="0"/>
              <w:rPr>
                <w:sz w:val="20"/>
                <w:szCs w:val="20"/>
                <w:color w:val="auto"/>
              </w:rPr>
            </w:pPr>
            <w:r>
              <w:rPr>
                <w:rFonts w:ascii="Arial" w:cs="Arial" w:eastAsia="Arial" w:hAnsi="Arial"/>
                <w:sz w:val="14"/>
                <w:szCs w:val="14"/>
                <w:b w:val="1"/>
                <w:bCs w:val="1"/>
                <w:color w:val="auto"/>
              </w:rPr>
              <w:t>33139</w:t>
            </w:r>
          </w:p>
        </w:tc>
        <w:tc>
          <w:tcPr>
            <w:tcW w:w="0" w:type="dxa"/>
            <w:vAlign w:val="bottom"/>
          </w:tcPr>
          <w:p>
            <w:pPr>
              <w:spacing w:after="0"/>
              <w:rPr>
                <w:sz w:val="1"/>
                <w:szCs w:val="1"/>
                <w:color w:val="auto"/>
              </w:rPr>
            </w:pPr>
          </w:p>
        </w:tc>
      </w:tr>
      <w:tr>
        <w:trPr>
          <w:trHeight w:val="72"/>
        </w:trPr>
        <w:tc>
          <w:tcPr>
            <w:tcW w:w="3380" w:type="dxa"/>
            <w:vAlign w:val="bottom"/>
            <w:vMerge w:val="restart"/>
          </w:tcPr>
          <w:p>
            <w:pPr>
              <w:jc w:val="center"/>
              <w:ind w:right="388"/>
              <w:spacing w:after="0" w:line="153" w:lineRule="exact"/>
              <w:rPr>
                <w:sz w:val="20"/>
                <w:szCs w:val="20"/>
                <w:color w:val="auto"/>
              </w:rPr>
            </w:pPr>
            <w:r>
              <w:rPr>
                <w:rFonts w:ascii="Arial" w:cs="Arial" w:eastAsia="Arial" w:hAnsi="Arial"/>
                <w:sz w:val="14"/>
                <w:szCs w:val="14"/>
                <w:b w:val="1"/>
                <w:bCs w:val="1"/>
                <w:color w:val="auto"/>
                <w:w w:val="97"/>
              </w:rPr>
              <w:t>Miami Beach, Florida</w:t>
            </w:r>
          </w:p>
        </w:tc>
        <w:tc>
          <w:tcPr>
            <w:tcW w:w="304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vMerge w:val="restart"/>
          </w:tcPr>
          <w:p>
            <w:pPr>
              <w:jc w:val="center"/>
              <w:ind w:left="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01"/>
        </w:trPr>
        <w:tc>
          <w:tcPr>
            <w:tcW w:w="3380" w:type="dxa"/>
            <w:vAlign w:val="bottom"/>
            <w:vMerge w:val="restart"/>
          </w:tcPr>
          <w:p>
            <w:pPr>
              <w:jc w:val="center"/>
              <w:ind w:right="348"/>
              <w:spacing w:after="0"/>
              <w:rPr>
                <w:sz w:val="20"/>
                <w:szCs w:val="20"/>
                <w:color w:val="auto"/>
              </w:rPr>
            </w:pPr>
            <w:r>
              <w:rPr>
                <w:rFonts w:ascii="Arial" w:cs="Arial" w:eastAsia="Arial" w:hAnsi="Arial"/>
                <w:sz w:val="14"/>
                <w:szCs w:val="14"/>
                <w:color w:val="auto"/>
                <w:w w:val="95"/>
              </w:rPr>
              <w:t>(Address of Principal Executive Offices)</w:t>
            </w:r>
          </w:p>
        </w:tc>
        <w:tc>
          <w:tcPr>
            <w:tcW w:w="304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4"/>
          <w:szCs w:val="14"/>
          <w:color w:val="auto"/>
          <w:highlight w:val="black"/>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823" w:right="459" w:bottom="1440" w:gutter="0" w:footer="0" w:header="0"/>
        </w:sectPr>
      </w:pPr>
    </w:p>
    <w:p>
      <w:pPr>
        <w:spacing w:after="0" w:line="230"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380" w:space="720"/>
            <w:col w:w="2040" w:space="720"/>
            <w:col w:w="3260"/>
          </w:cols>
          <w:pgMar w:left="320" w:top="823" w:right="459" w:bottom="1440" w:gutter="0" w:footer="0" w:header="0"/>
          <w:type w:val="continuous"/>
        </w:sectPr>
      </w:pPr>
    </w:p>
    <w:p>
      <w:pPr>
        <w:ind w:left="80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New York Stock Exchange</w:t>
      </w:r>
    </w:p>
    <w:p>
      <w:pPr>
        <w:spacing w:after="0" w:line="200" w:lineRule="exact"/>
        <w:rPr>
          <w:sz w:val="24"/>
          <w:szCs w:val="24"/>
          <w:color w:val="auto"/>
        </w:rPr>
      </w:pPr>
    </w:p>
    <w:p>
      <w:pPr>
        <w:sectPr>
          <w:pgSz w:w="11900" w:h="16838" w:orient="portrait"/>
          <w:cols w:equalWidth="0" w:num="3">
            <w:col w:w="4800" w:space="720"/>
            <w:col w:w="2120" w:space="720"/>
            <w:col w:w="2760"/>
          </w:cols>
          <w:pgMar w:left="320" w:top="823" w:right="459" w:bottom="1440" w:gutter="0" w:footer="0" w:header="0"/>
          <w:type w:val="continuous"/>
        </w:sectPr>
      </w:pPr>
    </w:p>
    <w:p>
      <w:pPr>
        <w:spacing w:after="0" w:line="2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23" w:right="45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2.02. Results of Operations and Financial Condition</w:t>
      </w:r>
    </w:p>
    <w:p>
      <w:pPr>
        <w:spacing w:after="0" w:line="162"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On February 8, 2023, PennantPark Floating Rate Capital Ltd., issued a press release announcing its financial results for the first fiscal quarter ended December 31, 2022 and an increase of its monthly distribution. A copy of the press release is furnished as Exhibit 99.1 to this report pursuant to Item 2.02 on Form 8-K and Regulation FD.</w:t>
      </w:r>
    </w:p>
    <w:p>
      <w:pPr>
        <w:spacing w:after="0" w:line="184"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The information in this report on Form 8-K, including Exhibit 99.1,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right="20"/>
        <w:spacing w:after="0" w:line="270"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PennnatPark.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1" w:lineRule="exact"/>
        <w:rPr>
          <w:sz w:val="20"/>
          <w:szCs w:val="20"/>
          <w:color w:val="auto"/>
        </w:rPr>
      </w:pPr>
    </w:p>
    <w:p>
      <w:pPr>
        <w:jc w:val="both"/>
        <w:ind w:left="20" w:right="2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8" w:lineRule="exact"/>
        <w:rPr>
          <w:sz w:val="20"/>
          <w:szCs w:val="20"/>
          <w:color w:val="auto"/>
        </w:rPr>
      </w:pPr>
    </w:p>
    <w:p>
      <w:pPr>
        <w:ind w:left="600" w:right="9320" w:hanging="579"/>
        <w:spacing w:after="0" w:line="293" w:lineRule="auto"/>
        <w:tabs>
          <w:tab w:leader="none" w:pos="27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20" w:hanging="579"/>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79"/>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59"/>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Floating Rate Capital Ltd. dated February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-19050</wp:posOffset>
            </wp:positionV>
            <wp:extent cx="3664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4585" cy="8890"/>
                    </a:xfrm>
                    <a:prstGeom prst="rect">
                      <a:avLst/>
                    </a:prstGeom>
                    <a:noFill/>
                  </pic:spPr>
                </pic:pic>
              </a:graphicData>
            </a:graphic>
          </wp:anchor>
        </w:drawing>
      </w:r>
    </w:p>
    <w:p>
      <w:pPr>
        <w:ind w:left="60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Dated: February 8, 2023</w:t>
            </w:r>
          </w:p>
        </w:tc>
        <w:tc>
          <w:tcPr>
            <w:tcW w:w="7660" w:type="dxa"/>
            <w:vAlign w:val="bottom"/>
            <w:gridSpan w:val="3"/>
            <w:vMerge w:val="restart"/>
          </w:tcPr>
          <w:p>
            <w:pPr>
              <w:ind w:left="1780"/>
              <w:spacing w:after="0"/>
              <w:rPr>
                <w:sz w:val="20"/>
                <w:szCs w:val="20"/>
                <w:color w:val="auto"/>
              </w:rPr>
            </w:pPr>
            <w:r>
              <w:rPr>
                <w:rFonts w:ascii="Arial" w:cs="Arial" w:eastAsia="Arial" w:hAnsi="Arial"/>
                <w:sz w:val="18"/>
                <w:szCs w:val="18"/>
                <w:b w:val="1"/>
                <w:bCs w:val="1"/>
                <w:color w:val="auto"/>
              </w:rPr>
              <w:t>PENNANTPARK FLOATING RATE CAPITAL LTD.</w:t>
            </w:r>
          </w:p>
        </w:tc>
        <w:tc>
          <w:tcPr>
            <w:tcW w:w="0" w:type="dxa"/>
            <w:vAlign w:val="bottom"/>
          </w:tcPr>
          <w:p>
            <w:pPr>
              <w:spacing w:after="0"/>
              <w:rPr>
                <w:sz w:val="1"/>
                <w:szCs w:val="1"/>
                <w:color w:val="auto"/>
              </w:rPr>
            </w:pPr>
          </w:p>
        </w:tc>
      </w:tr>
      <w:tr>
        <w:trPr>
          <w:trHeight w:val="95"/>
        </w:trPr>
        <w:tc>
          <w:tcPr>
            <w:tcW w:w="3580" w:type="dxa"/>
            <w:vAlign w:val="bottom"/>
          </w:tcPr>
          <w:p>
            <w:pPr>
              <w:spacing w:after="0"/>
              <w:rPr>
                <w:sz w:val="8"/>
                <w:szCs w:val="8"/>
                <w:color w:val="auto"/>
              </w:rPr>
            </w:pPr>
          </w:p>
        </w:tc>
        <w:tc>
          <w:tcPr>
            <w:tcW w:w="7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4"/>
                <w:szCs w:val="24"/>
                <w:color w:val="auto"/>
              </w:rPr>
            </w:pPr>
          </w:p>
        </w:tc>
        <w:tc>
          <w:tcPr>
            <w:tcW w:w="7660" w:type="dxa"/>
            <w:vAlign w:val="bottom"/>
            <w:gridSpan w:val="3"/>
          </w:tcPr>
          <w:p>
            <w:pPr>
              <w:ind w:left="1780"/>
              <w:spacing w:after="0"/>
              <w:rPr>
                <w:sz w:val="20"/>
                <w:szCs w:val="20"/>
                <w:color w:val="auto"/>
              </w:rPr>
            </w:pPr>
            <w:r>
              <w:rPr>
                <w:rFonts w:ascii="Arial" w:cs="Arial" w:eastAsia="Arial" w:hAnsi="Arial"/>
                <w:sz w:val="18"/>
                <w:szCs w:val="18"/>
                <w:color w:val="auto"/>
              </w:rPr>
              <w:t>By: /s/ Richard T. Allorto, Jr.</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7660" w:type="dxa"/>
            <w:vAlign w:val="bottom"/>
            <w:gridSpan w:val="3"/>
          </w:tcPr>
          <w:p>
            <w:pPr>
              <w:ind w:left="2060"/>
              <w:spacing w:after="0"/>
              <w:rPr>
                <w:sz w:val="20"/>
                <w:szCs w:val="20"/>
                <w:color w:val="auto"/>
              </w:rPr>
            </w:pPr>
            <w:r>
              <w:rPr>
                <w:rFonts w:ascii="Arial" w:cs="Arial" w:eastAsia="Arial" w:hAnsi="Arial"/>
                <w:sz w:val="18"/>
                <w:szCs w:val="18"/>
                <w:color w:val="auto"/>
              </w:rPr>
              <w:t>Richard T. Allorto, Jr.</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660" w:type="dxa"/>
            <w:vAlign w:val="bottom"/>
            <w:gridSpan w:val="3"/>
          </w:tcPr>
          <w:p>
            <w:pPr>
              <w:ind w:left="2060"/>
              <w:spacing w:after="0"/>
              <w:rPr>
                <w:sz w:val="20"/>
                <w:szCs w:val="20"/>
                <w:color w:val="auto"/>
              </w:rPr>
            </w:pPr>
            <w:r>
              <w:rPr>
                <w:rFonts w:ascii="Arial" w:cs="Arial" w:eastAsia="Arial" w:hAnsi="Arial"/>
                <w:sz w:val="18"/>
                <w:szCs w:val="18"/>
                <w:i w:val="1"/>
                <w:iCs w:val="1"/>
                <w:color w:val="auto"/>
              </w:rPr>
              <w:t>Chief Financial Officer &amp; Treasurer</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7F0000"/>
            </w:tcBorders>
          </w:tcPr>
          <w:p>
            <w:pPr>
              <w:spacing w:after="0"/>
              <w:rPr>
                <w:sz w:val="24"/>
                <w:szCs w:val="24"/>
                <w:color w:val="auto"/>
              </w:rPr>
            </w:pPr>
          </w:p>
        </w:tc>
        <w:tc>
          <w:tcPr>
            <w:tcW w:w="2100" w:type="dxa"/>
            <w:vAlign w:val="bottom"/>
            <w:tcBorders>
              <w:bottom w:val="single" w:sz="8" w:color="7F0000"/>
            </w:tcBorders>
          </w:tcPr>
          <w:p>
            <w:pPr>
              <w:spacing w:after="0"/>
              <w:rPr>
                <w:sz w:val="24"/>
                <w:szCs w:val="24"/>
                <w:color w:val="auto"/>
              </w:rPr>
            </w:pPr>
          </w:p>
        </w:tc>
        <w:tc>
          <w:tcPr>
            <w:tcW w:w="1820" w:type="dxa"/>
            <w:vAlign w:val="bottom"/>
            <w:tcBorders>
              <w:bottom w:val="single" w:sz="8" w:color="7F0000"/>
            </w:tcBorders>
          </w:tcPr>
          <w:p>
            <w:pPr>
              <w:spacing w:after="0"/>
              <w:rPr>
                <w:sz w:val="24"/>
                <w:szCs w:val="24"/>
                <w:color w:val="auto"/>
              </w:rPr>
            </w:pPr>
          </w:p>
        </w:tc>
        <w:tc>
          <w:tcPr>
            <w:tcW w:w="3740" w:type="dxa"/>
            <w:vAlign w:val="bottom"/>
            <w:tcBorders>
              <w:bottom w:val="single" w:sz="8" w:color="7F0000"/>
            </w:tcBorders>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35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1447800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8435"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0"/>
        <w:spacing w:after="0" w:line="282" w:lineRule="auto"/>
        <w:rPr>
          <w:sz w:val="20"/>
          <w:szCs w:val="20"/>
          <w:color w:val="auto"/>
        </w:rPr>
      </w:pPr>
      <w:r>
        <w:rPr>
          <w:rFonts w:ascii="Arial" w:cs="Arial" w:eastAsia="Arial" w:hAnsi="Arial"/>
          <w:sz w:val="18"/>
          <w:szCs w:val="18"/>
          <w:b w:val="1"/>
          <w:bCs w:val="1"/>
          <w:color w:val="auto"/>
        </w:rPr>
        <w:t>PennantPark Floating Rate Capital Ltd. Announces 5.3% Increase of Its Monthly Distribution to $0.10 per Share and Financial Results for the Quarter Ended December 31, 2022</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Miami, FL </w:t>
      </w:r>
      <w:r>
        <w:rPr>
          <w:rFonts w:ascii="Arial" w:cs="Arial" w:eastAsia="Arial" w:hAnsi="Arial"/>
          <w:sz w:val="14"/>
          <w:szCs w:val="14"/>
          <w:color w:val="auto"/>
        </w:rPr>
        <w:t>—</w:t>
      </w:r>
      <w:r>
        <w:rPr>
          <w:rFonts w:ascii="Arial" w:cs="Arial" w:eastAsia="Arial" w:hAnsi="Arial"/>
          <w:sz w:val="18"/>
          <w:szCs w:val="18"/>
          <w:color w:val="auto"/>
        </w:rPr>
        <w:t xml:space="preserve"> (GLOBE NEWSWIRE </w:t>
      </w:r>
      <w:r>
        <w:rPr>
          <w:rFonts w:ascii="Arial" w:cs="Arial" w:eastAsia="Arial" w:hAnsi="Arial"/>
          <w:sz w:val="14"/>
          <w:szCs w:val="14"/>
          <w:color w:val="auto"/>
        </w:rPr>
        <w:t>—</w:t>
      </w:r>
      <w:r>
        <w:rPr>
          <w:rFonts w:ascii="Arial" w:cs="Arial" w:eastAsia="Arial" w:hAnsi="Arial"/>
          <w:sz w:val="18"/>
          <w:szCs w:val="18"/>
          <w:color w:val="auto"/>
        </w:rPr>
        <w:t xml:space="preserve"> February 8, 2023) </w:t>
      </w:r>
      <w:r>
        <w:rPr>
          <w:rFonts w:ascii="Arial" w:cs="Arial" w:eastAsia="Arial" w:hAnsi="Arial"/>
          <w:sz w:val="14"/>
          <w:szCs w:val="14"/>
          <w:color w:val="auto"/>
        </w:rPr>
        <w:t>—</w:t>
      </w:r>
      <w:r>
        <w:rPr>
          <w:rFonts w:ascii="Arial" w:cs="Arial" w:eastAsia="Arial" w:hAnsi="Arial"/>
          <w:sz w:val="18"/>
          <w:szCs w:val="18"/>
          <w:color w:val="auto"/>
        </w:rPr>
        <w:t xml:space="preserve"> PennantPark Floating Rate Capital Ltd. (NYSE: PFLT) (TASE: PFLT) announced today financial results for the first fiscal quarter ended December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Quarter ended December 31, 2022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Assets and Liabilities:</w:t>
            </w:r>
          </w:p>
        </w:tc>
        <w:tc>
          <w:tcPr>
            <w:tcW w:w="36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560" w:type="dxa"/>
            <w:vAlign w:val="bottom"/>
            <w:gridSpan w:val="2"/>
          </w:tcPr>
          <w:p>
            <w:pPr>
              <w:ind w:left="200"/>
              <w:spacing w:after="0" w:line="175" w:lineRule="exact"/>
              <w:rPr>
                <w:sz w:val="20"/>
                <w:szCs w:val="20"/>
                <w:color w:val="auto"/>
              </w:rPr>
            </w:pPr>
            <w:r>
              <w:rPr>
                <w:rFonts w:ascii="Arial" w:cs="Arial" w:eastAsia="Arial" w:hAnsi="Arial"/>
                <w:sz w:val="14"/>
                <w:szCs w:val="14"/>
                <w:color w:val="auto"/>
              </w:rPr>
              <w:t xml:space="preserve">Investment portfolio </w:t>
            </w:r>
            <w:r>
              <w:rPr>
                <w:rFonts w:ascii="Arial" w:cs="Arial" w:eastAsia="Arial" w:hAnsi="Arial"/>
                <w:sz w:val="19"/>
                <w:szCs w:val="19"/>
                <w:color w:val="auto"/>
                <w:vertAlign w:val="superscript"/>
              </w:rPr>
              <w:t>(1)</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1,151.1</w:t>
            </w:r>
          </w:p>
        </w:tc>
        <w:tc>
          <w:tcPr>
            <w:tcW w:w="80" w:type="dxa"/>
            <w:vAlign w:val="bottom"/>
          </w:tcPr>
          <w:p>
            <w:pPr>
              <w:spacing w:after="0"/>
              <w:rPr>
                <w:sz w:val="15"/>
                <w:szCs w:val="15"/>
                <w:color w:val="auto"/>
              </w:rPr>
            </w:pPr>
          </w:p>
        </w:tc>
      </w:tr>
      <w:tr>
        <w:trPr>
          <w:trHeight w:val="175"/>
        </w:trPr>
        <w:tc>
          <w:tcPr>
            <w:tcW w:w="656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Net assets</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513.5</w:t>
            </w:r>
          </w:p>
        </w:tc>
        <w:tc>
          <w:tcPr>
            <w:tcW w:w="80" w:type="dxa"/>
            <w:vAlign w:val="bottom"/>
          </w:tcPr>
          <w:p>
            <w:pPr>
              <w:spacing w:after="0"/>
              <w:rPr>
                <w:sz w:val="15"/>
                <w:szCs w:val="15"/>
                <w:color w:val="auto"/>
              </w:rPr>
            </w:pPr>
          </w:p>
        </w:tc>
      </w:tr>
      <w:tr>
        <w:trPr>
          <w:trHeight w:val="176"/>
        </w:trPr>
        <w:tc>
          <w:tcPr>
            <w:tcW w:w="6560" w:type="dxa"/>
            <w:vAlign w:val="bottom"/>
            <w:gridSpan w:val="2"/>
          </w:tcPr>
          <w:p>
            <w:pPr>
              <w:ind w:left="200"/>
              <w:spacing w:after="0"/>
              <w:rPr>
                <w:sz w:val="20"/>
                <w:szCs w:val="20"/>
                <w:color w:val="auto"/>
              </w:rPr>
            </w:pPr>
            <w:r>
              <w:rPr>
                <w:rFonts w:ascii="Arial" w:cs="Arial" w:eastAsia="Arial" w:hAnsi="Arial"/>
                <w:sz w:val="14"/>
                <w:szCs w:val="14"/>
                <w:color w:val="auto"/>
              </w:rPr>
              <w:t>GAAP net asset value per share</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11.30</w:t>
            </w:r>
          </w:p>
        </w:tc>
        <w:tc>
          <w:tcPr>
            <w:tcW w:w="80" w:type="dxa"/>
            <w:vAlign w:val="bottom"/>
          </w:tcPr>
          <w:p>
            <w:pPr>
              <w:spacing w:after="0"/>
              <w:rPr>
                <w:sz w:val="15"/>
                <w:szCs w:val="15"/>
                <w:color w:val="auto"/>
              </w:rPr>
            </w:pPr>
          </w:p>
        </w:tc>
      </w:tr>
      <w:tr>
        <w:trPr>
          <w:trHeight w:val="149"/>
        </w:trPr>
        <w:tc>
          <w:tcPr>
            <w:tcW w:w="6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Quarterly decrease in GAAP net asset value per share</w:t>
            </w:r>
          </w:p>
        </w:tc>
        <w:tc>
          <w:tcPr>
            <w:tcW w:w="36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(2.7 )%</w:t>
            </w:r>
          </w:p>
        </w:tc>
      </w:tr>
      <w:tr>
        <w:trPr>
          <w:trHeight w:val="175"/>
        </w:trPr>
        <w:tc>
          <w:tcPr>
            <w:tcW w:w="6560" w:type="dxa"/>
            <w:vAlign w:val="bottom"/>
            <w:gridSpan w:val="2"/>
          </w:tcPr>
          <w:p>
            <w:pPr>
              <w:ind w:left="200"/>
              <w:spacing w:after="0" w:line="175" w:lineRule="exact"/>
              <w:rPr>
                <w:sz w:val="20"/>
                <w:szCs w:val="20"/>
                <w:color w:val="auto"/>
              </w:rPr>
            </w:pPr>
            <w:r>
              <w:rPr>
                <w:rFonts w:ascii="Arial" w:cs="Arial" w:eastAsia="Arial" w:hAnsi="Arial"/>
                <w:sz w:val="14"/>
                <w:szCs w:val="14"/>
                <w:color w:val="auto"/>
              </w:rPr>
              <w:t xml:space="preserve">Adjusted net asset value per share </w:t>
            </w:r>
            <w:r>
              <w:rPr>
                <w:rFonts w:ascii="Arial" w:cs="Arial" w:eastAsia="Arial" w:hAnsi="Arial"/>
                <w:sz w:val="19"/>
                <w:szCs w:val="19"/>
                <w:color w:val="auto"/>
                <w:vertAlign w:val="superscript"/>
              </w:rPr>
              <w:t>(2)</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11.22</w:t>
            </w:r>
          </w:p>
        </w:tc>
        <w:tc>
          <w:tcPr>
            <w:tcW w:w="80" w:type="dxa"/>
            <w:vAlign w:val="bottom"/>
          </w:tcPr>
          <w:p>
            <w:pPr>
              <w:spacing w:after="0"/>
              <w:rPr>
                <w:sz w:val="15"/>
                <w:szCs w:val="15"/>
                <w:color w:val="auto"/>
              </w:rPr>
            </w:pPr>
          </w:p>
        </w:tc>
      </w:tr>
      <w:tr>
        <w:trPr>
          <w:trHeight w:val="202"/>
        </w:trPr>
        <w:tc>
          <w:tcPr>
            <w:tcW w:w="6560" w:type="dxa"/>
            <w:vAlign w:val="bottom"/>
            <w:gridSpan w:val="2"/>
          </w:tcPr>
          <w:p>
            <w:pPr>
              <w:ind w:left="200"/>
              <w:spacing w:after="0" w:line="202" w:lineRule="exact"/>
              <w:rPr>
                <w:sz w:val="20"/>
                <w:szCs w:val="20"/>
                <w:color w:val="auto"/>
              </w:rPr>
            </w:pPr>
            <w:r>
              <w:rPr>
                <w:rFonts w:ascii="Arial" w:cs="Arial" w:eastAsia="Arial" w:hAnsi="Arial"/>
                <w:sz w:val="14"/>
                <w:szCs w:val="14"/>
                <w:color w:val="auto"/>
              </w:rPr>
              <w:t xml:space="preserve">Quarterly decrease in adjusted net asset value per share </w:t>
            </w:r>
            <w:r>
              <w:rPr>
                <w:rFonts w:ascii="Arial" w:cs="Arial" w:eastAsia="Arial" w:hAnsi="Arial"/>
                <w:sz w:val="19"/>
                <w:szCs w:val="19"/>
                <w:color w:val="auto"/>
                <w:vertAlign w:val="superscript"/>
              </w:rPr>
              <w:t>(2)</w:t>
            </w:r>
          </w:p>
        </w:tc>
        <w:tc>
          <w:tcPr>
            <w:tcW w:w="36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(3.2 )%</w:t>
            </w:r>
          </w:p>
        </w:tc>
      </w:tr>
      <w:tr>
        <w:trPr>
          <w:trHeight w:val="351"/>
        </w:trPr>
        <w:tc>
          <w:tcPr>
            <w:tcW w:w="2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65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Credit Facility</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197.7</w:t>
            </w: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2023 Notes</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73.8</w:t>
            </w:r>
          </w:p>
        </w:tc>
        <w:tc>
          <w:tcPr>
            <w:tcW w:w="80" w:type="dxa"/>
            <w:vAlign w:val="bottom"/>
          </w:tcPr>
          <w:p>
            <w:pPr>
              <w:spacing w:after="0"/>
              <w:rPr>
                <w:sz w:val="15"/>
                <w:szCs w:val="15"/>
                <w:color w:val="auto"/>
              </w:rPr>
            </w:pPr>
          </w:p>
        </w:tc>
      </w:tr>
      <w:tr>
        <w:trPr>
          <w:trHeight w:val="176"/>
        </w:trPr>
        <w:tc>
          <w:tcPr>
            <w:tcW w:w="65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2026 Notes</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182.5</w:t>
            </w: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2031 Asset-Backed Debt</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226.3</w:t>
            </w:r>
          </w:p>
        </w:tc>
        <w:tc>
          <w:tcPr>
            <w:tcW w:w="80" w:type="dxa"/>
            <w:vAlign w:val="bottom"/>
          </w:tcPr>
          <w:p>
            <w:pPr>
              <w:spacing w:after="0"/>
              <w:rPr>
                <w:sz w:val="15"/>
                <w:szCs w:val="15"/>
                <w:color w:val="auto"/>
              </w:rPr>
            </w:pPr>
          </w:p>
        </w:tc>
      </w:tr>
      <w:tr>
        <w:trPr>
          <w:trHeight w:val="176"/>
        </w:trPr>
        <w:tc>
          <w:tcPr>
            <w:tcW w:w="65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Regulatory Debt to Equity</w:t>
            </w:r>
          </w:p>
        </w:tc>
        <w:tc>
          <w:tcPr>
            <w:tcW w:w="3620" w:type="dxa"/>
            <w:vAlign w:val="bottom"/>
            <w:shd w:val="clear" w:color="auto" w:fill="CCECFF"/>
          </w:tcPr>
          <w:p>
            <w:pPr>
              <w:spacing w:after="0"/>
              <w:rPr>
                <w:sz w:val="15"/>
                <w:szCs w:val="15"/>
                <w:color w:val="auto"/>
              </w:rPr>
            </w:pP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1.34x</w:t>
            </w:r>
          </w:p>
        </w:tc>
        <w:tc>
          <w:tcPr>
            <w:tcW w:w="80" w:type="dxa"/>
            <w:vAlign w:val="bottom"/>
          </w:tcPr>
          <w:p>
            <w:pPr>
              <w:spacing w:after="0"/>
              <w:rPr>
                <w:sz w:val="15"/>
                <w:szCs w:val="15"/>
                <w:color w:val="auto"/>
              </w:rPr>
            </w:pPr>
          </w:p>
        </w:tc>
      </w:tr>
      <w:tr>
        <w:trPr>
          <w:trHeight w:val="182"/>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Weighted average yield on debt investments at quarter-end</w:t>
            </w:r>
          </w:p>
        </w:tc>
        <w:tc>
          <w:tcPr>
            <w:tcW w:w="3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11.3 %</w:t>
            </w:r>
          </w:p>
        </w:tc>
        <w:tc>
          <w:tcPr>
            <w:tcW w:w="80" w:type="dxa"/>
            <w:vAlign w:val="bottom"/>
          </w:tcPr>
          <w:p>
            <w:pPr>
              <w:spacing w:after="0"/>
              <w:rPr>
                <w:sz w:val="15"/>
                <w:szCs w:val="15"/>
                <w:color w:val="auto"/>
              </w:rPr>
            </w:pPr>
          </w:p>
        </w:tc>
      </w:tr>
      <w:tr>
        <w:trPr>
          <w:trHeight w:val="520"/>
        </w:trPr>
        <w:tc>
          <w:tcPr>
            <w:tcW w:w="2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65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Operating Results:</w:t>
            </w:r>
          </w:p>
        </w:tc>
        <w:tc>
          <w:tcPr>
            <w:tcW w:w="36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0"/>
              <w:spacing w:after="0"/>
              <w:rPr>
                <w:sz w:val="20"/>
                <w:szCs w:val="20"/>
                <w:color w:val="auto"/>
              </w:rPr>
            </w:pPr>
            <w:r>
              <w:rPr>
                <w:rFonts w:ascii="Arial" w:cs="Arial" w:eastAsia="Arial" w:hAnsi="Arial"/>
                <w:sz w:val="14"/>
                <w:szCs w:val="14"/>
                <w:color w:val="auto"/>
              </w:rPr>
              <w:t>Net investment income</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r>
      <w:tr>
        <w:trPr>
          <w:trHeight w:val="175"/>
        </w:trPr>
        <w:tc>
          <w:tcPr>
            <w:tcW w:w="656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Net investment income per share</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0"/>
              <w:spacing w:after="0"/>
              <w:rPr>
                <w:sz w:val="20"/>
                <w:szCs w:val="20"/>
                <w:color w:val="auto"/>
              </w:rPr>
            </w:pPr>
            <w:r>
              <w:rPr>
                <w:rFonts w:ascii="Arial" w:cs="Arial" w:eastAsia="Arial" w:hAnsi="Arial"/>
                <w:sz w:val="14"/>
                <w:szCs w:val="14"/>
                <w:color w:val="auto"/>
              </w:rPr>
              <w:t>Distributions declared per share</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0.285</w:t>
            </w:r>
          </w:p>
        </w:tc>
        <w:tc>
          <w:tcPr>
            <w:tcW w:w="80" w:type="dxa"/>
            <w:vAlign w:val="bottom"/>
          </w:tcPr>
          <w:p>
            <w:pPr>
              <w:spacing w:after="0"/>
              <w:rPr>
                <w:sz w:val="15"/>
                <w:szCs w:val="15"/>
                <w:color w:val="auto"/>
              </w:rPr>
            </w:pPr>
          </w:p>
        </w:tc>
      </w:tr>
      <w:tr>
        <w:trPr>
          <w:trHeight w:val="175"/>
        </w:trPr>
        <w:tc>
          <w:tcPr>
            <w:tcW w:w="2700" w:type="dxa"/>
            <w:vAlign w:val="bottom"/>
            <w:shd w:val="clear" w:color="auto" w:fill="CCECFF"/>
          </w:tcPr>
          <w:p>
            <w:pPr>
              <w:spacing w:after="0"/>
              <w:rPr>
                <w:sz w:val="15"/>
                <w:szCs w:val="15"/>
                <w:color w:val="auto"/>
              </w:rPr>
            </w:pPr>
          </w:p>
        </w:tc>
        <w:tc>
          <w:tcPr>
            <w:tcW w:w="3860" w:type="dxa"/>
            <w:vAlign w:val="bottom"/>
            <w:shd w:val="clear" w:color="auto" w:fill="CCECFF"/>
          </w:tcPr>
          <w:p>
            <w:pPr>
              <w:spacing w:after="0"/>
              <w:rPr>
                <w:sz w:val="15"/>
                <w:szCs w:val="15"/>
                <w:color w:val="auto"/>
              </w:rPr>
            </w:pPr>
          </w:p>
        </w:tc>
        <w:tc>
          <w:tcPr>
            <w:tcW w:w="36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Portfolio Activity:</w:t>
            </w:r>
          </w:p>
        </w:tc>
        <w:tc>
          <w:tcPr>
            <w:tcW w:w="3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56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Purchases of investments</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65.6</w:t>
            </w: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0"/>
              <w:spacing w:after="0"/>
              <w:rPr>
                <w:sz w:val="20"/>
                <w:szCs w:val="20"/>
                <w:color w:val="auto"/>
              </w:rPr>
            </w:pPr>
            <w:r>
              <w:rPr>
                <w:rFonts w:ascii="Arial" w:cs="Arial" w:eastAsia="Arial" w:hAnsi="Arial"/>
                <w:sz w:val="14"/>
                <w:szCs w:val="14"/>
                <w:color w:val="auto"/>
              </w:rPr>
              <w:t>Sales and repayments of investments</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80" w:type="dxa"/>
            <w:vAlign w:val="bottom"/>
          </w:tcPr>
          <w:p>
            <w:pPr>
              <w:spacing w:after="0"/>
              <w:rPr>
                <w:sz w:val="15"/>
                <w:szCs w:val="15"/>
                <w:color w:val="auto"/>
              </w:rPr>
            </w:pPr>
          </w:p>
        </w:tc>
      </w:tr>
      <w:tr>
        <w:trPr>
          <w:trHeight w:val="175"/>
        </w:trPr>
        <w:tc>
          <w:tcPr>
            <w:tcW w:w="2700" w:type="dxa"/>
            <w:vAlign w:val="bottom"/>
            <w:shd w:val="clear" w:color="auto" w:fill="CCECFF"/>
          </w:tcPr>
          <w:p>
            <w:pPr>
              <w:spacing w:after="0"/>
              <w:rPr>
                <w:sz w:val="15"/>
                <w:szCs w:val="15"/>
                <w:color w:val="auto"/>
              </w:rPr>
            </w:pPr>
          </w:p>
        </w:tc>
        <w:tc>
          <w:tcPr>
            <w:tcW w:w="3860" w:type="dxa"/>
            <w:vAlign w:val="bottom"/>
            <w:shd w:val="clear" w:color="auto" w:fill="CCECFF"/>
          </w:tcPr>
          <w:p>
            <w:pPr>
              <w:spacing w:after="0"/>
              <w:rPr>
                <w:sz w:val="15"/>
                <w:szCs w:val="15"/>
                <w:color w:val="auto"/>
              </w:rPr>
            </w:pPr>
          </w:p>
        </w:tc>
        <w:tc>
          <w:tcPr>
            <w:tcW w:w="36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PSSL Portfolio data:</w:t>
            </w:r>
          </w:p>
        </w:tc>
        <w:tc>
          <w:tcPr>
            <w:tcW w:w="3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56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PSSL investment portfolio</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750.7</w:t>
            </w:r>
          </w:p>
        </w:tc>
        <w:tc>
          <w:tcPr>
            <w:tcW w:w="80" w:type="dxa"/>
            <w:vAlign w:val="bottom"/>
          </w:tcPr>
          <w:p>
            <w:pPr>
              <w:spacing w:after="0"/>
              <w:rPr>
                <w:sz w:val="15"/>
                <w:szCs w:val="15"/>
                <w:color w:val="auto"/>
              </w:rPr>
            </w:pPr>
          </w:p>
        </w:tc>
      </w:tr>
      <w:tr>
        <w:trPr>
          <w:trHeight w:val="175"/>
        </w:trPr>
        <w:tc>
          <w:tcPr>
            <w:tcW w:w="6560" w:type="dxa"/>
            <w:vAlign w:val="bottom"/>
            <w:gridSpan w:val="2"/>
          </w:tcPr>
          <w:p>
            <w:pPr>
              <w:ind w:left="200"/>
              <w:spacing w:after="0"/>
              <w:rPr>
                <w:sz w:val="20"/>
                <w:szCs w:val="20"/>
                <w:color w:val="auto"/>
              </w:rPr>
            </w:pPr>
            <w:r>
              <w:rPr>
                <w:rFonts w:ascii="Arial" w:cs="Arial" w:eastAsia="Arial" w:hAnsi="Arial"/>
                <w:sz w:val="14"/>
                <w:szCs w:val="14"/>
                <w:color w:val="auto"/>
              </w:rPr>
              <w:t>Purchases of investments</w:t>
            </w:r>
          </w:p>
        </w:tc>
        <w:tc>
          <w:tcPr>
            <w:tcW w:w="3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5"/>
                <w:szCs w:val="15"/>
                <w:color w:val="auto"/>
              </w:rPr>
            </w:pPr>
          </w:p>
        </w:tc>
      </w:tr>
      <w:tr>
        <w:trPr>
          <w:trHeight w:val="176"/>
        </w:trPr>
        <w:tc>
          <w:tcPr>
            <w:tcW w:w="656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Sales and repayments of investments</w:t>
            </w:r>
          </w:p>
        </w:tc>
        <w:tc>
          <w:tcPr>
            <w:tcW w:w="3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5"/>
                <w:szCs w:val="15"/>
                <w:color w:val="auto"/>
              </w:rPr>
            </w:pPr>
          </w:p>
        </w:tc>
      </w:tr>
      <w:tr>
        <w:trPr>
          <w:trHeight w:val="148"/>
        </w:trPr>
        <w:tc>
          <w:tcPr>
            <w:tcW w:w="270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-3110865</wp:posOffset>
            </wp:positionV>
            <wp:extent cx="713232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-2887980</wp:posOffset>
            </wp:positionV>
            <wp:extent cx="713232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69" w:lineRule="exact"/>
        <w:rPr>
          <w:sz w:val="20"/>
          <w:szCs w:val="20"/>
          <w:color w:val="auto"/>
        </w:rPr>
      </w:pPr>
    </w:p>
    <w:p>
      <w:pPr>
        <w:ind w:left="760" w:hanging="452"/>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investments in PennantPark Senior Secured Loan Fund I LLC, or PSSL, an unconsolidated joint venture, totaling $247.7 million, at fair value.</w:t>
      </w:r>
    </w:p>
    <w:p>
      <w:pPr>
        <w:spacing w:after="0" w:line="95" w:lineRule="exact"/>
        <w:rPr>
          <w:rFonts w:ascii="Arial" w:cs="Arial" w:eastAsia="Arial" w:hAnsi="Arial"/>
          <w:sz w:val="14"/>
          <w:szCs w:val="14"/>
          <w:color w:val="auto"/>
        </w:rPr>
      </w:pPr>
    </w:p>
    <w:p>
      <w:pPr>
        <w:jc w:val="both"/>
        <w:ind w:left="760" w:right="80" w:hanging="452"/>
        <w:spacing w:after="0" w:line="233" w:lineRule="auto"/>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is a non-GAAP financial measure. The Company believes that this number provides useful information to investors and management because it reflects the Company’s financial performance excluding the impact of the $3.9 million, or $0.09 per share,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AT 9:00 A.M. ET ON FEBRUARY 9, 2023</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PennantPark Floating Rate Capital Ltd. (“we,” “our,” “us” or the “Company”) will also host a conference call at 9:00 a.m. (Eastern Time) on Thursday February 9, 2023 to discuss its financial results. All interested parties are welcome to participate. You can access the conference call by dialing toll-free</w:t>
      </w:r>
    </w:p>
    <w:p>
      <w:pPr>
        <w:jc w:val="both"/>
        <w:ind w:firstLine="8"/>
        <w:spacing w:after="0" w:line="255" w:lineRule="auto"/>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394-8218 approximately 5-10 minutes prior to the call. International callers should dial (646) 828-8193. All callers should reference conference ID #4601497 or PennantPark Floating Rate Capital Ltd. An archived replay will also be available on a webcast link located on the Quarterly Earnings page in the Investor section of PennantPark’s website.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QUARTERLY DISTRIBUTION TO $0.10 PER SHARE</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February 7, 2023, the Board of Directors declared a distribution of $0.10 per share, an increase of 5.3% from the most recent distribution. The distribution is payable on April 3, 2023 to stockholders of record as of March 16, 2023. The distribution is expected to be paid from taxable net investment income.</w:t>
      </w:r>
    </w:p>
    <w:p>
      <w:pPr>
        <w:spacing w:after="0" w:line="7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pleased to announce an increase in our monthly dividend based on the continued strong underlying credit performance of our portfolio in this environment. With our primary focus on lower risk senior secured floating rate loans to U.S. companies, we are positioned to preserve capital and protect against rising interest rates and inflation," said Arthur Penn, Chairman and CEO. "We have a visible pathway to continue to optimize the balance sheets at both PFLT and PennantPark Senior Secured Loan Fund I LLC over the coming quarters which we believe will increase net investment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of December 31, 2022, our portfolio totaled $1,151.1 million, and consisted of $998.2 million of first lien secured debt (including $199.4 million in PSSL), $0.1 million of second lien secured debt and $152.8 million of preferred and common equity (including $48.3 million in PSSL). Our debt portfolio consisted of 100% variable-rate investments. As of December 31, 2022, we had three portfolio companies on non-accrual, representing 1.9% and 0.6% of our overall portfolio on a cost and fair value basis, respectively. Overall, the portfolio had net unrealized depreciation of $29.9 million. Our overall portfolio consisted of 126 companies with an average investment size of $9.1 million and a weighted average yield on debt investments of 11.3%.</w:t>
      </w:r>
    </w:p>
    <w:p>
      <w:pPr>
        <w:spacing w:after="0" w:line="5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As of September 30, 2022, our portfolio totaled $1,164.3 million and consisted of $1,009.6 million of first lien secured debt (including $190.2 million in PSSL), $0.1million of second lien secured debt and $154.5 million of preferred and common equity (including $49.4 million in PSSL). Our debt portfolio consisted of 100% variable rate investments. As of September 30, 2022, we had two portfolio companies on non-accrual, representing 0.9% and zero percent of our overall portfolio on a cost and fair value basis, respectively. Overall, the portfolio had net unrealized depreciation of $8.7 million. Our overall portfolio consisted of 125 companies with an average investment size of $9.3 million and a weighted average yield on debt investments of 10.0%.</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2022, we invested $65.6 million in four new and 29 existing portfolio companies with a weighted average yield on debt investments of 11.2 %. Sales and repayments of investments for the same period totaled $63.0 million. This compares to the three months ended December 31, 2021, in which we invested $335.1 million in 16 new and 36 existing portfolio companies with a weighted average yield on debt investments of 7.8%. Sales and repayments of investments for the same period totaled $238.4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PSSL’s portfolio totaled $750.7 million and consisted of 100 companies with an average investment size of $7.5 million and had a weighted average yield on debt investments of 10.9%. As of September 30, 2022, PSSL’s portfolio totaled $754.7 million, consisted of 95 companies with an average investment size of $8.0 million and had a weighted average yield on debt investments of 9.6%.</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2022, PSSL invested $29.5 million in seven new and eight existing portfolio companies with a weighted average yield on debt investments of 11.1%. PSSL’s sales and repayments of investments for the same period totaled $28.8 million. For the three months ended December 31, 2021, PSSL invested $129.6 million in 12 new and six existing portfolio companies with a weighted average yield on debt investments of 8.0%. PSSL’s sales and repayments of investments for the same period totaled $50.4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months ended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three months ended December 31, 2022 investment income was $31.3 million, which was attributable to $27.6 million from first lien secured debt and $3.7 million from other investments. For the three months ended December 31, 2021 investment income was $26.3 million, which was attributable to $20.1 million from first lien secured debt and $6.2 million from other investments.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right="560"/>
        <w:spacing w:after="0" w:line="375" w:lineRule="auto"/>
        <w:rPr>
          <w:sz w:val="20"/>
          <w:szCs w:val="20"/>
          <w:color w:val="auto"/>
        </w:rPr>
      </w:pPr>
      <w:r>
        <w:rPr>
          <w:rFonts w:ascii="Arial" w:cs="Arial" w:eastAsia="Arial" w:hAnsi="Arial"/>
          <w:sz w:val="18"/>
          <w:szCs w:val="18"/>
          <w:color w:val="auto"/>
        </w:rPr>
        <w:t xml:space="preserve">increase in investment income compared to the same period in the prior year was primarily due to the increase in the cost yield of our debt portfolio. </w:t>
      </w:r>
      <w:r>
        <w:rPr>
          <w:rFonts w:ascii="Arial" w:cs="Arial" w:eastAsia="Arial" w:hAnsi="Arial"/>
          <w:sz w:val="18"/>
          <w:szCs w:val="18"/>
          <w:b w:val="1"/>
          <w:bCs w:val="1"/>
          <w:color w:val="auto"/>
        </w:rPr>
        <w:t>Net Expenses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December 31, 2022, expenses totaled $17.6 million and were comprised of; $9.9 million of debt-related interest and expenses, $2.9 million of base management fee, $3.4 million of performance-based incentive fee, $0.8 million of general and administrative expenses and $0.5 million of taxes. For the three months ended December 31, 2021, expenses totaled $13.6 million and were comprised of; $6.6 million of debt-related interest and expenses, $2.9 million of base management fee, $3.2 million of performance-based incentive fee, $0.8 million of administrative expenses and $0.1 million of taxes. The increase in expenses for the three months ended December 31, 2022 compared to the same period in the prior year was primarily due to increased financing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three months ended December 31, 2022 and 2021, net investment income totaled $13.7 million or $0.30 per share, and $12.7 million or $0.33 per share, respectively. The increase in net investment income compared to the same period in the prior year was primarily due to the increase in the cost yield of our debt portfolio.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200" w:lineRule="exact"/>
        <w:rPr>
          <w:sz w:val="20"/>
          <w:szCs w:val="20"/>
          <w:color w:val="auto"/>
        </w:rPr>
      </w:pPr>
    </w:p>
    <w:p>
      <w:pPr>
        <w:spacing w:after="0" w:line="3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December 31, 2022 and 2021, net realized gains (losses) totaled less than $0.1 million and $3.1 million, respectively. The change in realized gains was primarily due to changes in the market conditions of our investments and the values at which they were realized.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the Credit Facility and the 2023 Notes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December 31, 2022 and 2021, we reported net change in unrealized depreciation on investments of $16.8 million and $3.5 million, respectively. As of December 31, 2022 and September 30, 2022, our net unrealized appreciation (depreciation) on investments totaled $(29.9) million and $(13.1) million, respectively. The net change in unrealized depreciation on our investments compared to the same period in the prior year was primarily due to changes in the capital market conditions of our investments and the values at which they were realized.</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December 31, 2022, our credit facility with Truist (the "Credit Facility") and the 2023 Notes had a net change in unrealized depreciation of $2.1 million. For the three months ended December 31, 2021, the Credit Facility and the 2023 Notes had a net change in unrealized depreciation of $3.6 million. As of December 31, 2022 and September 30, 2022, the net unrealized depreciation on the Credit Facility and the 2023 Notes totaled $4.4 million and $2.3 million, respectively. The net change in net unrealized depreciation compared to the same period in the prior year was primarily due to changes in the capital markets.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2022 and 2021, net (decrease) increase in net assets resulting from operations totaled $(1.6) million or $(0.04) per share and $14.4 million or $0.37 per share,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liquidity and capital resources are derived primarily from cash flows from operations, including investment sales and repayments, and income earned, proceeds of securtieis offerings and debt financings.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and operations.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2022 and 2021, the annualized weighted average cost of debt, inclusive of the fee on the undrawn commitment on the Credit Facility, amendment costs and debt issuance costs, was 5.7% and 3.6%, respectively. As of December 31, 2022 and September 30, 2022, we had $166.8 million and $197.2 million of unused borrowing capacity under the Credit Facility, as applicable, respectively, subject to leverage and borrowing base restrictions.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and September 30, 2022, PennantPark Floating Rate Funding I, LLC, our wholly-owned subsidiary, borrowed $199.2 million and $168.8 million under the Credit Facility, respectively and the weighted average interest rate, exclusive of the fee on undrawn commitments, was of 6.5% and 4.5%,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both"/>
        <w:spacing w:after="0" w:line="308" w:lineRule="auto"/>
        <w:rPr>
          <w:sz w:val="20"/>
          <w:szCs w:val="20"/>
          <w:color w:val="auto"/>
        </w:rPr>
      </w:pPr>
      <w:r>
        <w:rPr>
          <w:rFonts w:ascii="Arial" w:cs="Arial" w:eastAsia="Arial" w:hAnsi="Arial"/>
          <w:sz w:val="17"/>
          <w:szCs w:val="17"/>
          <w:color w:val="auto"/>
        </w:rPr>
        <w:t>As of December 31, 2022 and September 30, 2022, we had cash equivalents of $52.9 million and $47.9 million, respectively, available for investing and general corporate purposes. We believe our liquidity and capital resources are sufficient to take advantage of market opportunities.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December 31, 2022, our operating activities provided cash of $7.8 million and our financing activities used cash of $2.7 million. Our operating activities provided cash primarily realized from our investment activities and our financing activities used cash primarily due to borrowings under our Credit Facility and principal repayment of our 2023 Notes.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months ended December 31, 2021, our operating activities used cash of $82.4 million and our financing activities provided cash of $93.2 million. Our operating activities used cash primarily for our investment activities and our financing activities provided cash primarily due to the issuance of $85 million of our 2026 Add-on Notes and borrowings under our Credit Facility.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our January 23, 2023 public offering, we issued approximately 4.3 million shares of common stock resulting in net proceeds exclusive of offering expenses to the Company of approximately $47.6 million, or $11.20 per share.</w:t>
      </w:r>
    </w:p>
    <w:p>
      <w:pPr>
        <w:spacing w:after="0" w:line="10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Adviser agreed to pay the underwriters a supplemental payment of $0.10 per share, which reflects the difference between the public offering price of $11.10 and the net proceeds of $11.20 per share received by the Company in this offering. In addition, the Adviser agreed to bear the sales load payable to the underwriters. The Company is not obligated to repay either the supplemental payment or the sales load paid by the Adviser.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December 31, 2022 and 2021, we declared distributions of $0.285 per share for total distributions of $12.9 million and $0.285 per share for total distributions of $11.1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makes available on its website its Quarterly Report on Form 10-K filed with the SEC, and stockholders may find such report on its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ASSETS AND LIABILITIES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tcPr>
          <w:p>
            <w:pPr>
              <w:spacing w:after="0"/>
              <w:rPr>
                <w:sz w:val="14"/>
                <w:szCs w:val="14"/>
                <w:color w:val="auto"/>
              </w:rPr>
            </w:pP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September 30, 2022</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 (cost—$872,780 and $882,570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870,741</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893,249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Controlled, affiliated investments (cost— $308,245 and $294,787, respectively)</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280,396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Total of investments (cost—$1,181,025 and $1,177,357, respectively)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1,151,137</w:t>
            </w: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1,164,254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Cash and cash equivalents (cost—$52,944 and $47,917,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52,935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47,880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8,736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7,543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Receivable for investments sold</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12,353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receivable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577</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1,226,683</w:t>
            </w:r>
          </w:p>
        </w:tc>
        <w:tc>
          <w:tcPr>
            <w:tcW w:w="26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1,223,866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4,316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Credit Facility payable, at fair value (cost—$199,654 and $168,830,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197,688</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167,563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2023 Notes payable, at fair value (par—$76,219 and $97,006,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73,833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2026 Notes payable, net (par—$185,000)</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182,471</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182,276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2031 Asset-Backed Debt, net (par—$228,000)</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226,286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226,128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debt</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6,075</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Base management fee payable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Performance-based incentive fee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3,433</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5,293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837</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74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713,153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8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Common stock, 45,431,815 and 45,345,638 shares issued and outstanding,</w:t>
            </w: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619,019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618,028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(105,534 )</w:t>
            </w: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(90,981 )</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513,530</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527,092</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1,226,683</w:t>
            </w: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1,223,866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11.30</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-2879725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-1533525</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-753745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-513715</wp:posOffset>
            </wp:positionV>
            <wp:extent cx="120840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840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34"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line="226" w:lineRule="auto"/>
        <w:rPr>
          <w:sz w:val="20"/>
          <w:szCs w:val="20"/>
          <w:color w:val="auto"/>
        </w:rPr>
      </w:pPr>
      <w:r>
        <w:rPr>
          <w:rFonts w:ascii="Arial" w:cs="Arial" w:eastAsia="Arial" w:hAnsi="Arial"/>
          <w:sz w:val="14"/>
          <w:szCs w:val="14"/>
          <w:b w:val="1"/>
          <w:bCs w:val="1"/>
          <w:color w:val="auto"/>
        </w:rPr>
        <w:t>December 31,</w:t>
      </w:r>
    </w:p>
    <w:p>
      <w:pPr>
        <w:jc w:val="center"/>
        <w:ind w:left="7660"/>
        <w:spacing w:after="0"/>
        <w:rPr>
          <w:sz w:val="20"/>
          <w:szCs w:val="20"/>
          <w:color w:val="auto"/>
        </w:rPr>
      </w:pPr>
      <w:r>
        <w:rPr>
          <w:rFonts w:ascii="Arial" w:cs="Arial" w:eastAsia="Arial" w:hAnsi="Arial"/>
          <w:sz w:val="14"/>
          <w:szCs w:val="14"/>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800" w:type="dxa"/>
            <w:vAlign w:val="bottom"/>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980" w:type="dxa"/>
            <w:vAlign w:val="bottom"/>
            <w:shd w:val="clear" w:color="auto" w:fill="CCECFF"/>
          </w:tcPr>
          <w:p>
            <w:pPr>
              <w:jc w:val="right"/>
              <w:ind w:right="82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20,735</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16,858</w:t>
            </w:r>
          </w:p>
        </w:tc>
        <w:tc>
          <w:tcPr>
            <w:tcW w:w="100" w:type="dxa"/>
            <w:vAlign w:val="bottom"/>
            <w:shd w:val="clear" w:color="auto" w:fill="CCECFF"/>
          </w:tcPr>
          <w:p>
            <w:pPr>
              <w:spacing w:after="0"/>
              <w:rPr>
                <w:sz w:val="15"/>
                <w:szCs w:val="15"/>
                <w:color w:val="auto"/>
              </w:rPr>
            </w:pPr>
          </w:p>
        </w:tc>
      </w:tr>
      <w:tr>
        <w:trPr>
          <w:trHeight w:val="175"/>
        </w:trPr>
        <w:tc>
          <w:tcPr>
            <w:tcW w:w="7800" w:type="dxa"/>
            <w:vAlign w:val="bottom"/>
          </w:tcPr>
          <w:p>
            <w:pPr>
              <w:ind w:left="200"/>
              <w:spacing w:after="0"/>
              <w:rPr>
                <w:sz w:val="20"/>
                <w:szCs w:val="20"/>
                <w:color w:val="auto"/>
              </w:rPr>
            </w:pPr>
            <w:r>
              <w:rPr>
                <w:rFonts w:ascii="Arial" w:cs="Arial" w:eastAsia="Arial" w:hAnsi="Arial"/>
                <w:sz w:val="14"/>
                <w:szCs w:val="14"/>
                <w:color w:val="auto"/>
              </w:rPr>
              <w:t>Dividend</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577</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5"/>
                <w:szCs w:val="15"/>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2,823</w:t>
            </w:r>
          </w:p>
        </w:tc>
        <w:tc>
          <w:tcPr>
            <w:tcW w:w="100" w:type="dxa"/>
            <w:vAlign w:val="bottom"/>
            <w:shd w:val="clear" w:color="auto" w:fill="CCECFF"/>
          </w:tcPr>
          <w:p>
            <w:pPr>
              <w:spacing w:after="0"/>
              <w:rPr>
                <w:sz w:val="15"/>
                <w:szCs w:val="15"/>
                <w:color w:val="auto"/>
              </w:rPr>
            </w:pPr>
          </w:p>
        </w:tc>
      </w:tr>
      <w:tr>
        <w:trPr>
          <w:trHeight w:val="175"/>
        </w:trPr>
        <w:tc>
          <w:tcPr>
            <w:tcW w:w="7800" w:type="dxa"/>
            <w:vAlign w:val="bottom"/>
          </w:tcPr>
          <w:p>
            <w:pPr>
              <w:ind w:left="200"/>
              <w:spacing w:after="0"/>
              <w:rPr>
                <w:sz w:val="20"/>
                <w:szCs w:val="20"/>
                <w:color w:val="auto"/>
              </w:rPr>
            </w:pPr>
            <w:r>
              <w:rPr>
                <w:rFonts w:ascii="Arial" w:cs="Arial" w:eastAsia="Arial" w:hAnsi="Arial"/>
                <w:sz w:val="14"/>
                <w:szCs w:val="14"/>
                <w:color w:val="auto"/>
              </w:rPr>
              <w:t>From non-controlled, affiliated investments: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98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980" w:type="dxa"/>
            <w:vAlign w:val="bottom"/>
          </w:tcPr>
          <w:p>
            <w:pPr>
              <w:spacing w:after="0"/>
              <w:rPr>
                <w:sz w:val="15"/>
                <w:szCs w:val="15"/>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80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controlled, affiliated investments:</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6,909</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3,165</w:t>
            </w: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Dividend</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2,975</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980" w:type="dxa"/>
            <w:vAlign w:val="bottom"/>
          </w:tcPr>
          <w:p>
            <w:pPr>
              <w:spacing w:after="0"/>
              <w:rPr>
                <w:sz w:val="15"/>
                <w:szCs w:val="15"/>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78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31,338</w:t>
            </w:r>
          </w:p>
        </w:tc>
        <w:tc>
          <w:tcPr>
            <w:tcW w:w="3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26,335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Base management fee</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2,931</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2,896</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Arial" w:cs="Arial" w:eastAsia="Arial" w:hAnsi="Arial"/>
                <w:sz w:val="14"/>
                <w:szCs w:val="14"/>
                <w:color w:val="auto"/>
              </w:rPr>
              <w:t>Performance-based incentive fee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3,433</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3,180</w:t>
            </w: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and expenses on debt</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9,858</w:t>
            </w: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6,639</w:t>
            </w:r>
          </w:p>
        </w:tc>
        <w:tc>
          <w:tcPr>
            <w:tcW w:w="100" w:type="dxa"/>
            <w:vAlign w:val="bottom"/>
            <w:shd w:val="clear" w:color="auto" w:fill="CCECFF"/>
          </w:tcPr>
          <w:p>
            <w:pPr>
              <w:spacing w:after="0"/>
              <w:rPr>
                <w:sz w:val="15"/>
                <w:szCs w:val="15"/>
                <w:color w:val="auto"/>
              </w:rPr>
            </w:pPr>
          </w:p>
        </w:tc>
      </w:tr>
      <w:tr>
        <w:trPr>
          <w:trHeight w:val="176"/>
        </w:trPr>
        <w:tc>
          <w:tcPr>
            <w:tcW w:w="780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144</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r>
      <w:tr>
        <w:trPr>
          <w:trHeight w:val="175"/>
        </w:trPr>
        <w:tc>
          <w:tcPr>
            <w:tcW w:w="78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980" w:type="dxa"/>
            <w:vAlign w:val="bottom"/>
            <w:tcBorders>
              <w:bottom w:val="single" w:sz="8" w:color="auto"/>
            </w:tcBorders>
            <w:shd w:val="clear" w:color="auto" w:fill="CCECFF"/>
          </w:tcPr>
          <w:p>
            <w:pPr>
              <w:spacing w:after="0"/>
              <w:rPr>
                <w:sz w:val="15"/>
                <w:szCs w:val="15"/>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706</w:t>
            </w:r>
          </w:p>
        </w:tc>
        <w:tc>
          <w:tcPr>
            <w:tcW w:w="30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800" w:type="dxa"/>
            <w:vAlign w:val="bottom"/>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13,514</w:t>
            </w:r>
          </w:p>
        </w:tc>
        <w:tc>
          <w:tcPr>
            <w:tcW w:w="100" w:type="dxa"/>
            <w:vAlign w:val="bottom"/>
          </w:tcPr>
          <w:p>
            <w:pPr>
              <w:spacing w:after="0"/>
              <w:rPr>
                <w:sz w:val="14"/>
                <w:szCs w:val="14"/>
                <w:color w:val="auto"/>
              </w:rPr>
            </w:pPr>
          </w:p>
        </w:tc>
      </w:tr>
      <w:tr>
        <w:trPr>
          <w:trHeight w:val="169"/>
        </w:trPr>
        <w:tc>
          <w:tcPr>
            <w:tcW w:w="78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Provision for taxes on net investment income</w:t>
            </w:r>
          </w:p>
        </w:tc>
        <w:tc>
          <w:tcPr>
            <w:tcW w:w="98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534</w:t>
            </w:r>
          </w:p>
        </w:tc>
        <w:tc>
          <w:tcPr>
            <w:tcW w:w="3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0"/>
              <w:spacing w:after="0"/>
              <w:rPr>
                <w:sz w:val="20"/>
                <w:szCs w:val="20"/>
                <w:color w:val="auto"/>
              </w:rPr>
            </w:pPr>
            <w:r>
              <w:rPr>
                <w:rFonts w:ascii="Arial" w:cs="Arial" w:eastAsia="Arial" w:hAnsi="Arial"/>
                <w:sz w:val="14"/>
                <w:szCs w:val="14"/>
                <w:b w:val="1"/>
                <w:bCs w:val="1"/>
                <w:color w:val="auto"/>
              </w:rPr>
              <w:t>Net expenses</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17,606</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13,614</w:t>
            </w:r>
          </w:p>
        </w:tc>
        <w:tc>
          <w:tcPr>
            <w:tcW w:w="100" w:type="dxa"/>
            <w:vAlign w:val="bottom"/>
          </w:tcPr>
          <w:p>
            <w:pPr>
              <w:spacing w:after="0"/>
              <w:rPr>
                <w:sz w:val="14"/>
                <w:szCs w:val="14"/>
                <w:color w:val="auto"/>
              </w:rPr>
            </w:pPr>
          </w:p>
        </w:tc>
      </w:tr>
      <w:tr>
        <w:trPr>
          <w:trHeight w:val="169"/>
        </w:trPr>
        <w:tc>
          <w:tcPr>
            <w:tcW w:w="78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98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13,732</w:t>
            </w:r>
          </w:p>
        </w:tc>
        <w:tc>
          <w:tcPr>
            <w:tcW w:w="3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12,721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Realized and unrealized gain (loss) on investments and debt:</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8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gain (loss) on:</w:t>
            </w:r>
          </w:p>
        </w:tc>
        <w:tc>
          <w:tcPr>
            <w:tcW w:w="98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780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3,073</w:t>
            </w:r>
          </w:p>
        </w:tc>
        <w:tc>
          <w:tcPr>
            <w:tcW w:w="100" w:type="dxa"/>
            <w:vAlign w:val="bottom"/>
          </w:tcPr>
          <w:p>
            <w:pPr>
              <w:spacing w:after="0"/>
              <w:rPr>
                <w:sz w:val="15"/>
                <w:szCs w:val="15"/>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98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CFF"/>
          </w:tcPr>
          <w:p>
            <w:pPr>
              <w:spacing w:after="0"/>
              <w:rPr>
                <w:sz w:val="15"/>
                <w:szCs w:val="15"/>
                <w:color w:val="auto"/>
              </w:rPr>
            </w:pPr>
          </w:p>
        </w:tc>
      </w:tr>
      <w:tr>
        <w:trPr>
          <w:trHeight w:val="169"/>
        </w:trPr>
        <w:tc>
          <w:tcPr>
            <w:tcW w:w="7800" w:type="dxa"/>
            <w:vAlign w:val="bottom"/>
            <w:tcBorders>
              <w:top w:val="single" w:sz="8" w:color="CCECFF"/>
            </w:tcBorders>
          </w:tcPr>
          <w:p>
            <w:pPr>
              <w:ind w:left="200"/>
              <w:spacing w:after="0"/>
              <w:rPr>
                <w:sz w:val="20"/>
                <w:szCs w:val="20"/>
                <w:color w:val="auto"/>
              </w:rPr>
            </w:pPr>
            <w:r>
              <w:rPr>
                <w:rFonts w:ascii="Arial" w:cs="Arial" w:eastAsia="Arial" w:hAnsi="Arial"/>
                <w:sz w:val="14"/>
                <w:szCs w:val="14"/>
                <w:b w:val="1"/>
                <w:bCs w:val="1"/>
                <w:color w:val="auto"/>
              </w:rPr>
              <w:t>Net realized gain (loss) on investments and debt</w:t>
            </w:r>
          </w:p>
        </w:tc>
        <w:tc>
          <w:tcPr>
            <w:tcW w:w="9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300" w:type="dxa"/>
            <w:vAlign w:val="bottom"/>
            <w:tcBorders>
              <w:top w:val="single" w:sz="8" w:color="CCEC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3,138</w:t>
            </w:r>
          </w:p>
        </w:tc>
        <w:tc>
          <w:tcPr>
            <w:tcW w:w="100" w:type="dxa"/>
            <w:vAlign w:val="bottom"/>
            <w:tcBorders>
              <w:top w:val="single" w:sz="8" w:color="CCECFF"/>
            </w:tcBorders>
          </w:tcPr>
          <w:p>
            <w:pPr>
              <w:spacing w:after="0"/>
              <w:rPr>
                <w:sz w:val="14"/>
                <w:szCs w:val="14"/>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98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80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9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(12,693 )</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4,387</w:t>
            </w:r>
          </w:p>
        </w:tc>
        <w:tc>
          <w:tcPr>
            <w:tcW w:w="100" w:type="dxa"/>
            <w:vAlign w:val="bottom"/>
          </w:tcPr>
          <w:p>
            <w:pPr>
              <w:spacing w:after="0"/>
              <w:rPr>
                <w:sz w:val="15"/>
                <w:szCs w:val="15"/>
                <w:color w:val="auto"/>
              </w:rPr>
            </w:pPr>
          </w:p>
        </w:tc>
      </w:tr>
      <w:tr>
        <w:trPr>
          <w:trHeight w:val="175"/>
        </w:trPr>
        <w:tc>
          <w:tcPr>
            <w:tcW w:w="78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98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(4,064 )</w:t>
            </w:r>
          </w:p>
        </w:tc>
        <w:tc>
          <w:tcPr>
            <w:tcW w:w="34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(7,884 )</w:t>
            </w:r>
          </w:p>
        </w:tc>
      </w:tr>
      <w:tr>
        <w:trPr>
          <w:trHeight w:val="176"/>
        </w:trPr>
        <w:tc>
          <w:tcPr>
            <w:tcW w:w="7800" w:type="dxa"/>
            <w:vAlign w:val="bottom"/>
          </w:tcPr>
          <w:p>
            <w:pPr>
              <w:ind w:left="200"/>
              <w:spacing w:after="0"/>
              <w:rPr>
                <w:sz w:val="20"/>
                <w:szCs w:val="20"/>
                <w:color w:val="auto"/>
              </w:rPr>
            </w:pPr>
            <w:r>
              <w:rPr>
                <w:rFonts w:ascii="Arial" w:cs="Arial" w:eastAsia="Arial" w:hAnsi="Arial"/>
                <w:sz w:val="14"/>
                <w:szCs w:val="14"/>
                <w:color w:val="auto"/>
              </w:rPr>
              <w:t>Provision for taxes on unrealized appreciation (depreciation) on investments</w:t>
            </w:r>
          </w:p>
        </w:tc>
        <w:tc>
          <w:tcPr>
            <w:tcW w:w="9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(725 )</w:t>
            </w:r>
          </w:p>
        </w:tc>
        <w:tc>
          <w:tcPr>
            <w:tcW w:w="34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(1,540 )</w:t>
            </w:r>
          </w:p>
        </w:tc>
      </w:tr>
      <w:tr>
        <w:trPr>
          <w:trHeight w:val="175"/>
        </w:trPr>
        <w:tc>
          <w:tcPr>
            <w:tcW w:w="78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Debt depreciation</w:t>
            </w:r>
          </w:p>
        </w:tc>
        <w:tc>
          <w:tcPr>
            <w:tcW w:w="980" w:type="dxa"/>
            <w:vAlign w:val="bottom"/>
            <w:tcBorders>
              <w:bottom w:val="single" w:sz="8" w:color="auto"/>
            </w:tcBorders>
            <w:shd w:val="clear" w:color="auto" w:fill="CCECFF"/>
          </w:tcPr>
          <w:p>
            <w:pPr>
              <w:spacing w:after="0"/>
              <w:rPr>
                <w:sz w:val="15"/>
                <w:szCs w:val="15"/>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2,067</w:t>
            </w:r>
          </w:p>
        </w:tc>
        <w:tc>
          <w:tcPr>
            <w:tcW w:w="30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3,611</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800" w:type="dxa"/>
            <w:vAlign w:val="bottom"/>
          </w:tcPr>
          <w:p>
            <w:pPr>
              <w:ind w:left="200"/>
              <w:spacing w:after="0"/>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9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(15,415 )</w:t>
            </w:r>
          </w:p>
        </w:tc>
        <w:tc>
          <w:tcPr>
            <w:tcW w:w="34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(1,426 )</w:t>
            </w:r>
          </w:p>
        </w:tc>
      </w:tr>
      <w:tr>
        <w:trPr>
          <w:trHeight w:val="169"/>
        </w:trPr>
        <w:tc>
          <w:tcPr>
            <w:tcW w:w="78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(15,352</w:t>
            </w:r>
          </w:p>
        </w:tc>
        <w:tc>
          <w:tcPr>
            <w:tcW w:w="300" w:type="dxa"/>
            <w:vAlign w:val="bottom"/>
            <w:tcBorders>
              <w:bottom w:val="single" w:sz="8" w:color="CCECFF"/>
            </w:tcBorders>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980" w:type="dxa"/>
            <w:vAlign w:val="bottom"/>
          </w:tcPr>
          <w:p>
            <w:pPr>
              <w:spacing w:after="0"/>
              <w:rPr>
                <w:sz w:val="14"/>
                <w:szCs w:val="14"/>
                <w:color w:val="auto"/>
              </w:rPr>
            </w:pPr>
          </w:p>
        </w:tc>
        <w:tc>
          <w:tcPr>
            <w:tcW w:w="82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(1,620 )</w:t>
            </w:r>
          </w:p>
        </w:tc>
        <w:tc>
          <w:tcPr>
            <w:tcW w:w="340" w:type="dxa"/>
            <w:vAlign w:val="bottom"/>
          </w:tcPr>
          <w:p>
            <w:pPr>
              <w:spacing w:after="0"/>
              <w:rPr>
                <w:sz w:val="14"/>
                <w:szCs w:val="14"/>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14,433</w:t>
            </w:r>
          </w:p>
        </w:tc>
        <w:tc>
          <w:tcPr>
            <w:tcW w:w="100" w:type="dxa"/>
            <w:vAlign w:val="bottom"/>
          </w:tcPr>
          <w:p>
            <w:pPr>
              <w:spacing w:after="0"/>
              <w:rPr>
                <w:sz w:val="14"/>
                <w:szCs w:val="14"/>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0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 per common share</w:t>
            </w:r>
          </w:p>
        </w:tc>
        <w:tc>
          <w:tcPr>
            <w:tcW w:w="980" w:type="dxa"/>
            <w:vAlign w:val="bottom"/>
            <w:tcBorders>
              <w:bottom w:val="single" w:sz="8" w:color="auto"/>
            </w:tcBorders>
            <w:shd w:val="clear" w:color="auto" w:fill="CCECFF"/>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(0.04</w:t>
            </w:r>
          </w:p>
        </w:tc>
        <w:tc>
          <w:tcPr>
            <w:tcW w:w="300" w:type="dxa"/>
            <w:vAlign w:val="bottom"/>
            <w:tcBorders>
              <w:bottom w:val="single" w:sz="8" w:color="CCECFF"/>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0.37</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7800" w:type="dxa"/>
            <w:vAlign w:val="bottom"/>
          </w:tcPr>
          <w:p>
            <w:pPr>
              <w:ind w:left="20"/>
              <w:spacing w:after="0" w:line="155" w:lineRule="exact"/>
              <w:rPr>
                <w:sz w:val="20"/>
                <w:szCs w:val="20"/>
                <w:color w:val="auto"/>
              </w:rPr>
            </w:pPr>
            <w:r>
              <w:rPr>
                <w:rFonts w:ascii="Arial" w:cs="Arial" w:eastAsia="Arial" w:hAnsi="Arial"/>
                <w:sz w:val="14"/>
                <w:szCs w:val="14"/>
                <w:color w:val="auto"/>
              </w:rPr>
              <w:t>Net investment income per common share</w:t>
            </w:r>
          </w:p>
        </w:tc>
        <w:tc>
          <w:tcPr>
            <w:tcW w:w="98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0.30</w:t>
            </w: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0.33</w:t>
            </w:r>
          </w:p>
        </w:tc>
        <w:tc>
          <w:tcPr>
            <w:tcW w:w="100" w:type="dxa"/>
            <w:vAlign w:val="bottom"/>
          </w:tcPr>
          <w:p>
            <w:pPr>
              <w:spacing w:after="0"/>
              <w:rPr>
                <w:sz w:val="13"/>
                <w:szCs w:val="13"/>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0"/>
        </w:trPr>
        <w:tc>
          <w:tcPr>
            <w:tcW w:w="7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-3445510</wp:posOffset>
            </wp:positionV>
            <wp:extent cx="6858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-2767965</wp:posOffset>
            </wp:positionV>
            <wp:extent cx="68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-2527935</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-2288540</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85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-1148080</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-908050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-650875</wp:posOffset>
            </wp:positionV>
            <wp:extent cx="122555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555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PennantPark Investment Advisers, LLC is a leading middle-market credit platform, managing $6.1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6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CONTACT:</w:t>
        <w:tab/>
        <w:t>Richard T. Allorto, Jr.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ind w:left="1160" w:right="8420" w:hanging="5"/>
        <w:spacing w:after="0" w:line="358" w:lineRule="auto"/>
        <w:tabs>
          <w:tab w:leader="none" w:pos="159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888"/>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2023-02-08T15:18:38Z</dcterms:created>
  <dcterms:modified xsi:type="dcterms:W3CDTF">2023-02-08T15:18:38Z</dcterms:modified>
</cp:coreProperties>
</file>