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20926.htm"/>
      <w:bookmarkStart w:id="1" w:name="ksf8k_0209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February 9, 2026</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Floating Rate Capital Ltd.</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814-00891</w:t>
            </w:r>
          </w:p>
        </w:tc>
        <w:tc>
          <w:tcPr>
            <w:tcW w:w="2900" w:type="dxa"/>
            <w:tcBorders/>
            <w:vAlign w:val="center"/>
          </w:tcPr>
          <w:p>
            <w:pPr>
              <w:pStyle w:val="TableContents"/>
              <w:bidi w:val="0"/>
              <w:spacing w:before="0" w:after="283"/>
              <w:jc w:val="center"/>
              <w:rPr>
                <w:b/>
                <w:sz w:val="20"/>
              </w:rPr>
            </w:pPr>
            <w:r>
              <w:rPr>
                <w:b/>
                <w:sz w:val="20"/>
              </w:rPr>
              <w:t>27-3794690</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PFLT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2.02. Results of Operations and Financial Condition.</w:t>
      </w:r>
    </w:p>
    <w:p>
      <w:pPr>
        <w:pStyle w:val="TextBody"/>
        <w:bidi w:val="0"/>
        <w:spacing w:before="0" w:after="0"/>
        <w:jc w:val="left"/>
        <w:rPr/>
      </w:pPr>
      <w:r>
        <w:rPr/>
        <w:t> </w:t>
      </w:r>
    </w:p>
    <w:p>
      <w:pPr>
        <w:pStyle w:val="TextBody"/>
        <w:bidi w:val="0"/>
        <w:spacing w:before="0" w:after="0"/>
        <w:jc w:val="left"/>
        <w:rPr/>
      </w:pPr>
      <w:r>
        <w:rPr/>
        <w:t>       </w:t>
      </w:r>
      <w:r>
        <w:rPr>
          <w:sz w:val="20"/>
        </w:rPr>
        <w:t>On February 9, 2026, PennantPark Floating Rate Capital Ltd., or the Company, issued a press release announcing its financial results for the first fiscal quarter ended December 31, 2025. A copy of the press release is furnished as Exhibit 99.1 to this report pursuant to Item 2.02 on Form 8-K and Regulation FD.</w:t>
      </w:r>
    </w:p>
    <w:p>
      <w:pPr>
        <w:pStyle w:val="TextBody"/>
        <w:bidi w:val="0"/>
        <w:spacing w:before="0" w:after="0"/>
        <w:jc w:val="left"/>
        <w:rPr/>
      </w:pPr>
      <w:r>
        <w:rPr/>
        <w:t> </w:t>
      </w:r>
    </w:p>
    <w:p>
      <w:pPr>
        <w:pStyle w:val="TextBody"/>
        <w:bidi w:val="0"/>
        <w:spacing w:before="0" w:after="0"/>
        <w:jc w:val="left"/>
        <w:rPr/>
      </w:pPr>
      <w:r>
        <w:rPr/>
        <w:t>       </w:t>
      </w:r>
      <w:r>
        <w:rPr>
          <w:sz w:val="20"/>
        </w:rPr>
        <w:t>The information in this report on Form 8-K, including Exhibits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0"/>
        <w:jc w:val="left"/>
        <w:rPr/>
      </w:pPr>
      <w:r>
        <w:rPr/>
        <w:t> </w:t>
      </w:r>
    </w:p>
    <w:p>
      <w:pPr>
        <w:pStyle w:val="TextBody"/>
        <w:bidi w:val="0"/>
        <w:spacing w:before="0" w:after="0"/>
        <w:jc w:val="left"/>
        <w:rPr/>
      </w:pPr>
      <w:r>
        <w:rPr>
          <w:rStyle w:val="StrongEmphasis"/>
          <w:sz w:val="20"/>
        </w:rPr>
        <w:t xml:space="preserve">Forward-Looking Statements </w:t>
      </w:r>
    </w:p>
    <w:p>
      <w:pPr>
        <w:pStyle w:val="TextBody"/>
        <w:bidi w:val="0"/>
        <w:spacing w:before="0" w:after="0"/>
        <w:jc w:val="left"/>
        <w:rPr/>
      </w:pPr>
      <w:r>
        <w:rPr/>
        <w:t> </w:t>
      </w:r>
    </w:p>
    <w:p>
      <w:pPr>
        <w:pStyle w:val="TextBody"/>
        <w:bidi w:val="0"/>
        <w:spacing w:before="0" w:after="0"/>
        <w:jc w:val="left"/>
        <w:rPr/>
      </w:pPr>
      <w:r>
        <w:rPr/>
        <w:t>       </w:t>
      </w:r>
      <w:r>
        <w:rPr>
          <w:sz w:val="20"/>
        </w:rPr>
        <w:t>This report on Form 8-K, including Exhibits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the Company files under the Exchange Act. All statements other than statements of historical facts included in this report on Form 8-K, including Exhibit 99.1 furnished herewith,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0"/>
        <w:jc w:val="left"/>
        <w:rPr/>
      </w:pPr>
      <w:r>
        <w:rPr/>
        <w:t> </w:t>
      </w:r>
    </w:p>
    <w:p>
      <w:pPr>
        <w:pStyle w:val="TextBody"/>
        <w:bidi w:val="0"/>
        <w:spacing w:before="0" w:after="0"/>
        <w:jc w:val="left"/>
        <w:rPr/>
      </w:pPr>
      <w:r>
        <w:rPr/>
        <w:t>       </w:t>
      </w:r>
      <w:r>
        <w:rPr>
          <w:sz w:val="20"/>
        </w:rPr>
        <w:t>The Company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pStyle w:val="TextBody"/>
        <w:bidi w:val="0"/>
        <w:spacing w:before="0" w:after="0"/>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0"/>
        <w:jc w:val="left"/>
        <w:rPr/>
      </w:pPr>
      <w:r>
        <w:rPr/>
        <w:t> </w:t>
      </w:r>
    </w:p>
    <w:p>
      <w:pPr>
        <w:pStyle w:val="TextBody"/>
        <w:bidi w:val="0"/>
        <w:spacing w:before="0" w:after="0"/>
        <w:jc w:val="left"/>
        <w:rPr/>
      </w:pPr>
      <w:r>
        <w:rPr>
          <w:rStyle w:val="StrongEmphasis"/>
          <w:sz w:val="20"/>
        </w:rPr>
        <w:t xml:space="preserve">(a) Financial statements: </w:t>
      </w:r>
    </w:p>
    <w:p>
      <w:pPr>
        <w:pStyle w:val="TextBody"/>
        <w:bidi w:val="0"/>
        <w:spacing w:before="0" w:after="0"/>
        <w:jc w:val="left"/>
        <w:rPr/>
      </w:pPr>
      <w:r>
        <w:rPr/>
        <w:t> </w:t>
      </w:r>
    </w:p>
    <w:p>
      <w:pPr>
        <w:pStyle w:val="TextBody"/>
        <w:bidi w:val="0"/>
        <w:spacing w:before="0" w:after="0"/>
        <w:jc w:val="left"/>
        <w:rPr>
          <w:sz w:val="20"/>
        </w:rPr>
      </w:pPr>
      <w:r>
        <w:rPr>
          <w:sz w:val="20"/>
        </w:rPr>
        <w:t>None</w:t>
      </w:r>
    </w:p>
    <w:p>
      <w:pPr>
        <w:pStyle w:val="TextBody"/>
        <w:bidi w:val="0"/>
        <w:spacing w:before="0" w:after="0"/>
        <w:jc w:val="left"/>
        <w:rPr/>
      </w:pPr>
      <w:r>
        <w:rPr/>
        <w:t> </w:t>
      </w:r>
    </w:p>
    <w:p>
      <w:pPr>
        <w:pStyle w:val="TextBody"/>
        <w:bidi w:val="0"/>
        <w:spacing w:before="0" w:after="0"/>
        <w:jc w:val="left"/>
        <w:rPr/>
      </w:pPr>
      <w:r>
        <w:rPr>
          <w:rStyle w:val="StrongEmphasis"/>
          <w:sz w:val="20"/>
        </w:rPr>
        <w:t xml:space="preserve">(b) Pro forma financial information: </w:t>
      </w:r>
    </w:p>
    <w:p>
      <w:pPr>
        <w:pStyle w:val="TextBody"/>
        <w:bidi w:val="0"/>
        <w:spacing w:before="0" w:after="0"/>
        <w:jc w:val="left"/>
        <w:rPr/>
      </w:pPr>
      <w:r>
        <w:rPr/>
        <w:t> </w:t>
      </w:r>
    </w:p>
    <w:p>
      <w:pPr>
        <w:pStyle w:val="TextBody"/>
        <w:bidi w:val="0"/>
        <w:spacing w:before="0" w:after="0"/>
        <w:jc w:val="left"/>
        <w:rPr>
          <w:sz w:val="20"/>
        </w:rPr>
      </w:pPr>
      <w:r>
        <w:rPr>
          <w:sz w:val="20"/>
        </w:rPr>
        <w:t>None</w:t>
      </w:r>
    </w:p>
    <w:p>
      <w:pPr>
        <w:pStyle w:val="TextBody"/>
        <w:bidi w:val="0"/>
        <w:spacing w:before="0" w:after="0"/>
        <w:jc w:val="left"/>
        <w:rPr/>
      </w:pPr>
      <w:r>
        <w:rPr/>
        <w:t> </w:t>
      </w:r>
    </w:p>
    <w:p>
      <w:pPr>
        <w:pStyle w:val="TextBody"/>
        <w:bidi w:val="0"/>
        <w:spacing w:before="0" w:after="0"/>
        <w:jc w:val="left"/>
        <w:rPr/>
      </w:pPr>
      <w:r>
        <w:rPr>
          <w:rStyle w:val="StrongEmphasis"/>
          <w:sz w:val="20"/>
        </w:rPr>
        <w:t xml:space="preserve">(c) Shell company transactions: </w:t>
      </w:r>
    </w:p>
    <w:p>
      <w:pPr>
        <w:pStyle w:val="TextBody"/>
        <w:bidi w:val="0"/>
        <w:spacing w:before="0" w:after="0"/>
        <w:jc w:val="left"/>
        <w:rPr/>
      </w:pPr>
      <w:r>
        <w:rPr/>
        <w:t> </w:t>
      </w:r>
    </w:p>
    <w:p>
      <w:pPr>
        <w:pStyle w:val="TextBody"/>
        <w:bidi w:val="0"/>
        <w:spacing w:before="0" w:after="0"/>
        <w:jc w:val="left"/>
        <w:rPr>
          <w:sz w:val="20"/>
        </w:rPr>
      </w:pPr>
      <w:r>
        <w:rPr>
          <w:sz w:val="20"/>
        </w:rPr>
        <w:t>None</w:t>
      </w:r>
    </w:p>
    <w:p>
      <w:pPr>
        <w:pStyle w:val="TextBody"/>
        <w:bidi w:val="0"/>
        <w:spacing w:before="0" w:after="0"/>
        <w:jc w:val="left"/>
        <w:rPr/>
      </w:pPr>
      <w:r>
        <w:rPr/>
        <w:t> </w:t>
      </w:r>
    </w:p>
    <w:p>
      <w:pPr>
        <w:pStyle w:val="TextBody"/>
        <w:bidi w:val="0"/>
        <w:spacing w:before="0" w:after="0"/>
        <w:jc w:val="left"/>
        <w:rPr/>
      </w:pPr>
      <w:r>
        <w:rPr>
          <w:rStyle w:val="StrongEmphasis"/>
          <w:sz w:val="20"/>
        </w:rPr>
        <w:t>(d) Exhibits  </w:t>
      </w:r>
    </w:p>
    <w:p>
      <w:pPr>
        <w:pStyle w:val="TextBody"/>
        <w:bidi w:val="0"/>
        <w:spacing w:before="0" w:after="0"/>
        <w:jc w:val="left"/>
        <w:rPr/>
      </w:pPr>
      <w:r>
        <w:rPr/>
        <w:t> </w:t>
      </w:r>
    </w:p>
    <w:tbl>
      <w:tblPr>
        <w:tblW w:w="6910" w:type="dxa"/>
        <w:jc w:val="left"/>
        <w:tblInd w:w="0" w:type="dxa"/>
        <w:tblLayout w:type="fixed"/>
        <w:tblCellMar>
          <w:top w:w="0" w:type="dxa"/>
          <w:left w:w="0" w:type="dxa"/>
          <w:bottom w:w="0" w:type="dxa"/>
          <w:right w:w="0" w:type="dxa"/>
        </w:tblCellMar>
      </w:tblPr>
      <w:tblGrid>
        <w:gridCol w:w="380"/>
        <w:gridCol w:w="60"/>
        <w:gridCol w:w="6470"/>
      </w:tblGrid>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of PennantPark Floating Rate Capital Ltd. dated February 9, 2026</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5274" w:type="dxa"/>
        <w:jc w:val="left"/>
        <w:tblInd w:w="0" w:type="dxa"/>
        <w:tblLayout w:type="fixed"/>
        <w:tblCellMar>
          <w:top w:w="0" w:type="dxa"/>
          <w:left w:w="0" w:type="dxa"/>
          <w:bottom w:w="0" w:type="dxa"/>
          <w:right w:w="0" w:type="dxa"/>
        </w:tblCellMar>
      </w:tblPr>
      <w:tblGrid>
        <w:gridCol w:w="1880"/>
        <w:gridCol w:w="383"/>
        <w:gridCol w:w="3011"/>
      </w:tblGrid>
      <w:tr>
        <w:trPr/>
        <w:tc>
          <w:tcPr>
            <w:tcW w:w="1880" w:type="dxa"/>
            <w:tcBorders/>
            <w:vAlign w:val="center"/>
          </w:tcPr>
          <w:p>
            <w:pPr>
              <w:pStyle w:val="TableContents"/>
              <w:bidi w:val="0"/>
              <w:spacing w:before="0" w:after="283"/>
              <w:jc w:val="left"/>
              <w:rPr/>
            </w:pPr>
            <w:r>
              <w:rPr/>
              <w:t> </w:t>
            </w:r>
          </w:p>
        </w:tc>
        <w:tc>
          <w:tcPr>
            <w:tcW w:w="3394" w:type="dxa"/>
            <w:gridSpan w:val="2"/>
            <w:tcBorders/>
            <w:vAlign w:val="center"/>
          </w:tcPr>
          <w:p>
            <w:pPr>
              <w:pStyle w:val="TableContents"/>
              <w:bidi w:val="0"/>
              <w:spacing w:before="0" w:after="283"/>
              <w:jc w:val="left"/>
              <w:rPr>
                <w:b/>
                <w:sz w:val="20"/>
              </w:rPr>
            </w:pPr>
            <w:r>
              <w:rPr>
                <w:b/>
                <w:sz w:val="20"/>
              </w:rPr>
              <w:t>PennantPark Floating Rate Capital Ltd.</w:t>
            </w:r>
          </w:p>
        </w:tc>
      </w:tr>
      <w:tr>
        <w:trPr/>
        <w:tc>
          <w:tcPr>
            <w:tcW w:w="188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sz w:val="20"/>
              </w:rPr>
            </w:pPr>
            <w:r>
              <w:rPr>
                <w:sz w:val="20"/>
              </w:rPr>
              <w:t>Date: February 9, 2026</w:t>
            </w:r>
          </w:p>
        </w:tc>
        <w:tc>
          <w:tcPr>
            <w:tcW w:w="383" w:type="dxa"/>
            <w:tcBorders/>
            <w:vAlign w:val="center"/>
          </w:tcPr>
          <w:p>
            <w:pPr>
              <w:pStyle w:val="TableContents"/>
              <w:bidi w:val="0"/>
              <w:spacing w:before="0" w:after="283"/>
              <w:jc w:val="left"/>
              <w:rPr>
                <w:sz w:val="20"/>
              </w:rPr>
            </w:pPr>
            <w:r>
              <w:rPr>
                <w:sz w:val="20"/>
              </w:rPr>
              <w:t>By: </w:t>
            </w:r>
          </w:p>
        </w:tc>
        <w:tc>
          <w:tcPr>
            <w:tcW w:w="3011"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188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20"/>
              </w:rPr>
            </w:pPr>
            <w:r>
              <w:rPr>
                <w:sz w:val="20"/>
              </w:rPr>
              <w:t>Richard T. Allorto, Jr.</w:t>
            </w:r>
          </w:p>
        </w:tc>
      </w:tr>
      <w:tr>
        <w:trPr/>
        <w:tc>
          <w:tcPr>
            <w:tcW w:w="188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20"/>
              </w:rPr>
            </w:pPr>
            <w:r>
              <w:rPr>
                <w:sz w:val="20"/>
              </w:rPr>
              <w:t>Chief Financial Officer &amp; Treasurer</w:t>
            </w:r>
          </w:p>
        </w:tc>
      </w:tr>
      <w:tr>
        <w:trPr/>
        <w:tc>
          <w:tcPr>
            <w:tcW w:w="188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spacing w:before="0" w:after="283"/>
        <w:jc w:val="left"/>
        <w:rPr/>
      </w:pPr>
      <w:r>
        <w:rPr/>
        <w:drawing>
          <wp:inline distT="0" distB="0" distL="0" distR="0">
            <wp:extent cx="142875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33375"/>
                    </a:xfrm>
                    <a:prstGeom prst="rect">
                      <a:avLst/>
                    </a:prstGeom>
                  </pic:spPr>
                </pic:pic>
              </a:graphicData>
            </a:graphic>
          </wp:inline>
        </w:drawing>
      </w:r>
    </w:p>
    <w:p>
      <w:pPr>
        <w:pStyle w:val="TextBody"/>
        <w:bidi w:val="0"/>
        <w:jc w:val="center"/>
        <w:rPr/>
      </w:pPr>
      <w:r>
        <w:rPr>
          <w:rStyle w:val="StrongEmphasis"/>
        </w:rPr>
        <w:t>PennantPark Floating Rate Capital Ltd. Announces Financial Results for the First Quarter Ended December 31, 2025</w:t>
      </w:r>
    </w:p>
    <w:p>
      <w:pPr>
        <w:pStyle w:val="TextBody"/>
        <w:bidi w:val="0"/>
        <w:jc w:val="both"/>
        <w:rPr/>
      </w:pPr>
      <w:r>
        <w:rPr/>
        <w:t>MIAMI, Feb. 09, 2026 (GLOBE NEWSWIRE) -- PennantPark Floating Rate Capital Ltd. (NYSE: PFLT) announced today its financial results for the first quarter ended December 31, 2025.</w:t>
      </w:r>
    </w:p>
    <w:p>
      <w:pPr>
        <w:pStyle w:val="TextBody"/>
        <w:bidi w:val="0"/>
        <w:spacing w:before="0" w:after="283"/>
        <w:jc w:val="left"/>
        <w:rPr/>
      </w:pPr>
      <w:r>
        <w:rPr>
          <w:rStyle w:val="StrongEmphasis"/>
        </w:rPr>
        <w:t>HIGHLIGHTS</w:t>
      </w:r>
      <w:r>
        <w:rPr/>
        <w:br/>
        <w:t>Quarter ended December 31, 2025 (Unaudited)</w:t>
        <w:br/>
        <w:t>($ in millions, except per share amounts)</w:t>
      </w:r>
    </w:p>
    <w:tbl>
      <w:tblPr>
        <w:tblW w:w="8419" w:type="dxa"/>
        <w:jc w:val="center"/>
        <w:tblInd w:w="0" w:type="dxa"/>
        <w:tblLayout w:type="fixed"/>
        <w:tblCellMar>
          <w:top w:w="28" w:type="dxa"/>
          <w:left w:w="28" w:type="dxa"/>
          <w:bottom w:w="28" w:type="dxa"/>
          <w:right w:w="28" w:type="dxa"/>
        </w:tblCellMar>
      </w:tblPr>
      <w:tblGrid>
        <w:gridCol w:w="6946"/>
        <w:gridCol w:w="226"/>
        <w:gridCol w:w="826"/>
        <w:gridCol w:w="421"/>
      </w:tblGrid>
      <w:tr>
        <w:trPr/>
        <w:tc>
          <w:tcPr>
            <w:tcW w:w="6946" w:type="dxa"/>
            <w:tcBorders/>
            <w:vAlign w:val="center"/>
          </w:tcPr>
          <w:p>
            <w:pPr>
              <w:pStyle w:val="TableContents"/>
              <w:bidi w:val="0"/>
              <w:spacing w:before="0" w:after="283"/>
              <w:jc w:val="left"/>
              <w:rPr/>
            </w:pPr>
            <w:r>
              <w:rPr/>
              <w:t>Assets and Liabilities:</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 xml:space="preserve">Investment portfolio </w:t>
            </w:r>
            <w:r>
              <w:rPr>
                <w:position w:val="8"/>
                <w:sz w:val="19"/>
              </w:rPr>
              <w:t>(1)(2)</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2,605.3</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Net assets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1,040.4</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Net asset value per share</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10.49</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Quarterly change in net asset value per share</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(3.1</w:t>
            </w:r>
          </w:p>
        </w:tc>
        <w:tc>
          <w:tcPr>
            <w:tcW w:w="421" w:type="dxa"/>
            <w:tcBorders/>
            <w:vAlign w:val="center"/>
          </w:tcPr>
          <w:p>
            <w:pPr>
              <w:pStyle w:val="TableContents"/>
              <w:bidi w:val="0"/>
              <w:spacing w:before="0" w:after="283"/>
              <w:jc w:val="left"/>
              <w:rPr/>
            </w:pPr>
            <w:r>
              <w:rPr/>
              <w:t>)%</w:t>
            </w:r>
          </w:p>
        </w:tc>
      </w:tr>
      <w:tr>
        <w:trPr/>
        <w:tc>
          <w:tcPr>
            <w:tcW w:w="69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6946" w:type="dxa"/>
            <w:tcBorders/>
            <w:vAlign w:val="center"/>
          </w:tcPr>
          <w:p>
            <w:pPr>
              <w:pStyle w:val="TableContents"/>
              <w:bidi w:val="0"/>
              <w:spacing w:before="0" w:after="283"/>
              <w:jc w:val="left"/>
              <w:rPr/>
            </w:pPr>
            <w:r>
              <w:rPr/>
              <w:t>Credit Facility</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488.9</w:t>
            </w:r>
          </w:p>
        </w:tc>
        <w:tc>
          <w:tcPr>
            <w:tcW w:w="421"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t>2026 Notes, net of unamortized deferred financing costs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184.8</w:t>
            </w:r>
          </w:p>
        </w:tc>
        <w:tc>
          <w:tcPr>
            <w:tcW w:w="421"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t>2036 Asset-Backed Debt, net of unamortized deferred financing costs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284.8</w:t>
            </w:r>
          </w:p>
        </w:tc>
        <w:tc>
          <w:tcPr>
            <w:tcW w:w="421"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t>2036-R Asset-Backed Debt, net of unamortized deferred financing costs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286.6</w:t>
            </w:r>
          </w:p>
        </w:tc>
        <w:tc>
          <w:tcPr>
            <w:tcW w:w="421"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t>2037 Asset-Backed Debt, net of unamortized deferred financing costs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387.0</w:t>
            </w:r>
          </w:p>
        </w:tc>
        <w:tc>
          <w:tcPr>
            <w:tcW w:w="421"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t>Debt to equity</w:t>
            </w:r>
          </w:p>
        </w:tc>
        <w:tc>
          <w:tcPr>
            <w:tcW w:w="1052" w:type="dxa"/>
            <w:gridSpan w:val="2"/>
            <w:tcBorders/>
            <w:vAlign w:val="center"/>
          </w:tcPr>
          <w:p>
            <w:pPr>
              <w:pStyle w:val="TableContents"/>
              <w:bidi w:val="0"/>
              <w:spacing w:before="0" w:after="283"/>
              <w:jc w:val="right"/>
              <w:rPr/>
            </w:pPr>
            <w:r>
              <w:rPr/>
              <w:t>1.57x</w:t>
            </w:r>
          </w:p>
        </w:tc>
        <w:tc>
          <w:tcPr>
            <w:tcW w:w="421" w:type="dxa"/>
            <w:tcBorders/>
            <w:vAlign w:val="center"/>
          </w:tcPr>
          <w:p>
            <w:pPr>
              <w:pStyle w:val="TableContents"/>
              <w:bidi w:val="0"/>
              <w:spacing w:before="0" w:after="283"/>
              <w:jc w:val="right"/>
              <w:rPr/>
            </w:pPr>
            <w:r>
              <w:rPr/>
              <w:t> </w:t>
            </w:r>
          </w:p>
        </w:tc>
      </w:tr>
      <w:tr>
        <w:trPr/>
        <w:tc>
          <w:tcPr>
            <w:tcW w:w="6946" w:type="dxa"/>
            <w:tcBorders/>
            <w:vAlign w:val="center"/>
          </w:tcPr>
          <w:p>
            <w:pPr>
              <w:pStyle w:val="TableContents"/>
              <w:bidi w:val="0"/>
              <w:spacing w:before="0" w:after="283"/>
              <w:jc w:val="left"/>
              <w:rPr/>
            </w:pPr>
            <w:r>
              <w:rPr/>
              <w:t>Weighted average yield on debt investments at quarter-end</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9.9</w:t>
            </w:r>
          </w:p>
        </w:tc>
        <w:tc>
          <w:tcPr>
            <w:tcW w:w="421" w:type="dxa"/>
            <w:tcBorders/>
            <w:vAlign w:val="center"/>
          </w:tcPr>
          <w:p>
            <w:pPr>
              <w:pStyle w:val="TableContents"/>
              <w:bidi w:val="0"/>
              <w:spacing w:before="0" w:after="283"/>
              <w:jc w:val="left"/>
              <w:rPr/>
            </w:pPr>
            <w:r>
              <w:rPr/>
              <w:t>%</w:t>
            </w:r>
          </w:p>
        </w:tc>
      </w:tr>
      <w:tr>
        <w:trPr/>
        <w:tc>
          <w:tcPr>
            <w:tcW w:w="69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6946" w:type="dxa"/>
            <w:tcBorders/>
            <w:vAlign w:val="center"/>
          </w:tcPr>
          <w:p>
            <w:pPr>
              <w:pStyle w:val="TableContents"/>
              <w:bidi w:val="0"/>
              <w:spacing w:before="0" w:after="283"/>
              <w:jc w:val="left"/>
              <w:rPr/>
            </w:pPr>
            <w:r>
              <w:rPr/>
              <w:t>Operating Results:</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Net investment income</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26.6</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Net investment income per share (GAAP)</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0.27</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 xml:space="preserve">Core net investment income per share </w:t>
            </w:r>
            <w:r>
              <w:rPr>
                <w:position w:val="8"/>
                <w:sz w:val="19"/>
              </w:rPr>
              <w:t>(3)</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0.27</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Distributions declared per share</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0.31</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6946" w:type="dxa"/>
            <w:tcBorders/>
            <w:vAlign w:val="center"/>
          </w:tcPr>
          <w:p>
            <w:pPr>
              <w:pStyle w:val="TableContents"/>
              <w:bidi w:val="0"/>
              <w:spacing w:before="0" w:after="283"/>
              <w:jc w:val="left"/>
              <w:rPr/>
            </w:pPr>
            <w:r>
              <w:rPr/>
              <w:t>Portfolio Activity:</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Purchases of investments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301.0</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Sales and repayments of investments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441.4</w:t>
            </w:r>
          </w:p>
        </w:tc>
        <w:tc>
          <w:tcPr>
            <w:tcW w:w="421" w:type="dxa"/>
            <w:tcBorders/>
            <w:vAlign w:val="center"/>
          </w:tcPr>
          <w:p>
            <w:pPr>
              <w:pStyle w:val="TableContents"/>
              <w:bidi w:val="0"/>
              <w:spacing w:before="0" w:after="283"/>
              <w:jc w:val="left"/>
              <w:rPr/>
            </w:pPr>
            <w:r>
              <w:rPr/>
              <w:t> </w:t>
            </w:r>
          </w:p>
        </w:tc>
      </w:tr>
      <w:tr>
        <w:trPr/>
        <w:tc>
          <w:tcPr>
            <w:tcW w:w="69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6946" w:type="dxa"/>
            <w:tcBorders/>
            <w:vAlign w:val="center"/>
          </w:tcPr>
          <w:p>
            <w:pPr>
              <w:pStyle w:val="TableContents"/>
              <w:bidi w:val="0"/>
              <w:spacing w:before="0" w:after="283"/>
              <w:jc w:val="left"/>
              <w:rPr/>
            </w:pPr>
            <w:r>
              <w:rPr/>
              <w:t>PSSL Portfolio data:</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PSSL investment portfolio</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1,195.0</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Purchases of investments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133.8</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Sales and repayments of investments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12.4</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6946" w:type="dxa"/>
            <w:tcBorders/>
            <w:vAlign w:val="center"/>
          </w:tcPr>
          <w:p>
            <w:pPr>
              <w:pStyle w:val="TableContents"/>
              <w:bidi w:val="0"/>
              <w:spacing w:before="0" w:after="283"/>
              <w:jc w:val="left"/>
              <w:rPr/>
            </w:pPr>
            <w:r>
              <w:rPr/>
              <w:t>PSSL II Portfolio data:</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PSSL II investment portfolio</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193.2</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Purchases of investments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196.5</w:t>
            </w:r>
          </w:p>
        </w:tc>
        <w:tc>
          <w:tcPr>
            <w:tcW w:w="421" w:type="dxa"/>
            <w:tcBorders/>
            <w:vAlign w:val="center"/>
          </w:tcPr>
          <w:p>
            <w:pPr>
              <w:pStyle w:val="TableContents"/>
              <w:bidi w:val="0"/>
              <w:spacing w:before="0" w:after="283"/>
              <w:jc w:val="left"/>
              <w:rPr/>
            </w:pPr>
            <w:r>
              <w:rPr/>
              <w:t> </w:t>
            </w:r>
          </w:p>
        </w:tc>
      </w:tr>
      <w:tr>
        <w:trPr/>
        <w:tc>
          <w:tcPr>
            <w:tcW w:w="6946" w:type="dxa"/>
            <w:tcBorders/>
            <w:tcMar>
              <w:top w:w="0" w:type="dxa"/>
              <w:left w:w="0" w:type="dxa"/>
              <w:bottom w:w="0" w:type="dxa"/>
              <w:right w:w="0" w:type="dxa"/>
            </w:tcMar>
            <w:vAlign w:val="center"/>
          </w:tcPr>
          <w:p>
            <w:pPr>
              <w:pStyle w:val="TableContents"/>
              <w:bidi w:val="0"/>
              <w:spacing w:before="0" w:after="283"/>
              <w:jc w:val="left"/>
              <w:rPr/>
            </w:pPr>
            <w:r>
              <w:rPr/>
              <w:t>Sales and repayments of investments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2.9</w:t>
            </w:r>
          </w:p>
        </w:tc>
        <w:tc>
          <w:tcPr>
            <w:tcW w:w="421" w:type="dxa"/>
            <w:tcBorders/>
            <w:vAlign w:val="center"/>
          </w:tcPr>
          <w:p>
            <w:pPr>
              <w:pStyle w:val="TableContents"/>
              <w:bidi w:val="0"/>
              <w:spacing w:before="0" w:after="283"/>
              <w:jc w:val="left"/>
              <w:rPr/>
            </w:pPr>
            <w:r>
              <w:rPr/>
              <w:t> </w:t>
            </w:r>
          </w:p>
        </w:tc>
      </w:tr>
    </w:tbl>
    <w:p>
      <w:pPr>
        <w:pStyle w:val="TextBody"/>
        <w:bidi w:val="0"/>
        <w:jc w:val="both"/>
        <w:rPr/>
      </w:pPr>
      <w:r>
        <w:rPr/>
      </w:r>
    </w:p>
    <w:tbl>
      <w:tblPr>
        <w:tblW w:w="10205" w:type="dxa"/>
        <w:jc w:val="left"/>
        <w:tblInd w:w="0" w:type="dxa"/>
        <w:tblLayout w:type="fixed"/>
        <w:tblCellMar>
          <w:top w:w="28" w:type="dxa"/>
          <w:left w:w="28" w:type="dxa"/>
          <w:bottom w:w="28" w:type="dxa"/>
          <w:right w:w="28" w:type="dxa"/>
        </w:tblCellMar>
      </w:tblPr>
      <w:tblGrid>
        <w:gridCol w:w="326"/>
        <w:gridCol w:w="146"/>
        <w:gridCol w:w="9733"/>
      </w:tblGrid>
      <w:tr>
        <w:trPr/>
        <w:tc>
          <w:tcPr>
            <w:tcW w:w="326" w:type="dxa"/>
            <w:tcBorders/>
            <w:vAlign w:val="center"/>
          </w:tcPr>
          <w:p>
            <w:pPr>
              <w:pStyle w:val="TableContents"/>
              <w:bidi w:val="0"/>
              <w:spacing w:before="0" w:after="283"/>
              <w:jc w:val="left"/>
              <w:rPr/>
            </w:pPr>
            <w:r>
              <w:rPr/>
              <w:t>(1)</w:t>
            </w:r>
          </w:p>
        </w:tc>
        <w:tc>
          <w:tcPr>
            <w:tcW w:w="146" w:type="dxa"/>
            <w:tcBorders/>
            <w:vAlign w:val="center"/>
          </w:tcPr>
          <w:p>
            <w:pPr>
              <w:pStyle w:val="TableContents"/>
              <w:bidi w:val="0"/>
              <w:spacing w:before="0" w:after="283"/>
              <w:jc w:val="left"/>
              <w:rPr/>
            </w:pPr>
            <w:r>
              <w:rPr/>
              <w:t> </w:t>
            </w:r>
          </w:p>
        </w:tc>
        <w:tc>
          <w:tcPr>
            <w:tcW w:w="9733" w:type="dxa"/>
            <w:tcBorders/>
            <w:vAlign w:val="center"/>
          </w:tcPr>
          <w:p>
            <w:pPr>
              <w:pStyle w:val="TableContents"/>
              <w:bidi w:val="0"/>
              <w:spacing w:before="0" w:after="283"/>
              <w:jc w:val="both"/>
              <w:rPr/>
            </w:pPr>
            <w:r>
              <w:rPr/>
              <w:t>Includes investments in PennantPark Senior Secured Loan Fund I LLC, or PSSL, an unconsolidated joint venture, totaling $310.3 million, at fair value.</w:t>
            </w:r>
          </w:p>
        </w:tc>
      </w:tr>
      <w:tr>
        <w:trPr/>
        <w:tc>
          <w:tcPr>
            <w:tcW w:w="326" w:type="dxa"/>
            <w:tcBorders/>
            <w:vAlign w:val="center"/>
          </w:tcPr>
          <w:p>
            <w:pPr>
              <w:pStyle w:val="TableContents"/>
              <w:bidi w:val="0"/>
              <w:spacing w:before="0" w:after="283"/>
              <w:jc w:val="left"/>
              <w:rPr/>
            </w:pPr>
            <w:r>
              <w:rPr/>
              <w:t>(2)</w:t>
            </w:r>
          </w:p>
        </w:tc>
        <w:tc>
          <w:tcPr>
            <w:tcW w:w="146" w:type="dxa"/>
            <w:tcBorders/>
            <w:vAlign w:val="center"/>
          </w:tcPr>
          <w:p>
            <w:pPr>
              <w:pStyle w:val="TableContents"/>
              <w:bidi w:val="0"/>
              <w:spacing w:before="0" w:after="283"/>
              <w:jc w:val="left"/>
              <w:rPr/>
            </w:pPr>
            <w:r>
              <w:rPr/>
              <w:t> </w:t>
            </w:r>
          </w:p>
        </w:tc>
        <w:tc>
          <w:tcPr>
            <w:tcW w:w="9733" w:type="dxa"/>
            <w:tcBorders/>
            <w:vAlign w:val="center"/>
          </w:tcPr>
          <w:p>
            <w:pPr>
              <w:pStyle w:val="TableContents"/>
              <w:bidi w:val="0"/>
              <w:spacing w:before="0" w:after="283"/>
              <w:jc w:val="both"/>
              <w:rPr/>
            </w:pPr>
            <w:r>
              <w:rPr/>
              <w:t>Includes investments in PennatPark Senior Secured Loan Fund II LLC, or PSSL II, an unconsolidated joint venture, totaling $56.2 million, at fair value.</w:t>
            </w:r>
          </w:p>
        </w:tc>
      </w:tr>
      <w:tr>
        <w:trPr/>
        <w:tc>
          <w:tcPr>
            <w:tcW w:w="326" w:type="dxa"/>
            <w:tcBorders/>
            <w:vAlign w:val="center"/>
          </w:tcPr>
          <w:p>
            <w:pPr>
              <w:pStyle w:val="TableContents"/>
              <w:bidi w:val="0"/>
              <w:spacing w:before="0" w:after="283"/>
              <w:jc w:val="left"/>
              <w:rPr/>
            </w:pPr>
            <w:r>
              <w:rPr/>
              <w:t>(3)</w:t>
            </w:r>
          </w:p>
        </w:tc>
        <w:tc>
          <w:tcPr>
            <w:tcW w:w="146" w:type="dxa"/>
            <w:tcBorders/>
            <w:vAlign w:val="center"/>
          </w:tcPr>
          <w:p>
            <w:pPr>
              <w:pStyle w:val="TableContents"/>
              <w:bidi w:val="0"/>
              <w:spacing w:before="0" w:after="283"/>
              <w:jc w:val="left"/>
              <w:rPr/>
            </w:pPr>
            <w:r>
              <w:rPr/>
              <w:t> </w:t>
            </w:r>
          </w:p>
        </w:tc>
        <w:tc>
          <w:tcPr>
            <w:tcW w:w="9733" w:type="dxa"/>
            <w:tcBorders/>
            <w:vAlign w:val="center"/>
          </w:tcPr>
          <w:p>
            <w:pPr>
              <w:pStyle w:val="TableContents"/>
              <w:bidi w:val="0"/>
              <w:spacing w:before="0" w:after="283"/>
              <w:jc w:val="both"/>
              <w:rPr/>
            </w:pPr>
            <w:r>
              <w:rPr/>
              <w:t>Core net investment income (“Core NII”) is a non-GAAP financial measure. The Company believes that Core NII provides useful information to investors and management because it reflects the Company's financial performance excluding one-time or non-recurring investment income and expenses. The presentation of this additional information is not meant to be considered in isolation or as a substitute for financial results prepared in accordance with GAAP. For the quarter ended December 31, 2025, Core NII excluded: i) $0.5m of credit facility amendment costs and ii) $0.1m of incentive fee expense.</w:t>
            </w:r>
          </w:p>
        </w:tc>
      </w:tr>
      <w:tr>
        <w:trPr/>
        <w:tc>
          <w:tcPr>
            <w:tcW w:w="3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733" w:type="dxa"/>
            <w:tcBorders/>
            <w:vAlign w:val="center"/>
          </w:tcPr>
          <w:p>
            <w:pPr>
              <w:pStyle w:val="TableContents"/>
              <w:bidi w:val="0"/>
              <w:spacing w:before="0" w:after="283"/>
              <w:jc w:val="left"/>
              <w:rPr/>
            </w:pPr>
            <w:r>
              <w:rPr/>
              <w:t> </w:t>
            </w:r>
          </w:p>
        </w:tc>
      </w:tr>
    </w:tbl>
    <w:p>
      <w:pPr>
        <w:pStyle w:val="TextBody"/>
        <w:bidi w:val="0"/>
        <w:jc w:val="both"/>
        <w:rPr/>
      </w:pPr>
      <w:r>
        <w:rPr>
          <w:rStyle w:val="StrongEmphasis"/>
        </w:rPr>
        <w:t>CONFERENCE CALL AT 9:00 A.M. ET ON FEBRUARY 10, 2026 </w:t>
      </w:r>
    </w:p>
    <w:p>
      <w:pPr>
        <w:pStyle w:val="TextBody"/>
        <w:bidi w:val="0"/>
        <w:jc w:val="both"/>
        <w:rPr/>
      </w:pPr>
      <w:r>
        <w:rPr/>
        <w:t>The Company will also host a conference call at 9:00 a.m. (Eastern Time) on Tuesday, February 10, 2026 to discuss its financial results. All interested parties are welcome to participate. You can access the conference call by dialing toll-free (800) 330-6710 approximately 5-10 minutes prior to the call. International callers should dial (646) 769-9200. All callers should reference conference ID #9076698 or PennantPark Floating Rate Capital Ltd. An archived replay will also be available on a webcast link located on the Quarterly Earnings page in the Investor section of PennantPark’s website.</w:t>
      </w:r>
    </w:p>
    <w:p>
      <w:pPr>
        <w:pStyle w:val="TextBody"/>
        <w:bidi w:val="0"/>
        <w:jc w:val="both"/>
        <w:rPr/>
      </w:pPr>
      <w:r>
        <w:rPr>
          <w:rStyle w:val="StrongEmphasis"/>
        </w:rPr>
        <w:t>PORTFOLIO AND INVESTMENT ACTIVITY</w:t>
      </w:r>
    </w:p>
    <w:p>
      <w:pPr>
        <w:pStyle w:val="TextBody"/>
        <w:bidi w:val="0"/>
        <w:jc w:val="both"/>
        <w:rPr/>
      </w:pPr>
      <w:r>
        <w:rPr/>
        <w:t>“</w:t>
      </w:r>
      <w:r>
        <w:rPr/>
        <w:t>We are pleased with the momentum of our new joint venture, PSSL II, which commenced operations and invested approximately $200 million during the quarter. Following quarter end, the joint venture purchased investments of approximately $130 million bringing total assets to approximately $325 million. Additionally, PSSL II upsized its credit facility, further supporting the plans to grow the NII of PFLT with a goal of dividend coverage" said Art Penn, Chairman and CEO. "Our portfolio continues to perform well, and we remain confident in its durability, underpinned by our disciplined approach to investing in the core middle market."</w:t>
      </w:r>
    </w:p>
    <w:p>
      <w:pPr>
        <w:pStyle w:val="TextBody"/>
        <w:bidi w:val="0"/>
        <w:jc w:val="both"/>
        <w:rPr/>
      </w:pPr>
      <w:r>
        <w:rPr/>
        <w:t>As of December 31, 2025, our portfolio totaled $2,605.3 million, and consisted of $2,310.2 million of first lien secured debt (including $237.7 million in PSSL and $39.4 million in PSSL II), $20.1 million of second lien and subordinated debt and $275.0 million of preferred and common equity (including $72.7 million in PSSL and $16.9 million in PSSL II). Our debt portfolio consisted of approximately 99% variable-rate investments. As of December 31, 2025, we had four portfolio companies on non-accrual, representing 0.5% and 0.1% of our overall portfolio on a cost and fair value basis, respectively. As of December 31, 2025, the portfolio had net unrealized depreciation of $78.4 million. Our overall portfolio consisted of 160 companies with an average investment size of $16.3 million and had a weighted average yield on debt investments of 9.9%.</w:t>
      </w:r>
    </w:p>
    <w:p>
      <w:pPr>
        <w:pStyle w:val="TextBody"/>
        <w:bidi w:val="0"/>
        <w:jc w:val="both"/>
        <w:rPr/>
      </w:pPr>
      <w:r>
        <w:rPr/>
        <w:t>As of September 30, 2025, our portfolio totaled $2,773.3 million and consisted of $2,513.6 million of first lien secured debt (including $237.7 million in PSSL), $19.0 million of second lien and subordinated debt and $240.7 million of preferred and common equity (including $44.3 million in PSSL). Our debt portfolio consisted of approximately 99% variable-rate investments. As of September 30, 2025, we had three portfolio companies on non-accrual, representing 0.4% and 0.2% of our overall portfolio on a cost and fair value basis, respectively. As of September 30, 2025, the portfolio had net unrealized depreciation of $46.1 million. Our overall portfolio consisted of 164 companies with an average investment size of $16.9 million, and a weighted average yield on debt investments of 10.2%.</w:t>
      </w:r>
    </w:p>
    <w:p>
      <w:pPr>
        <w:pStyle w:val="TextBody"/>
        <w:bidi w:val="0"/>
        <w:jc w:val="both"/>
        <w:rPr/>
      </w:pPr>
      <w:r>
        <w:rPr/>
        <w:t>For the three months ended December 31, 2025, we invested $301.0 million in four new and 51 existing portfolio companies at a weighted average yield on debt investments of 10.0%. Sales and repayments of investments for the same period totaled $441.4 million including $132.5 million of sales to PSSL and $196.5 million of sales to PSSL II. For the three months ended December 31, 2024, we invested $606.9 million in 11 new and 58 existing portfolio companies with a weighted average yield on debt investments of 10.3%. Sales and repayments of investments for the same period totaled $401.3 million, including $187.7 million of sales to PSSL.</w:t>
      </w:r>
    </w:p>
    <w:p>
      <w:pPr>
        <w:pStyle w:val="TextBody"/>
        <w:bidi w:val="0"/>
        <w:jc w:val="both"/>
        <w:rPr/>
      </w:pPr>
      <w:r>
        <w:rPr>
          <w:rStyle w:val="StrongEmphasis"/>
        </w:rPr>
        <w:t>PennantPark Senior Secured Loan Fund I LLC</w:t>
      </w:r>
    </w:p>
    <w:p>
      <w:pPr>
        <w:pStyle w:val="TextBody"/>
        <w:bidi w:val="0"/>
        <w:jc w:val="both"/>
        <w:rPr/>
      </w:pPr>
      <w:r>
        <w:rPr/>
        <w:t>As of December 31, 2025, PSSL’s portfolio totaled $1,195.0 million, consisted of 120 companies with an average investment size of $10.0 million and had a weighted average yield on debt investments of 9.6%. As of September 30, 2025, PSSL’s portfolio totaled $1,084.6 million, consisted of 117 companies with an average investment size of $9.3 million and had a weighted average yield on debt investments of 10.1%.</w:t>
      </w:r>
    </w:p>
    <w:p>
      <w:pPr>
        <w:pStyle w:val="TextBody"/>
        <w:bidi w:val="0"/>
        <w:jc w:val="both"/>
        <w:rPr/>
      </w:pPr>
      <w:r>
        <w:rPr/>
        <w:t>For the three months ended December 31, 2025, PSSL invested $133.8 million (including $132.5 million purchase from the Company) in four new and 17 existing portfolio companies with a weighted average yield on debt investments of 9.4%. PSSL’s sales and repayments of investments for the same period totaled $12.4 million. For the three months ended December 31, 2024, PSSL invested $224.9 million (including $187.7 million purchased from the Company) in 17 new and eight existing portfolio companies with a weighted average yield on debt investments of 10.3%. PSSL’s sales and repayments of investments for the same period totaled $86.6 million.</w:t>
      </w:r>
    </w:p>
    <w:p>
      <w:pPr>
        <w:pStyle w:val="TextBody"/>
        <w:bidi w:val="0"/>
        <w:jc w:val="both"/>
        <w:rPr/>
      </w:pPr>
      <w:r>
        <w:rPr>
          <w:rStyle w:val="StrongEmphasis"/>
        </w:rPr>
        <w:t>PennantPark Senior Secured Loan Fund II LLC</w:t>
      </w:r>
    </w:p>
    <w:p>
      <w:pPr>
        <w:pStyle w:val="TextBody"/>
        <w:bidi w:val="0"/>
        <w:jc w:val="both"/>
        <w:rPr/>
      </w:pPr>
      <w:r>
        <w:rPr/>
        <w:t>As of December 31, 2025, PSSL II’s portfolio totaled $193.2 million and consisted of 41 companies with an average investment size of $4.7 million and at a weighted average yield on debt investments of 9.0%.</w:t>
      </w:r>
    </w:p>
    <w:p>
      <w:pPr>
        <w:pStyle w:val="TextBody"/>
        <w:bidi w:val="0"/>
        <w:jc w:val="both"/>
        <w:rPr/>
      </w:pPr>
      <w:r>
        <w:rPr/>
        <w:t>For the three months ended December 31, 2025, PSSL II invested $196.5 million (including $196.5 million purchased from the Company) in 42 new and zero existing portfolio companies at a weighted average yield on debt investments of 9.3%. Sales and repayments of investments for the three months ended December 31, 2025 totaled $2.9 million.</w:t>
      </w:r>
    </w:p>
    <w:p>
      <w:pPr>
        <w:pStyle w:val="TextBody"/>
        <w:bidi w:val="0"/>
        <w:jc w:val="both"/>
        <w:rPr/>
      </w:pPr>
      <w:r>
        <w:rPr>
          <w:rStyle w:val="StrongEmphasis"/>
        </w:rPr>
        <w:t xml:space="preserve">RESULTS OF OPERATIONS </w:t>
      </w:r>
    </w:p>
    <w:p>
      <w:pPr>
        <w:pStyle w:val="TextBody"/>
        <w:bidi w:val="0"/>
        <w:spacing w:before="0" w:after="283"/>
        <w:jc w:val="left"/>
        <w:rPr/>
      </w:pPr>
      <w:r>
        <w:rPr/>
        <w:t>Set forth below are the results of operations for the three months ended December 31, 2025 and 2024.</w:t>
      </w:r>
    </w:p>
    <w:p>
      <w:pPr>
        <w:pStyle w:val="TextBody"/>
        <w:bidi w:val="0"/>
        <w:jc w:val="both"/>
        <w:rPr/>
      </w:pPr>
      <w:r>
        <w:rPr>
          <w:rStyle w:val="StrongEmphasis"/>
        </w:rPr>
        <w:t>Investment Income</w:t>
      </w:r>
    </w:p>
    <w:p>
      <w:pPr>
        <w:pStyle w:val="TextBody"/>
        <w:bidi w:val="0"/>
        <w:jc w:val="both"/>
        <w:rPr/>
      </w:pPr>
      <w:r>
        <w:rPr/>
        <w:t>For the three months ended December 31, 2025 investment income was $70.1 million, which was attributable to $64.2 million from first lien secured debt and $5.9 million from other investments. For the three months ended December 31, 2024, investment income was $67.0 million, which was attributable to $61.0 million from first lien secured debt and $6.0 million from other investments. The increase in investment income for the three months ended December 31, 2025, was primarily due to the increase in the size of the debt portfolio.</w:t>
      </w:r>
    </w:p>
    <w:p>
      <w:pPr>
        <w:pStyle w:val="TextBody"/>
        <w:bidi w:val="0"/>
        <w:jc w:val="both"/>
        <w:rPr/>
      </w:pPr>
      <w:r>
        <w:rPr>
          <w:rStyle w:val="StrongEmphasis"/>
        </w:rPr>
        <w:t>Expenses</w:t>
      </w:r>
    </w:p>
    <w:p>
      <w:pPr>
        <w:pStyle w:val="TextBody"/>
        <w:bidi w:val="0"/>
        <w:jc w:val="both"/>
        <w:rPr/>
      </w:pPr>
      <w:r>
        <w:rPr/>
        <w:t>For the three months ended December 31, 2025, expenses totaled $43.5 million and were comprised of: $27.2 million of debt related interest and expenses, $6.8 million of base management fees, $6.7 million of performance-based incentive fees, $2.1 million of general and administrative expenses, $0.2 million of taxes and $0.5 million in Credit Facility amendment costs. For the three months ended December 31, 2024, expenses totaled $37.0 million and were comprised of: $22.4 million of debt related interest and expenses, $5.3 million of base management fees, $7.5 million of performance-based incentive fees, $1.7 million of general and administrative expenses and $0.2 million of taxes. The increase in expenses for the three months ended December 31, 2025, was primarily due to the increase in interest expense from increased borrowings as a result of the increase in our investment portfolio.</w:t>
      </w:r>
    </w:p>
    <w:p>
      <w:pPr>
        <w:pStyle w:val="TextBody"/>
        <w:bidi w:val="0"/>
        <w:jc w:val="both"/>
        <w:rPr/>
      </w:pPr>
      <w:r>
        <w:rPr>
          <w:rStyle w:val="StrongEmphasis"/>
        </w:rPr>
        <w:t>Net Investment Income</w:t>
      </w:r>
    </w:p>
    <w:p>
      <w:pPr>
        <w:pStyle w:val="TextBody"/>
        <w:bidi w:val="0"/>
        <w:jc w:val="both"/>
        <w:rPr/>
      </w:pPr>
      <w:r>
        <w:rPr/>
        <w:t>For the three months ended December 31, 2025 and 2024, net investment income totaled $26.6 million or $0.27 per share, and $30.0 million or $0.37 per share, respectively. The decrease in net investment income for the three months ended December 31, 2025, was primarily due to an increase in interest expense and one time credit facility amendment costs.</w:t>
      </w:r>
    </w:p>
    <w:p>
      <w:pPr>
        <w:pStyle w:val="TextBody"/>
        <w:bidi w:val="0"/>
        <w:jc w:val="both"/>
        <w:rPr/>
      </w:pPr>
      <w:r>
        <w:rPr>
          <w:rStyle w:val="StrongEmphasis"/>
        </w:rPr>
        <w:t>Net Realized Gains or Losses</w:t>
      </w:r>
    </w:p>
    <w:p>
      <w:pPr>
        <w:pStyle w:val="TextBody"/>
        <w:bidi w:val="0"/>
        <w:jc w:val="both"/>
        <w:rPr/>
      </w:pPr>
      <w:r>
        <w:rPr/>
        <w:t>For the three months ended December 31, 2025 and 2024, net realized gains (losses) totaled $1.5 million and $26.7 million, respectively. The change in net realized gains (losses) was primarily due to changes in the market conditions of our investments and the values at which they were realized.</w:t>
      </w:r>
    </w:p>
    <w:p>
      <w:pPr>
        <w:pStyle w:val="TextBody"/>
        <w:bidi w:val="0"/>
        <w:spacing w:before="0" w:after="283"/>
        <w:jc w:val="left"/>
        <w:rPr/>
      </w:pPr>
      <w:r>
        <w:rPr>
          <w:rStyle w:val="StrongEmphasis"/>
        </w:rPr>
        <w:t>Unrealized Appreciation or Depreciation on Investments and Debt</w:t>
      </w:r>
    </w:p>
    <w:p>
      <w:pPr>
        <w:pStyle w:val="TextBody"/>
        <w:bidi w:val="0"/>
        <w:jc w:val="both"/>
        <w:rPr/>
      </w:pPr>
      <w:r>
        <w:rPr/>
        <w:t>For the three months ended December 31, 2025 and 2024, we reported net change in unrealized appreciation (depreciation) on investments of $(32.3) million and $(29.0) million, respectively. As of December 31, 2025 and September 30, 2025, our net unrealized appreciation (depreciation) on investments totaled $(78.4) million and $(46.1) million, respectively. The net change in unrealized appreciation (depreciation) on our investments was primarily due to the operating performance of the portfolio companies within our portfolio, changes in the capital market conditions of our investments, and realization of investments.</w:t>
      </w:r>
    </w:p>
    <w:p>
      <w:pPr>
        <w:pStyle w:val="TextBody"/>
        <w:bidi w:val="0"/>
        <w:jc w:val="both"/>
        <w:rPr/>
      </w:pPr>
      <w:r>
        <w:rPr/>
        <w:t>For the three months ended December 31, 2025 and 2024, our Credit Facility had a net change in unrealized appreciation (depreciation) of less than ($0.1) million and $0.1 million, respectively. As of December 31, 2025 and September 30, 2025, the net unrealized appreciation (depreciation) on the Credit Facility totaled zero, respectively. The net change in net unrealized (appreciation) or depreciation was primarily due to changes in the capital markets.</w:t>
      </w:r>
    </w:p>
    <w:p>
      <w:pPr>
        <w:pStyle w:val="TextBody"/>
        <w:bidi w:val="0"/>
        <w:jc w:val="both"/>
        <w:rPr/>
      </w:pPr>
      <w:r>
        <w:rPr>
          <w:rStyle w:val="StrongEmphasis"/>
        </w:rPr>
        <w:t>Net Change in Net Assets Resulting from Operations</w:t>
      </w:r>
    </w:p>
    <w:p>
      <w:pPr>
        <w:pStyle w:val="TextBody"/>
        <w:bidi w:val="0"/>
        <w:jc w:val="both"/>
        <w:rPr/>
      </w:pPr>
      <w:r>
        <w:rPr/>
        <w:t>For the three months ended December 31, 2025 and 2024, net increase (decrease) in net assets resulting from operations totaled $(3.6) million or $(0.04) per share and $28.3 million, or $0.35 per share, respectively. The net increase or (decrease) from operations for the three months ended December 31, 2025, was primarily due to operating performance of our portfolio and changes in capital market conditions of our investments along with change in size and cost yield of our debt portfolio and costs of financing.</w:t>
      </w:r>
    </w:p>
    <w:p>
      <w:pPr>
        <w:pStyle w:val="TextBody"/>
        <w:bidi w:val="0"/>
        <w:jc w:val="both"/>
        <w:rPr/>
      </w:pPr>
      <w:r>
        <w:rPr>
          <w:rStyle w:val="StrongEmphasis"/>
        </w:rPr>
        <w:t>LIQUIDITY AND CAPITAL RESOURCES</w:t>
      </w:r>
    </w:p>
    <w:p>
      <w:pPr>
        <w:pStyle w:val="TextBody"/>
        <w:bidi w:val="0"/>
        <w:jc w:val="both"/>
        <w:rPr/>
      </w:pPr>
      <w:r>
        <w:rPr/>
        <w:t>Our liquidity and capital resources are derived primarily from cash flows from operations, including income earned, proceeds from investment sales and repayments, and proceeds of securities offerings and debt financings. Our primary use of funds from operations includes investments in portfolio companies and payments of fees and other operating expenses we incur. We have used, and expect to continue to use, our debt capital, proceeds from our portfolio and proceeds from public and private offerings of securities to finance our investment objectives and operations.</w:t>
      </w:r>
    </w:p>
    <w:p>
      <w:pPr>
        <w:pStyle w:val="TextBody"/>
        <w:bidi w:val="0"/>
        <w:jc w:val="both"/>
        <w:rPr/>
      </w:pPr>
      <w:r>
        <w:rPr/>
        <w:t>For the three months ended December 31, 2025 and 2024, the annualized weighted average cost of debt, inclusive of the fee on the undrawn commitment on the Credit Facility, amendment costs and debt issuance costs, was 6.2% and 7.0%, respectively. As of December 31, 2025 and September 30, 2025, we had $279.1 million and $34.1 million of unused borrowing capacity under the Credit Facility, respectively, subject to leverage and borrowing base restrictions.</w:t>
      </w:r>
    </w:p>
    <w:p>
      <w:pPr>
        <w:pStyle w:val="TextBody"/>
        <w:bidi w:val="0"/>
        <w:jc w:val="both"/>
        <w:rPr/>
      </w:pPr>
      <w:r>
        <w:rPr/>
        <w:t>As of December 31, 2025 and September 30, 2025, we had cash and cash equivalents of $95.3 million and $122.7 million, respectively, available for investing and general corporate purposes. We believe our liquidity and capital resources are sufficient to take advantage of market opportunities.</w:t>
      </w:r>
    </w:p>
    <w:p>
      <w:pPr>
        <w:pStyle w:val="TextBody"/>
        <w:bidi w:val="0"/>
        <w:jc w:val="both"/>
        <w:rPr/>
      </w:pPr>
      <w:r>
        <w:rPr/>
        <w:t>During the three months ended December 31, 2025 we did not issue any shares of our common stock under the ATM Programs. During the three months ended December 31, 2024 we issued 7,276,000 shares of our common stock under the ATM Programs. During the three months ended December 31, 2024, shares were issued at a weighted average price of $11.30 per share, resulting in net proceeds of $82.2 million after commissions to the sales agents and inclusive of proceeds from the Investment Adviser to ensure that all shares were sold at or above NAV.</w:t>
      </w:r>
    </w:p>
    <w:p>
      <w:pPr>
        <w:pStyle w:val="TextBody"/>
        <w:bidi w:val="0"/>
        <w:jc w:val="both"/>
        <w:rPr/>
      </w:pPr>
      <w:r>
        <w:rPr/>
        <w:t>For the three months ended December 31, 2025, our operating activities provided cash of $148.6 million and our financing activities used cash of $176.0 million. Our operating activities provided cash primarily due to our investment activities and our financing activities used cash primarily due to repayments of our Credit Facility offset by proceeds received from the sale of $28.5 million of 2037 Class D Notes and $21.0 million of 2036-R Asset-Backed Debt D-R Notes to third parties.</w:t>
      </w:r>
    </w:p>
    <w:p>
      <w:pPr>
        <w:pStyle w:val="TextBody"/>
        <w:bidi w:val="0"/>
        <w:jc w:val="both"/>
        <w:rPr/>
      </w:pPr>
      <w:r>
        <w:rPr/>
        <w:t>For the three months ended December 31, 2024, our operating activities used cash of $232.7 million and our financing activities provided cash of $222.9 million. Our operating activities used cash primarily due to our investment activities and our financing activities provided cash primarily due to borrowings under the Credit Facility and proceeds from public offerings under our ATM program.</w:t>
      </w:r>
    </w:p>
    <w:p>
      <w:pPr>
        <w:pStyle w:val="TextBody"/>
        <w:bidi w:val="0"/>
        <w:jc w:val="both"/>
        <w:rPr/>
      </w:pPr>
      <w:r>
        <w:rPr>
          <w:rStyle w:val="StrongEmphasis"/>
        </w:rPr>
        <w:t>DISTRIBUTIONS</w:t>
      </w:r>
    </w:p>
    <w:p>
      <w:pPr>
        <w:pStyle w:val="TextBody"/>
        <w:bidi w:val="0"/>
        <w:jc w:val="both"/>
        <w:rPr/>
      </w:pPr>
      <w:r>
        <w:rPr/>
        <w:t>During the three months ended December 31, 2025 we declared distributions of $0.3075 per share for total distributions of $30.5 million. During the three months ended December 31, 2024, we declared distributions of $0.3075 per share for total distributions of $25.2 million.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pStyle w:val="TextBody"/>
        <w:bidi w:val="0"/>
        <w:jc w:val="both"/>
        <w:rPr/>
      </w:pPr>
      <w:r>
        <w:rPr>
          <w:rStyle w:val="StrongEmphasis"/>
        </w:rPr>
        <w:t>RECENT DEVELOPMENTS</w:t>
      </w:r>
    </w:p>
    <w:p>
      <w:pPr>
        <w:pStyle w:val="TextBody"/>
        <w:bidi w:val="0"/>
        <w:jc w:val="both"/>
        <w:rPr/>
      </w:pPr>
      <w:r>
        <w:rPr/>
        <w:t>In February 2026, PSSL II upsized its revolving credit facility to $250 million.</w:t>
      </w:r>
    </w:p>
    <w:p>
      <w:pPr>
        <w:pStyle w:val="TextBody"/>
        <w:bidi w:val="0"/>
        <w:jc w:val="both"/>
        <w:rPr/>
      </w:pPr>
      <w:r>
        <w:rPr/>
        <w:t>Subsequent to quarter end, the Company sold approximately $27 million of assets to PSSL and approximately $133 million of assets to PSSL II. Following these transactions and other portfolio activity post quarter end, the Company's total investment portfolio was approximately $2.54 billion and our debt to equity ratio was 1.5x.</w:t>
      </w:r>
    </w:p>
    <w:p>
      <w:pPr>
        <w:pStyle w:val="TextBody"/>
        <w:bidi w:val="0"/>
        <w:jc w:val="both"/>
        <w:rPr/>
      </w:pPr>
      <w:r>
        <w:rPr>
          <w:rStyle w:val="StrongEmphasis"/>
        </w:rPr>
        <w:t xml:space="preserve">AVAILABLE INFORMATION </w:t>
      </w:r>
    </w:p>
    <w:p>
      <w:pPr>
        <w:pStyle w:val="TextBody"/>
        <w:bidi w:val="0"/>
        <w:jc w:val="both"/>
        <w:rPr/>
      </w:pPr>
      <w:r>
        <w:rPr/>
        <w:t xml:space="preserve">The Company makes available on its website its Quarterly Report on Form 10-Q filed with the SEC, and stockholders may find such report on its website at </w:t>
      </w:r>
      <w:r>
        <w:rPr>
          <w:u w:val="single"/>
        </w:rPr>
        <w:t>www.pennantpark.com</w:t>
      </w:r>
      <w:r>
        <w:rPr/>
        <w:t>.</w:t>
      </w:r>
    </w:p>
    <w:p>
      <w:pPr>
        <w:pStyle w:val="TextBody"/>
        <w:bidi w:val="0"/>
        <w:jc w:val="center"/>
        <w:rPr/>
      </w:pPr>
      <w:r>
        <w:rPr/>
      </w:r>
    </w:p>
    <w:tbl>
      <w:tblPr>
        <w:tblW w:w="10205" w:type="dxa"/>
        <w:jc w:val="center"/>
        <w:tblInd w:w="0" w:type="dxa"/>
        <w:tblLayout w:type="fixed"/>
        <w:tblCellMar>
          <w:top w:w="28" w:type="dxa"/>
          <w:left w:w="28" w:type="dxa"/>
          <w:bottom w:w="28" w:type="dxa"/>
          <w:right w:w="28" w:type="dxa"/>
        </w:tblCellMar>
      </w:tblPr>
      <w:tblGrid>
        <w:gridCol w:w="6413"/>
        <w:gridCol w:w="281"/>
        <w:gridCol w:w="1325"/>
        <w:gridCol w:w="181"/>
        <w:gridCol w:w="146"/>
        <w:gridCol w:w="285"/>
        <w:gridCol w:w="1346"/>
        <w:gridCol w:w="228"/>
      </w:tblGrid>
      <w:tr>
        <w:trPr/>
        <w:tc>
          <w:tcPr>
            <w:tcW w:w="10205" w:type="dxa"/>
            <w:gridSpan w:val="8"/>
            <w:tcBorders/>
            <w:vAlign w:val="center"/>
          </w:tcPr>
          <w:p>
            <w:pPr>
              <w:pStyle w:val="TableContents"/>
              <w:bidi w:val="0"/>
              <w:spacing w:before="0" w:after="283"/>
              <w:jc w:val="center"/>
              <w:rPr/>
            </w:pPr>
            <w:r>
              <w:rPr>
                <w:rStyle w:val="StrongEmphasis"/>
              </w:rPr>
              <w:t>PENNANTPARK FLOATING RATE CAPITAL LTD. AND SUBSIDIARIES</w:t>
              <w:br/>
              <w:t>CONSOLIDATED STATEMENTS OF ASSETS AND LIABILITIES</w:t>
              <w:br/>
              <w:t>(in thousands, except per share data)</w:t>
            </w:r>
          </w:p>
        </w:tc>
      </w:tr>
      <w:tr>
        <w:trPr/>
        <w:tc>
          <w:tcPr>
            <w:tcW w:w="6413" w:type="dxa"/>
            <w:tcBorders/>
            <w:vAlign w:val="center"/>
          </w:tcPr>
          <w:p>
            <w:pPr>
              <w:pStyle w:val="TableContents"/>
              <w:bidi w:val="0"/>
              <w:spacing w:before="0" w:after="283"/>
              <w:jc w:val="left"/>
              <w:rPr/>
            </w:pPr>
            <w:r>
              <w:rPr/>
              <w:t> </w:t>
            </w:r>
          </w:p>
        </w:tc>
        <w:tc>
          <w:tcPr>
            <w:tcW w:w="1606" w:type="dxa"/>
            <w:gridSpan w:val="2"/>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31" w:type="dxa"/>
            <w:gridSpan w:val="2"/>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r>
      <w:tr>
        <w:trPr/>
        <w:tc>
          <w:tcPr>
            <w:tcW w:w="6413" w:type="dxa"/>
            <w:tcBorders/>
            <w:vAlign w:val="center"/>
          </w:tcPr>
          <w:p>
            <w:pPr>
              <w:pStyle w:val="TableContents"/>
              <w:bidi w:val="0"/>
              <w:spacing w:before="0" w:after="283"/>
              <w:jc w:val="center"/>
              <w:rPr/>
            </w:pPr>
            <w:r>
              <w:rPr/>
              <w:t> </w:t>
            </w:r>
          </w:p>
        </w:tc>
        <w:tc>
          <w:tcPr>
            <w:tcW w:w="1606"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December 31, 2025</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63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September 30, 2025</w:t>
            </w:r>
          </w:p>
        </w:tc>
        <w:tc>
          <w:tcPr>
            <w:tcW w:w="228" w:type="dxa"/>
            <w:tcBorders/>
            <w:vAlign w:val="center"/>
          </w:tcPr>
          <w:p>
            <w:pPr>
              <w:pStyle w:val="TableContents"/>
              <w:bidi w:val="0"/>
              <w:spacing w:before="0" w:after="283"/>
              <w:jc w:val="center"/>
              <w:rPr/>
            </w:pPr>
            <w:r>
              <w:rPr/>
              <w:t> </w:t>
            </w:r>
          </w:p>
        </w:tc>
      </w:tr>
      <w:tr>
        <w:trPr/>
        <w:tc>
          <w:tcPr>
            <w:tcW w:w="6413" w:type="dxa"/>
            <w:tcBorders/>
            <w:vAlign w:val="center"/>
          </w:tcPr>
          <w:p>
            <w:pPr>
              <w:pStyle w:val="TableContents"/>
              <w:bidi w:val="0"/>
              <w:spacing w:before="0" w:after="283"/>
              <w:jc w:val="center"/>
              <w:rPr/>
            </w:pPr>
            <w:r>
              <w:rPr/>
              <w:t> </w:t>
            </w:r>
          </w:p>
        </w:tc>
        <w:tc>
          <w:tcPr>
            <w:tcW w:w="1606" w:type="dxa"/>
            <w:gridSpan w:val="2"/>
            <w:tcBorders>
              <w:top w:val="single" w:sz="8" w:space="0" w:color="000000"/>
            </w:tcBorders>
            <w:tcMar>
              <w:left w:w="0" w:type="dxa"/>
              <w:bottom w:w="0" w:type="dxa"/>
              <w:right w:w="0" w:type="dxa"/>
            </w:tcMar>
            <w:vAlign w:val="center"/>
          </w:tcPr>
          <w:p>
            <w:pPr>
              <w:pStyle w:val="TableContents"/>
              <w:bidi w:val="0"/>
              <w:spacing w:before="0" w:after="283"/>
              <w:jc w:val="center"/>
              <w:rPr/>
            </w:pPr>
            <w:r>
              <w:rPr>
                <w:rStyle w:val="StrongEmphasis"/>
              </w:rPr>
              <w:t>(unaudited)</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631"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228" w:type="dxa"/>
            <w:tcBorders/>
            <w:vAlign w:val="center"/>
          </w:tcPr>
          <w:p>
            <w:pPr>
              <w:pStyle w:val="TableContents"/>
              <w:bidi w:val="0"/>
              <w:spacing w:before="0" w:after="283"/>
              <w:jc w:val="center"/>
              <w:rPr/>
            </w:pPr>
            <w:r>
              <w:rPr/>
              <w:t> </w:t>
            </w:r>
          </w:p>
        </w:tc>
      </w:tr>
      <w:tr>
        <w:trPr/>
        <w:tc>
          <w:tcPr>
            <w:tcW w:w="6413" w:type="dxa"/>
            <w:tcBorders/>
            <w:vAlign w:val="center"/>
          </w:tcPr>
          <w:p>
            <w:pPr>
              <w:pStyle w:val="TableContents"/>
              <w:bidi w:val="0"/>
              <w:spacing w:before="0" w:after="283"/>
              <w:jc w:val="left"/>
              <w:rPr/>
            </w:pPr>
            <w:r>
              <w:rPr>
                <w:rStyle w:val="StrongEmphasis"/>
              </w:rPr>
              <w:t>Assets</w:t>
            </w:r>
          </w:p>
        </w:tc>
        <w:tc>
          <w:tcPr>
            <w:tcW w:w="1606"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31"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r>
      <w:tr>
        <w:trPr/>
        <w:tc>
          <w:tcPr>
            <w:tcW w:w="6413" w:type="dxa"/>
            <w:tcBorders/>
            <w:vAlign w:val="center"/>
          </w:tcPr>
          <w:p>
            <w:pPr>
              <w:pStyle w:val="TableContents"/>
              <w:bidi w:val="0"/>
              <w:spacing w:before="0" w:after="283"/>
              <w:jc w:val="left"/>
              <w:rPr/>
            </w:pPr>
            <w:r>
              <w:rPr/>
              <w:t>Investments at fair value</w:t>
            </w:r>
          </w:p>
        </w:tc>
        <w:tc>
          <w:tcPr>
            <w:tcW w:w="1606"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31" w:type="dxa"/>
            <w:gridSpan w:val="2"/>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r>
      <w:tr>
        <w:trPr/>
        <w:tc>
          <w:tcPr>
            <w:tcW w:w="6413" w:type="dxa"/>
            <w:tcBorders/>
            <w:tcMar>
              <w:top w:w="0" w:type="dxa"/>
              <w:left w:w="0" w:type="dxa"/>
              <w:bottom w:w="0" w:type="dxa"/>
              <w:right w:w="0" w:type="dxa"/>
            </w:tcMar>
            <w:vAlign w:val="center"/>
          </w:tcPr>
          <w:p>
            <w:pPr>
              <w:pStyle w:val="TableContents"/>
              <w:bidi w:val="0"/>
              <w:spacing w:before="0" w:after="283"/>
              <w:jc w:val="left"/>
              <w:rPr/>
            </w:pPr>
            <w:r>
              <w:rPr/>
              <w:t>Non-controlled, non-affiliated investments (amortized cost— $2,226,700 and $2,458,018, respectively)</w:t>
            </w:r>
          </w:p>
        </w:tc>
        <w:tc>
          <w:tcPr>
            <w:tcW w:w="281"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right"/>
              <w:rPr/>
            </w:pPr>
            <w:r>
              <w:rPr/>
              <w:t>2,238,775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w:t>
            </w:r>
          </w:p>
        </w:tc>
        <w:tc>
          <w:tcPr>
            <w:tcW w:w="1346" w:type="dxa"/>
            <w:tcBorders/>
            <w:vAlign w:val="center"/>
          </w:tcPr>
          <w:p>
            <w:pPr>
              <w:pStyle w:val="TableContents"/>
              <w:bidi w:val="0"/>
              <w:spacing w:before="0" w:after="283"/>
              <w:jc w:val="right"/>
              <w:rPr/>
            </w:pPr>
            <w:r>
              <w:rPr/>
              <w:t>2,491,360</w:t>
            </w:r>
          </w:p>
        </w:tc>
        <w:tc>
          <w:tcPr>
            <w:tcW w:w="228" w:type="dxa"/>
            <w:tcBorders/>
            <w:vAlign w:val="center"/>
          </w:tcPr>
          <w:p>
            <w:pPr>
              <w:pStyle w:val="TableContents"/>
              <w:bidi w:val="0"/>
              <w:spacing w:before="0" w:after="283"/>
              <w:jc w:val="left"/>
              <w:rPr/>
            </w:pPr>
            <w:r>
              <w:rPr/>
              <w:t> </w:t>
            </w:r>
          </w:p>
        </w:tc>
      </w:tr>
      <w:tr>
        <w:trPr/>
        <w:tc>
          <w:tcPr>
            <w:tcW w:w="6413" w:type="dxa"/>
            <w:tcBorders/>
            <w:tcMar>
              <w:top w:w="0" w:type="dxa"/>
              <w:left w:w="0" w:type="dxa"/>
              <w:bottom w:w="0" w:type="dxa"/>
              <w:right w:w="0" w:type="dxa"/>
            </w:tcMar>
            <w:vAlign w:val="center"/>
          </w:tcPr>
          <w:p>
            <w:pPr>
              <w:pStyle w:val="TableContents"/>
              <w:bidi w:val="0"/>
              <w:spacing w:before="0" w:after="283"/>
              <w:jc w:val="left"/>
              <w:rPr/>
            </w:pPr>
            <w:r>
              <w:rPr/>
              <w:t>Controlled, affiliated investments (amortized cost— $457,000 and $361,375, respectively)</w:t>
            </w:r>
          </w:p>
        </w:tc>
        <w:tc>
          <w:tcPr>
            <w:tcW w:w="2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2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366,572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281,968</w:t>
            </w:r>
          </w:p>
        </w:tc>
        <w:tc>
          <w:tcPr>
            <w:tcW w:w="228" w:type="dxa"/>
            <w:tcBorders/>
            <w:vAlign w:val="center"/>
          </w:tcPr>
          <w:p>
            <w:pPr>
              <w:pStyle w:val="TableContents"/>
              <w:bidi w:val="0"/>
              <w:spacing w:before="0" w:after="283"/>
              <w:jc w:val="left"/>
              <w:rPr/>
            </w:pPr>
            <w:r>
              <w:rPr/>
              <w:t> </w:t>
            </w:r>
          </w:p>
        </w:tc>
      </w:tr>
      <w:tr>
        <w:trPr/>
        <w:tc>
          <w:tcPr>
            <w:tcW w:w="6413" w:type="dxa"/>
            <w:tcBorders/>
            <w:vAlign w:val="center"/>
          </w:tcPr>
          <w:p>
            <w:pPr>
              <w:pStyle w:val="TableContents"/>
              <w:bidi w:val="0"/>
              <w:spacing w:before="0" w:after="283"/>
              <w:jc w:val="left"/>
              <w:rPr/>
            </w:pPr>
            <w:r>
              <w:rPr/>
              <w:t>Total investments (amortized cost— $2,683,700 and $2,819,393, respectively)</w:t>
            </w:r>
          </w:p>
        </w:tc>
        <w:tc>
          <w:tcPr>
            <w:tcW w:w="2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32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2,605,347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34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2,773,328</w:t>
            </w:r>
          </w:p>
        </w:tc>
        <w:tc>
          <w:tcPr>
            <w:tcW w:w="228" w:type="dxa"/>
            <w:tcBorders/>
            <w:vAlign w:val="center"/>
          </w:tcPr>
          <w:p>
            <w:pPr>
              <w:pStyle w:val="TableContents"/>
              <w:bidi w:val="0"/>
              <w:spacing w:before="0" w:after="283"/>
              <w:jc w:val="left"/>
              <w:rPr/>
            </w:pPr>
            <w:r>
              <w:rPr/>
              <w:t> </w:t>
            </w:r>
          </w:p>
        </w:tc>
      </w:tr>
      <w:tr>
        <w:trPr/>
        <w:tc>
          <w:tcPr>
            <w:tcW w:w="6413" w:type="dxa"/>
            <w:tcBorders/>
            <w:vAlign w:val="center"/>
          </w:tcPr>
          <w:p>
            <w:pPr>
              <w:pStyle w:val="TableContents"/>
              <w:bidi w:val="0"/>
              <w:spacing w:before="0" w:after="283"/>
              <w:jc w:val="left"/>
              <w:rPr/>
            </w:pPr>
            <w:r>
              <w:rPr/>
              <w:t>Cash equivalents (cost— $40,143 and $40,729, respectively)</w:t>
            </w:r>
          </w:p>
        </w:tc>
        <w:tc>
          <w:tcPr>
            <w:tcW w:w="281"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40,143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46" w:type="dxa"/>
            <w:tcBorders/>
            <w:vAlign w:val="center"/>
          </w:tcPr>
          <w:p>
            <w:pPr>
              <w:pStyle w:val="TableContents"/>
              <w:bidi w:val="0"/>
              <w:spacing w:before="0" w:after="283"/>
              <w:jc w:val="right"/>
              <w:rPr/>
            </w:pPr>
            <w:r>
              <w:rPr/>
              <w:t>40,729</w:t>
            </w:r>
          </w:p>
        </w:tc>
        <w:tc>
          <w:tcPr>
            <w:tcW w:w="228" w:type="dxa"/>
            <w:tcBorders/>
            <w:vAlign w:val="center"/>
          </w:tcPr>
          <w:p>
            <w:pPr>
              <w:pStyle w:val="TableContents"/>
              <w:bidi w:val="0"/>
              <w:spacing w:before="0" w:after="283"/>
              <w:jc w:val="left"/>
              <w:rPr/>
            </w:pPr>
            <w:r>
              <w:rPr/>
              <w:t> </w:t>
            </w:r>
          </w:p>
        </w:tc>
      </w:tr>
      <w:tr>
        <w:trPr/>
        <w:tc>
          <w:tcPr>
            <w:tcW w:w="6413" w:type="dxa"/>
            <w:tcBorders/>
            <w:vAlign w:val="center"/>
          </w:tcPr>
          <w:p>
            <w:pPr>
              <w:pStyle w:val="TableContents"/>
              <w:bidi w:val="0"/>
              <w:spacing w:before="0" w:after="283"/>
              <w:jc w:val="left"/>
              <w:rPr/>
            </w:pPr>
            <w:r>
              <w:rPr/>
              <w:t>Cash (cost— $55,121 and $81,955, respectively)</w:t>
            </w:r>
          </w:p>
        </w:tc>
        <w:tc>
          <w:tcPr>
            <w:tcW w:w="281"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55,125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46" w:type="dxa"/>
            <w:tcBorders/>
            <w:vAlign w:val="center"/>
          </w:tcPr>
          <w:p>
            <w:pPr>
              <w:pStyle w:val="TableContents"/>
              <w:bidi w:val="0"/>
              <w:spacing w:before="0" w:after="283"/>
              <w:jc w:val="right"/>
              <w:rPr/>
            </w:pPr>
            <w:r>
              <w:rPr/>
              <w:t>81,959</w:t>
            </w:r>
          </w:p>
        </w:tc>
        <w:tc>
          <w:tcPr>
            <w:tcW w:w="228" w:type="dxa"/>
            <w:tcBorders/>
            <w:vAlign w:val="center"/>
          </w:tcPr>
          <w:p>
            <w:pPr>
              <w:pStyle w:val="TableContents"/>
              <w:bidi w:val="0"/>
              <w:spacing w:before="0" w:after="283"/>
              <w:jc w:val="left"/>
              <w:rPr/>
            </w:pPr>
            <w:r>
              <w:rPr/>
              <w:t> </w:t>
            </w:r>
          </w:p>
        </w:tc>
      </w:tr>
      <w:tr>
        <w:trPr/>
        <w:tc>
          <w:tcPr>
            <w:tcW w:w="6413" w:type="dxa"/>
            <w:tcBorders/>
            <w:vAlign w:val="center"/>
          </w:tcPr>
          <w:p>
            <w:pPr>
              <w:pStyle w:val="TableContents"/>
              <w:bidi w:val="0"/>
              <w:spacing w:before="0" w:after="283"/>
              <w:jc w:val="left"/>
              <w:rPr/>
            </w:pPr>
            <w:r>
              <w:rPr/>
              <w:t>Interest receivable</w:t>
            </w:r>
          </w:p>
        </w:tc>
        <w:tc>
          <w:tcPr>
            <w:tcW w:w="281"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13,017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46" w:type="dxa"/>
            <w:tcBorders/>
            <w:vAlign w:val="center"/>
          </w:tcPr>
          <w:p>
            <w:pPr>
              <w:pStyle w:val="TableContents"/>
              <w:bidi w:val="0"/>
              <w:spacing w:before="0" w:after="283"/>
              <w:jc w:val="right"/>
              <w:rPr/>
            </w:pPr>
            <w:r>
              <w:rPr/>
              <w:t>13,832</w:t>
            </w:r>
          </w:p>
        </w:tc>
        <w:tc>
          <w:tcPr>
            <w:tcW w:w="228" w:type="dxa"/>
            <w:tcBorders/>
            <w:vAlign w:val="center"/>
          </w:tcPr>
          <w:p>
            <w:pPr>
              <w:pStyle w:val="TableContents"/>
              <w:bidi w:val="0"/>
              <w:spacing w:before="0" w:after="283"/>
              <w:jc w:val="left"/>
              <w:rPr/>
            </w:pPr>
            <w:r>
              <w:rPr/>
              <w:t> </w:t>
            </w:r>
          </w:p>
        </w:tc>
      </w:tr>
      <w:tr>
        <w:trPr/>
        <w:tc>
          <w:tcPr>
            <w:tcW w:w="6413" w:type="dxa"/>
            <w:tcBorders/>
            <w:vAlign w:val="center"/>
          </w:tcPr>
          <w:p>
            <w:pPr>
              <w:pStyle w:val="TableContents"/>
              <w:bidi w:val="0"/>
              <w:spacing w:before="0" w:after="283"/>
              <w:jc w:val="left"/>
              <w:rPr/>
            </w:pPr>
            <w:r>
              <w:rPr/>
              <w:t>Receivable for investments sold</w:t>
            </w:r>
          </w:p>
        </w:tc>
        <w:tc>
          <w:tcPr>
            <w:tcW w:w="281"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37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46" w:type="dxa"/>
            <w:tcBorders/>
            <w:vAlign w:val="center"/>
          </w:tcPr>
          <w:p>
            <w:pPr>
              <w:pStyle w:val="TableContents"/>
              <w:bidi w:val="0"/>
              <w:spacing w:before="0" w:after="283"/>
              <w:jc w:val="right"/>
              <w:rPr/>
            </w:pPr>
            <w:r>
              <w:rPr/>
              <w:t>1,369</w:t>
            </w:r>
          </w:p>
        </w:tc>
        <w:tc>
          <w:tcPr>
            <w:tcW w:w="228" w:type="dxa"/>
            <w:tcBorders/>
            <w:vAlign w:val="center"/>
          </w:tcPr>
          <w:p>
            <w:pPr>
              <w:pStyle w:val="TableContents"/>
              <w:bidi w:val="0"/>
              <w:spacing w:before="0" w:after="283"/>
              <w:jc w:val="left"/>
              <w:rPr/>
            </w:pPr>
            <w:r>
              <w:rPr/>
              <w:t> </w:t>
            </w:r>
          </w:p>
        </w:tc>
      </w:tr>
      <w:tr>
        <w:trPr/>
        <w:tc>
          <w:tcPr>
            <w:tcW w:w="6413" w:type="dxa"/>
            <w:tcBorders/>
            <w:vAlign w:val="center"/>
          </w:tcPr>
          <w:p>
            <w:pPr>
              <w:pStyle w:val="TableContents"/>
              <w:bidi w:val="0"/>
              <w:spacing w:before="0" w:after="283"/>
              <w:jc w:val="left"/>
              <w:rPr/>
            </w:pPr>
            <w:r>
              <w:rPr/>
              <w:t>Due from affiliate</w:t>
            </w:r>
          </w:p>
        </w:tc>
        <w:tc>
          <w:tcPr>
            <w:tcW w:w="281"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239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46" w:type="dxa"/>
            <w:tcBorders/>
            <w:vAlign w:val="center"/>
          </w:tcPr>
          <w:p>
            <w:pPr>
              <w:pStyle w:val="TableContents"/>
              <w:bidi w:val="0"/>
              <w:spacing w:before="0" w:after="283"/>
              <w:jc w:val="right"/>
              <w:rPr/>
            </w:pPr>
            <w:r>
              <w:rPr/>
              <w:t>321</w:t>
            </w:r>
          </w:p>
        </w:tc>
        <w:tc>
          <w:tcPr>
            <w:tcW w:w="228" w:type="dxa"/>
            <w:tcBorders/>
            <w:vAlign w:val="center"/>
          </w:tcPr>
          <w:p>
            <w:pPr>
              <w:pStyle w:val="TableContents"/>
              <w:bidi w:val="0"/>
              <w:spacing w:before="0" w:after="283"/>
              <w:jc w:val="left"/>
              <w:rPr/>
            </w:pPr>
            <w:r>
              <w:rPr/>
              <w:t> </w:t>
            </w:r>
          </w:p>
        </w:tc>
      </w:tr>
      <w:tr>
        <w:trPr/>
        <w:tc>
          <w:tcPr>
            <w:tcW w:w="6413" w:type="dxa"/>
            <w:tcBorders/>
            <w:vAlign w:val="center"/>
          </w:tcPr>
          <w:p>
            <w:pPr>
              <w:pStyle w:val="TableContents"/>
              <w:bidi w:val="0"/>
              <w:spacing w:before="0" w:after="283"/>
              <w:jc w:val="left"/>
              <w:rPr/>
            </w:pPr>
            <w:r>
              <w:rPr/>
              <w:t>Prepaid expenses and other assets</w:t>
            </w:r>
          </w:p>
        </w:tc>
        <w:tc>
          <w:tcPr>
            <w:tcW w:w="2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2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2,174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2,143</w:t>
            </w:r>
          </w:p>
        </w:tc>
        <w:tc>
          <w:tcPr>
            <w:tcW w:w="228" w:type="dxa"/>
            <w:tcBorders/>
            <w:vAlign w:val="center"/>
          </w:tcPr>
          <w:p>
            <w:pPr>
              <w:pStyle w:val="TableContents"/>
              <w:bidi w:val="0"/>
              <w:spacing w:before="0" w:after="283"/>
              <w:jc w:val="left"/>
              <w:rPr/>
            </w:pPr>
            <w:r>
              <w:rPr/>
              <w:t> </w:t>
            </w:r>
          </w:p>
        </w:tc>
      </w:tr>
      <w:tr>
        <w:trPr/>
        <w:tc>
          <w:tcPr>
            <w:tcW w:w="6413"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assets</w:t>
            </w:r>
          </w:p>
        </w:tc>
        <w:tc>
          <w:tcPr>
            <w:tcW w:w="2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32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2,716,082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3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2,913,681</w:t>
            </w:r>
          </w:p>
        </w:tc>
        <w:tc>
          <w:tcPr>
            <w:tcW w:w="228" w:type="dxa"/>
            <w:tcBorders/>
            <w:vAlign w:val="center"/>
          </w:tcPr>
          <w:p>
            <w:pPr>
              <w:pStyle w:val="TableContents"/>
              <w:bidi w:val="0"/>
              <w:spacing w:before="0" w:after="283"/>
              <w:jc w:val="left"/>
              <w:rPr/>
            </w:pPr>
            <w:r>
              <w:rPr/>
              <w:t> </w:t>
            </w:r>
          </w:p>
        </w:tc>
      </w:tr>
      <w:tr>
        <w:trPr/>
        <w:tc>
          <w:tcPr>
            <w:tcW w:w="6413" w:type="dxa"/>
            <w:tcBorders/>
            <w:vAlign w:val="center"/>
          </w:tcPr>
          <w:p>
            <w:pPr>
              <w:pStyle w:val="TableContents"/>
              <w:bidi w:val="0"/>
              <w:spacing w:before="0" w:after="283"/>
              <w:jc w:val="left"/>
              <w:rPr/>
            </w:pPr>
            <w:r>
              <w:rPr>
                <w:rStyle w:val="StrongEmphasis"/>
              </w:rPr>
              <w:t>Liabilities</w:t>
            </w:r>
          </w:p>
        </w:tc>
        <w:tc>
          <w:tcPr>
            <w:tcW w:w="1606"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31"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r>
      <w:tr>
        <w:trPr/>
        <w:tc>
          <w:tcPr>
            <w:tcW w:w="6413" w:type="dxa"/>
            <w:tcBorders/>
            <w:vAlign w:val="center"/>
          </w:tcPr>
          <w:p>
            <w:pPr>
              <w:pStyle w:val="TableContents"/>
              <w:bidi w:val="0"/>
              <w:spacing w:before="0" w:after="283"/>
              <w:jc w:val="left"/>
              <w:rPr/>
            </w:pPr>
            <w:r>
              <w:rPr/>
              <w:t>Credit Facility payable, at fair value (cost— $488,855 and $683,855, respectively)</w:t>
            </w:r>
          </w:p>
        </w:tc>
        <w:tc>
          <w:tcPr>
            <w:tcW w:w="281"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488,859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46" w:type="dxa"/>
            <w:tcBorders/>
            <w:vAlign w:val="center"/>
          </w:tcPr>
          <w:p>
            <w:pPr>
              <w:pStyle w:val="TableContents"/>
              <w:bidi w:val="0"/>
              <w:spacing w:before="0" w:after="283"/>
              <w:jc w:val="right"/>
              <w:rPr/>
            </w:pPr>
            <w:r>
              <w:rPr/>
              <w:t>683,837</w:t>
            </w:r>
          </w:p>
        </w:tc>
        <w:tc>
          <w:tcPr>
            <w:tcW w:w="228" w:type="dxa"/>
            <w:tcBorders/>
            <w:vAlign w:val="center"/>
          </w:tcPr>
          <w:p>
            <w:pPr>
              <w:pStyle w:val="TableContents"/>
              <w:bidi w:val="0"/>
              <w:spacing w:before="0" w:after="283"/>
              <w:jc w:val="left"/>
              <w:rPr/>
            </w:pPr>
            <w:r>
              <w:rPr/>
              <w:t> </w:t>
            </w:r>
          </w:p>
        </w:tc>
      </w:tr>
      <w:tr>
        <w:trPr/>
        <w:tc>
          <w:tcPr>
            <w:tcW w:w="6413" w:type="dxa"/>
            <w:tcBorders/>
            <w:vAlign w:val="center"/>
          </w:tcPr>
          <w:p>
            <w:pPr>
              <w:pStyle w:val="TableContents"/>
              <w:bidi w:val="0"/>
              <w:spacing w:before="0" w:after="283"/>
              <w:jc w:val="left"/>
              <w:rPr/>
            </w:pPr>
            <w:r>
              <w:rPr/>
              <w:t>2026 Notes payable, net (par—$185,000) (unamortized deferred financing costs of $197 and $391, respectively)</w:t>
            </w:r>
          </w:p>
        </w:tc>
        <w:tc>
          <w:tcPr>
            <w:tcW w:w="281"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184,803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46" w:type="dxa"/>
            <w:tcBorders/>
            <w:vAlign w:val="center"/>
          </w:tcPr>
          <w:p>
            <w:pPr>
              <w:pStyle w:val="TableContents"/>
              <w:bidi w:val="0"/>
              <w:spacing w:before="0" w:after="283"/>
              <w:jc w:val="right"/>
              <w:rPr/>
            </w:pPr>
            <w:r>
              <w:rPr/>
              <w:t>184,609</w:t>
            </w:r>
          </w:p>
        </w:tc>
        <w:tc>
          <w:tcPr>
            <w:tcW w:w="228" w:type="dxa"/>
            <w:tcBorders/>
            <w:vAlign w:val="center"/>
          </w:tcPr>
          <w:p>
            <w:pPr>
              <w:pStyle w:val="TableContents"/>
              <w:bidi w:val="0"/>
              <w:spacing w:before="0" w:after="283"/>
              <w:jc w:val="left"/>
              <w:rPr/>
            </w:pPr>
            <w:r>
              <w:rPr/>
              <w:t> </w:t>
            </w:r>
          </w:p>
        </w:tc>
      </w:tr>
      <w:tr>
        <w:trPr/>
        <w:tc>
          <w:tcPr>
            <w:tcW w:w="6413" w:type="dxa"/>
            <w:tcBorders/>
            <w:vAlign w:val="center"/>
          </w:tcPr>
          <w:p>
            <w:pPr>
              <w:pStyle w:val="TableContents"/>
              <w:bidi w:val="0"/>
              <w:spacing w:before="0" w:after="283"/>
              <w:jc w:val="left"/>
              <w:rPr/>
            </w:pPr>
            <w:r>
              <w:rPr/>
              <w:t>2036 Asset-Backed Debt, net (par—$287,000) (unamortized deferred financing costs of $2,238 and $2,373, respectively)</w:t>
            </w:r>
          </w:p>
        </w:tc>
        <w:tc>
          <w:tcPr>
            <w:tcW w:w="281"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284,762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46" w:type="dxa"/>
            <w:tcBorders/>
            <w:vAlign w:val="center"/>
          </w:tcPr>
          <w:p>
            <w:pPr>
              <w:pStyle w:val="TableContents"/>
              <w:bidi w:val="0"/>
              <w:spacing w:before="0" w:after="283"/>
              <w:jc w:val="right"/>
              <w:rPr/>
            </w:pPr>
            <w:r>
              <w:rPr/>
              <w:t>284,627</w:t>
            </w:r>
          </w:p>
        </w:tc>
        <w:tc>
          <w:tcPr>
            <w:tcW w:w="228" w:type="dxa"/>
            <w:tcBorders/>
            <w:vAlign w:val="center"/>
          </w:tcPr>
          <w:p>
            <w:pPr>
              <w:pStyle w:val="TableContents"/>
              <w:bidi w:val="0"/>
              <w:spacing w:before="0" w:after="283"/>
              <w:jc w:val="left"/>
              <w:rPr/>
            </w:pPr>
            <w:r>
              <w:rPr/>
              <w:t> </w:t>
            </w:r>
          </w:p>
        </w:tc>
      </w:tr>
      <w:tr>
        <w:trPr/>
        <w:tc>
          <w:tcPr>
            <w:tcW w:w="6413" w:type="dxa"/>
            <w:tcBorders/>
            <w:vAlign w:val="center"/>
          </w:tcPr>
          <w:p>
            <w:pPr>
              <w:pStyle w:val="TableContents"/>
              <w:bidi w:val="0"/>
              <w:spacing w:before="0" w:after="283"/>
              <w:jc w:val="left"/>
              <w:rPr/>
            </w:pPr>
            <w:r>
              <w:rPr/>
              <w:t>2036-R Asset-Backed Debt, net (par— $287,000 and $266,000) (unamortized deferred financing costs of $439 and $634, respectively)</w:t>
            </w:r>
          </w:p>
        </w:tc>
        <w:tc>
          <w:tcPr>
            <w:tcW w:w="281"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286,561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46" w:type="dxa"/>
            <w:tcBorders/>
            <w:vAlign w:val="center"/>
          </w:tcPr>
          <w:p>
            <w:pPr>
              <w:pStyle w:val="TableContents"/>
              <w:bidi w:val="0"/>
              <w:spacing w:before="0" w:after="283"/>
              <w:jc w:val="right"/>
              <w:rPr/>
            </w:pPr>
            <w:r>
              <w:rPr/>
              <w:t>265,366</w:t>
            </w:r>
          </w:p>
        </w:tc>
        <w:tc>
          <w:tcPr>
            <w:tcW w:w="228" w:type="dxa"/>
            <w:tcBorders/>
            <w:vAlign w:val="center"/>
          </w:tcPr>
          <w:p>
            <w:pPr>
              <w:pStyle w:val="TableContents"/>
              <w:bidi w:val="0"/>
              <w:spacing w:before="0" w:after="283"/>
              <w:jc w:val="left"/>
              <w:rPr/>
            </w:pPr>
            <w:r>
              <w:rPr/>
              <w:t> </w:t>
            </w:r>
          </w:p>
        </w:tc>
      </w:tr>
      <w:tr>
        <w:trPr/>
        <w:tc>
          <w:tcPr>
            <w:tcW w:w="6413" w:type="dxa"/>
            <w:tcBorders/>
            <w:vAlign w:val="center"/>
          </w:tcPr>
          <w:p>
            <w:pPr>
              <w:pStyle w:val="TableContents"/>
              <w:bidi w:val="0"/>
              <w:spacing w:before="0" w:after="283"/>
              <w:jc w:val="left"/>
              <w:rPr/>
            </w:pPr>
            <w:r>
              <w:rPr/>
              <w:t>2037 Asset-Backed Debt, net (par— $389,500 and $361,000) (unamortized deferred financing costs of $2,475 and $2,669, respectively)</w:t>
            </w:r>
          </w:p>
        </w:tc>
        <w:tc>
          <w:tcPr>
            <w:tcW w:w="281"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387,025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46" w:type="dxa"/>
            <w:tcBorders/>
            <w:vAlign w:val="center"/>
          </w:tcPr>
          <w:p>
            <w:pPr>
              <w:pStyle w:val="TableContents"/>
              <w:bidi w:val="0"/>
              <w:spacing w:before="0" w:after="283"/>
              <w:jc w:val="right"/>
              <w:rPr/>
            </w:pPr>
            <w:r>
              <w:rPr/>
              <w:t>358,331</w:t>
            </w:r>
          </w:p>
        </w:tc>
        <w:tc>
          <w:tcPr>
            <w:tcW w:w="228" w:type="dxa"/>
            <w:tcBorders/>
            <w:vAlign w:val="center"/>
          </w:tcPr>
          <w:p>
            <w:pPr>
              <w:pStyle w:val="TableContents"/>
              <w:bidi w:val="0"/>
              <w:spacing w:before="0" w:after="283"/>
              <w:jc w:val="left"/>
              <w:rPr/>
            </w:pPr>
            <w:r>
              <w:rPr/>
              <w:t> </w:t>
            </w:r>
          </w:p>
        </w:tc>
      </w:tr>
      <w:tr>
        <w:trPr/>
        <w:tc>
          <w:tcPr>
            <w:tcW w:w="6413" w:type="dxa"/>
            <w:tcBorders/>
            <w:vAlign w:val="center"/>
          </w:tcPr>
          <w:p>
            <w:pPr>
              <w:pStyle w:val="TableContents"/>
              <w:bidi w:val="0"/>
              <w:spacing w:before="0" w:after="283"/>
              <w:jc w:val="left"/>
              <w:rPr/>
            </w:pPr>
            <w:r>
              <w:rPr/>
              <w:t>Payable for investments purchased</w:t>
            </w:r>
          </w:p>
        </w:tc>
        <w:tc>
          <w:tcPr>
            <w:tcW w:w="281"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46" w:type="dxa"/>
            <w:tcBorders/>
            <w:vAlign w:val="center"/>
          </w:tcPr>
          <w:p>
            <w:pPr>
              <w:pStyle w:val="TableContents"/>
              <w:bidi w:val="0"/>
              <w:spacing w:before="0" w:after="283"/>
              <w:jc w:val="right"/>
              <w:rPr/>
            </w:pPr>
            <w:r>
              <w:rPr/>
              <w:t>14,852</w:t>
            </w:r>
          </w:p>
        </w:tc>
        <w:tc>
          <w:tcPr>
            <w:tcW w:w="228" w:type="dxa"/>
            <w:tcBorders/>
            <w:vAlign w:val="center"/>
          </w:tcPr>
          <w:p>
            <w:pPr>
              <w:pStyle w:val="TableContents"/>
              <w:bidi w:val="0"/>
              <w:spacing w:before="0" w:after="283"/>
              <w:jc w:val="left"/>
              <w:rPr/>
            </w:pPr>
            <w:r>
              <w:rPr/>
              <w:t> </w:t>
            </w:r>
          </w:p>
        </w:tc>
      </w:tr>
      <w:tr>
        <w:trPr/>
        <w:tc>
          <w:tcPr>
            <w:tcW w:w="6413" w:type="dxa"/>
            <w:tcBorders/>
            <w:vAlign w:val="center"/>
          </w:tcPr>
          <w:p>
            <w:pPr>
              <w:pStyle w:val="TableContents"/>
              <w:bidi w:val="0"/>
              <w:spacing w:before="0" w:after="283"/>
              <w:jc w:val="left"/>
              <w:rPr/>
            </w:pPr>
            <w:r>
              <w:rPr/>
              <w:t>Interest payable on debt</w:t>
            </w:r>
          </w:p>
        </w:tc>
        <w:tc>
          <w:tcPr>
            <w:tcW w:w="281"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16,109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46" w:type="dxa"/>
            <w:tcBorders/>
            <w:vAlign w:val="center"/>
          </w:tcPr>
          <w:p>
            <w:pPr>
              <w:pStyle w:val="TableContents"/>
              <w:bidi w:val="0"/>
              <w:spacing w:before="0" w:after="283"/>
              <w:jc w:val="right"/>
              <w:rPr/>
            </w:pPr>
            <w:r>
              <w:rPr/>
              <w:t>19,172</w:t>
            </w:r>
          </w:p>
        </w:tc>
        <w:tc>
          <w:tcPr>
            <w:tcW w:w="228" w:type="dxa"/>
            <w:tcBorders/>
            <w:vAlign w:val="center"/>
          </w:tcPr>
          <w:p>
            <w:pPr>
              <w:pStyle w:val="TableContents"/>
              <w:bidi w:val="0"/>
              <w:spacing w:before="0" w:after="283"/>
              <w:jc w:val="left"/>
              <w:rPr/>
            </w:pPr>
            <w:r>
              <w:rPr/>
              <w:t> </w:t>
            </w:r>
          </w:p>
        </w:tc>
      </w:tr>
      <w:tr>
        <w:trPr/>
        <w:tc>
          <w:tcPr>
            <w:tcW w:w="6413" w:type="dxa"/>
            <w:tcBorders/>
            <w:vAlign w:val="center"/>
          </w:tcPr>
          <w:p>
            <w:pPr>
              <w:pStyle w:val="TableContents"/>
              <w:bidi w:val="0"/>
              <w:spacing w:before="0" w:after="283"/>
              <w:jc w:val="left"/>
              <w:rPr/>
            </w:pPr>
            <w:r>
              <w:rPr/>
              <w:t>Distributions payable</w:t>
            </w:r>
          </w:p>
        </w:tc>
        <w:tc>
          <w:tcPr>
            <w:tcW w:w="281"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10,170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46" w:type="dxa"/>
            <w:tcBorders/>
            <w:vAlign w:val="center"/>
          </w:tcPr>
          <w:p>
            <w:pPr>
              <w:pStyle w:val="TableContents"/>
              <w:bidi w:val="0"/>
              <w:spacing w:before="0" w:after="283"/>
              <w:jc w:val="right"/>
              <w:rPr/>
            </w:pPr>
            <w:r>
              <w:rPr/>
              <w:t>10,170</w:t>
            </w:r>
          </w:p>
        </w:tc>
        <w:tc>
          <w:tcPr>
            <w:tcW w:w="228" w:type="dxa"/>
            <w:tcBorders/>
            <w:vAlign w:val="center"/>
          </w:tcPr>
          <w:p>
            <w:pPr>
              <w:pStyle w:val="TableContents"/>
              <w:bidi w:val="0"/>
              <w:spacing w:before="0" w:after="283"/>
              <w:jc w:val="left"/>
              <w:rPr/>
            </w:pPr>
            <w:r>
              <w:rPr/>
              <w:t> </w:t>
            </w:r>
          </w:p>
        </w:tc>
      </w:tr>
      <w:tr>
        <w:trPr/>
        <w:tc>
          <w:tcPr>
            <w:tcW w:w="6413" w:type="dxa"/>
            <w:tcBorders/>
            <w:vAlign w:val="center"/>
          </w:tcPr>
          <w:p>
            <w:pPr>
              <w:pStyle w:val="TableContents"/>
              <w:bidi w:val="0"/>
              <w:spacing w:before="0" w:after="283"/>
              <w:jc w:val="left"/>
              <w:rPr/>
            </w:pPr>
            <w:r>
              <w:rPr/>
              <w:t>Base management fee payable</w:t>
            </w:r>
          </w:p>
        </w:tc>
        <w:tc>
          <w:tcPr>
            <w:tcW w:w="281"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6,814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46" w:type="dxa"/>
            <w:tcBorders/>
            <w:vAlign w:val="center"/>
          </w:tcPr>
          <w:p>
            <w:pPr>
              <w:pStyle w:val="TableContents"/>
              <w:bidi w:val="0"/>
              <w:spacing w:before="0" w:after="283"/>
              <w:jc w:val="right"/>
              <w:rPr/>
            </w:pPr>
            <w:r>
              <w:rPr/>
              <w:t>6,549</w:t>
            </w:r>
          </w:p>
        </w:tc>
        <w:tc>
          <w:tcPr>
            <w:tcW w:w="228" w:type="dxa"/>
            <w:tcBorders/>
            <w:vAlign w:val="center"/>
          </w:tcPr>
          <w:p>
            <w:pPr>
              <w:pStyle w:val="TableContents"/>
              <w:bidi w:val="0"/>
              <w:spacing w:before="0" w:after="283"/>
              <w:jc w:val="left"/>
              <w:rPr/>
            </w:pPr>
            <w:r>
              <w:rPr/>
              <w:t> </w:t>
            </w:r>
          </w:p>
        </w:tc>
      </w:tr>
      <w:tr>
        <w:trPr/>
        <w:tc>
          <w:tcPr>
            <w:tcW w:w="6413" w:type="dxa"/>
            <w:tcBorders/>
            <w:vAlign w:val="center"/>
          </w:tcPr>
          <w:p>
            <w:pPr>
              <w:pStyle w:val="TableContents"/>
              <w:bidi w:val="0"/>
              <w:spacing w:before="0" w:after="283"/>
              <w:jc w:val="left"/>
              <w:rPr/>
            </w:pPr>
            <w:r>
              <w:rPr/>
              <w:t>Incentive fee payable</w:t>
            </w:r>
          </w:p>
        </w:tc>
        <w:tc>
          <w:tcPr>
            <w:tcW w:w="281"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6,660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46" w:type="dxa"/>
            <w:tcBorders/>
            <w:vAlign w:val="center"/>
          </w:tcPr>
          <w:p>
            <w:pPr>
              <w:pStyle w:val="TableContents"/>
              <w:bidi w:val="0"/>
              <w:spacing w:before="0" w:after="283"/>
              <w:jc w:val="right"/>
              <w:rPr/>
            </w:pPr>
            <w:r>
              <w:rPr/>
              <w:t>6,883</w:t>
            </w:r>
          </w:p>
        </w:tc>
        <w:tc>
          <w:tcPr>
            <w:tcW w:w="228" w:type="dxa"/>
            <w:tcBorders/>
            <w:vAlign w:val="center"/>
          </w:tcPr>
          <w:p>
            <w:pPr>
              <w:pStyle w:val="TableContents"/>
              <w:bidi w:val="0"/>
              <w:spacing w:before="0" w:after="283"/>
              <w:jc w:val="left"/>
              <w:rPr/>
            </w:pPr>
            <w:r>
              <w:rPr/>
              <w:t> </w:t>
            </w:r>
          </w:p>
        </w:tc>
      </w:tr>
      <w:tr>
        <w:trPr/>
        <w:tc>
          <w:tcPr>
            <w:tcW w:w="6413" w:type="dxa"/>
            <w:tcBorders/>
            <w:vAlign w:val="center"/>
          </w:tcPr>
          <w:p>
            <w:pPr>
              <w:pStyle w:val="TableContents"/>
              <w:bidi w:val="0"/>
              <w:spacing w:before="0" w:after="283"/>
              <w:jc w:val="left"/>
              <w:rPr/>
            </w:pPr>
            <w:r>
              <w:rPr/>
              <w:t>Accounts payable and accrued expenses</w:t>
            </w:r>
          </w:p>
        </w:tc>
        <w:tc>
          <w:tcPr>
            <w:tcW w:w="281"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2,662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46" w:type="dxa"/>
            <w:tcBorders/>
            <w:vAlign w:val="center"/>
          </w:tcPr>
          <w:p>
            <w:pPr>
              <w:pStyle w:val="TableContents"/>
              <w:bidi w:val="0"/>
              <w:spacing w:before="0" w:after="283"/>
              <w:jc w:val="right"/>
              <w:rPr/>
            </w:pPr>
            <w:r>
              <w:rPr/>
              <w:t>2,166</w:t>
            </w:r>
          </w:p>
        </w:tc>
        <w:tc>
          <w:tcPr>
            <w:tcW w:w="228" w:type="dxa"/>
            <w:tcBorders/>
            <w:vAlign w:val="center"/>
          </w:tcPr>
          <w:p>
            <w:pPr>
              <w:pStyle w:val="TableContents"/>
              <w:bidi w:val="0"/>
              <w:spacing w:before="0" w:after="283"/>
              <w:jc w:val="left"/>
              <w:rPr/>
            </w:pPr>
            <w:r>
              <w:rPr/>
              <w:t> </w:t>
            </w:r>
          </w:p>
        </w:tc>
      </w:tr>
      <w:tr>
        <w:trPr/>
        <w:tc>
          <w:tcPr>
            <w:tcW w:w="6413" w:type="dxa"/>
            <w:tcBorders/>
            <w:vAlign w:val="center"/>
          </w:tcPr>
          <w:p>
            <w:pPr>
              <w:pStyle w:val="TableContents"/>
              <w:bidi w:val="0"/>
              <w:spacing w:before="0" w:after="283"/>
              <w:jc w:val="left"/>
              <w:rPr/>
            </w:pPr>
            <w:r>
              <w:rPr/>
              <w:t>Deferred tax liability</w:t>
            </w:r>
          </w:p>
        </w:tc>
        <w:tc>
          <w:tcPr>
            <w:tcW w:w="281"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1,228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46" w:type="dxa"/>
            <w:tcBorders/>
            <w:vAlign w:val="center"/>
          </w:tcPr>
          <w:p>
            <w:pPr>
              <w:pStyle w:val="TableContents"/>
              <w:bidi w:val="0"/>
              <w:spacing w:before="0" w:after="283"/>
              <w:jc w:val="right"/>
              <w:rPr/>
            </w:pPr>
            <w:r>
              <w:rPr/>
              <w:t>1,864</w:t>
            </w:r>
          </w:p>
        </w:tc>
        <w:tc>
          <w:tcPr>
            <w:tcW w:w="228" w:type="dxa"/>
            <w:tcBorders/>
            <w:vAlign w:val="center"/>
          </w:tcPr>
          <w:p>
            <w:pPr>
              <w:pStyle w:val="TableContents"/>
              <w:bidi w:val="0"/>
              <w:spacing w:before="0" w:after="283"/>
              <w:jc w:val="left"/>
              <w:rPr/>
            </w:pPr>
            <w:r>
              <w:rPr/>
              <w:t> </w:t>
            </w:r>
          </w:p>
        </w:tc>
      </w:tr>
      <w:tr>
        <w:trPr/>
        <w:tc>
          <w:tcPr>
            <w:tcW w:w="6413" w:type="dxa"/>
            <w:tcBorders/>
            <w:vAlign w:val="center"/>
          </w:tcPr>
          <w:p>
            <w:pPr>
              <w:pStyle w:val="TableContents"/>
              <w:bidi w:val="0"/>
              <w:spacing w:before="0" w:after="283"/>
              <w:jc w:val="left"/>
              <w:rPr/>
            </w:pPr>
            <w:r>
              <w:rPr/>
              <w:t>Due to affiliate</w:t>
            </w:r>
          </w:p>
        </w:tc>
        <w:tc>
          <w:tcPr>
            <w:tcW w:w="2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2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739</w:t>
            </w:r>
          </w:p>
        </w:tc>
        <w:tc>
          <w:tcPr>
            <w:tcW w:w="228" w:type="dxa"/>
            <w:tcBorders/>
            <w:vAlign w:val="center"/>
          </w:tcPr>
          <w:p>
            <w:pPr>
              <w:pStyle w:val="TableContents"/>
              <w:bidi w:val="0"/>
              <w:spacing w:before="0" w:after="283"/>
              <w:jc w:val="left"/>
              <w:rPr/>
            </w:pPr>
            <w:r>
              <w:rPr/>
              <w:t> </w:t>
            </w:r>
          </w:p>
        </w:tc>
      </w:tr>
      <w:tr>
        <w:trPr/>
        <w:tc>
          <w:tcPr>
            <w:tcW w:w="6413"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liabilities</w:t>
            </w:r>
          </w:p>
        </w:tc>
        <w:tc>
          <w:tcPr>
            <w:tcW w:w="2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32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1,675,653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3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1,839,165</w:t>
            </w:r>
          </w:p>
        </w:tc>
        <w:tc>
          <w:tcPr>
            <w:tcW w:w="228" w:type="dxa"/>
            <w:tcBorders/>
            <w:vAlign w:val="center"/>
          </w:tcPr>
          <w:p>
            <w:pPr>
              <w:pStyle w:val="TableContents"/>
              <w:bidi w:val="0"/>
              <w:spacing w:before="0" w:after="283"/>
              <w:jc w:val="left"/>
              <w:rPr/>
            </w:pPr>
            <w:r>
              <w:rPr/>
              <w:t> </w:t>
            </w:r>
          </w:p>
        </w:tc>
      </w:tr>
      <w:tr>
        <w:trPr/>
        <w:tc>
          <w:tcPr>
            <w:tcW w:w="6413" w:type="dxa"/>
            <w:tcBorders/>
            <w:vAlign w:val="center"/>
          </w:tcPr>
          <w:p>
            <w:pPr>
              <w:pStyle w:val="TableContents"/>
              <w:bidi w:val="0"/>
              <w:spacing w:before="0" w:after="283"/>
              <w:jc w:val="left"/>
              <w:rPr/>
            </w:pPr>
            <w:r>
              <w:rPr>
                <w:rStyle w:val="StrongEmphasis"/>
              </w:rPr>
              <w:t>Net assets</w:t>
            </w:r>
          </w:p>
        </w:tc>
        <w:tc>
          <w:tcPr>
            <w:tcW w:w="1606"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31"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r>
      <w:tr>
        <w:trPr/>
        <w:tc>
          <w:tcPr>
            <w:tcW w:w="6413" w:type="dxa"/>
            <w:tcBorders/>
            <w:vAlign w:val="center"/>
          </w:tcPr>
          <w:p>
            <w:pPr>
              <w:pStyle w:val="TableContents"/>
              <w:bidi w:val="0"/>
              <w:spacing w:before="0" w:after="283"/>
              <w:jc w:val="left"/>
              <w:rPr/>
            </w:pPr>
            <w:r>
              <w:rPr/>
              <w:t>Common stock, 99,217,896 and 99,217,896 shares issued and outstanding, respectively</w:t>
              <w:br/>
              <w:t>Par value $0.001 per share and 200,000,000 shares authorized</w:t>
            </w:r>
          </w:p>
        </w:tc>
        <w:tc>
          <w:tcPr>
            <w:tcW w:w="281"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99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46" w:type="dxa"/>
            <w:tcBorders/>
            <w:vAlign w:val="center"/>
          </w:tcPr>
          <w:p>
            <w:pPr>
              <w:pStyle w:val="TableContents"/>
              <w:bidi w:val="0"/>
              <w:spacing w:before="0" w:after="283"/>
              <w:jc w:val="right"/>
              <w:rPr/>
            </w:pPr>
            <w:r>
              <w:rPr/>
              <w:t>99</w:t>
            </w:r>
          </w:p>
        </w:tc>
        <w:tc>
          <w:tcPr>
            <w:tcW w:w="228" w:type="dxa"/>
            <w:tcBorders/>
            <w:vAlign w:val="center"/>
          </w:tcPr>
          <w:p>
            <w:pPr>
              <w:pStyle w:val="TableContents"/>
              <w:bidi w:val="0"/>
              <w:spacing w:before="0" w:after="283"/>
              <w:jc w:val="left"/>
              <w:rPr/>
            </w:pPr>
            <w:r>
              <w:rPr/>
              <w:t> </w:t>
            </w:r>
          </w:p>
        </w:tc>
      </w:tr>
      <w:tr>
        <w:trPr/>
        <w:tc>
          <w:tcPr>
            <w:tcW w:w="6413" w:type="dxa"/>
            <w:tcBorders/>
            <w:vAlign w:val="center"/>
          </w:tcPr>
          <w:p>
            <w:pPr>
              <w:pStyle w:val="TableContents"/>
              <w:bidi w:val="0"/>
              <w:spacing w:before="0" w:after="283"/>
              <w:jc w:val="left"/>
              <w:rPr/>
            </w:pPr>
            <w:r>
              <w:rPr/>
              <w:t>Paid-in capital in excess of par value</w:t>
            </w:r>
          </w:p>
        </w:tc>
        <w:tc>
          <w:tcPr>
            <w:tcW w:w="281"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1,219,502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1346" w:type="dxa"/>
            <w:tcBorders/>
            <w:vAlign w:val="center"/>
          </w:tcPr>
          <w:p>
            <w:pPr>
              <w:pStyle w:val="TableContents"/>
              <w:bidi w:val="0"/>
              <w:spacing w:before="0" w:after="283"/>
              <w:jc w:val="right"/>
              <w:rPr/>
            </w:pPr>
            <w:r>
              <w:rPr/>
              <w:t>1,219,502</w:t>
            </w:r>
          </w:p>
        </w:tc>
        <w:tc>
          <w:tcPr>
            <w:tcW w:w="228" w:type="dxa"/>
            <w:tcBorders/>
            <w:vAlign w:val="center"/>
          </w:tcPr>
          <w:p>
            <w:pPr>
              <w:pStyle w:val="TableContents"/>
              <w:bidi w:val="0"/>
              <w:spacing w:before="0" w:after="283"/>
              <w:jc w:val="left"/>
              <w:rPr/>
            </w:pPr>
            <w:r>
              <w:rPr/>
              <w:t> </w:t>
            </w:r>
          </w:p>
        </w:tc>
      </w:tr>
      <w:tr>
        <w:trPr/>
        <w:tc>
          <w:tcPr>
            <w:tcW w:w="6413" w:type="dxa"/>
            <w:tcBorders/>
            <w:vAlign w:val="center"/>
          </w:tcPr>
          <w:p>
            <w:pPr>
              <w:pStyle w:val="TableContents"/>
              <w:bidi w:val="0"/>
              <w:spacing w:before="0" w:after="283"/>
              <w:jc w:val="left"/>
              <w:rPr/>
            </w:pPr>
            <w:r>
              <w:rPr/>
              <w:t>Accumulated deficit</w:t>
            </w:r>
          </w:p>
        </w:tc>
        <w:tc>
          <w:tcPr>
            <w:tcW w:w="2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2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(179,172</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8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4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(145,085</w:t>
            </w:r>
          </w:p>
        </w:tc>
        <w:tc>
          <w:tcPr>
            <w:tcW w:w="228" w:type="dxa"/>
            <w:tcBorders/>
            <w:vAlign w:val="center"/>
          </w:tcPr>
          <w:p>
            <w:pPr>
              <w:pStyle w:val="TableContents"/>
              <w:bidi w:val="0"/>
              <w:spacing w:before="0" w:after="283"/>
              <w:jc w:val="left"/>
              <w:rPr/>
            </w:pPr>
            <w:r>
              <w:rPr/>
              <w:t>)</w:t>
            </w:r>
          </w:p>
        </w:tc>
      </w:tr>
      <w:tr>
        <w:trPr/>
        <w:tc>
          <w:tcPr>
            <w:tcW w:w="6413" w:type="dxa"/>
            <w:tcBorders/>
            <w:vAlign w:val="center"/>
          </w:tcPr>
          <w:p>
            <w:pPr>
              <w:pStyle w:val="TableContents"/>
              <w:bidi w:val="0"/>
              <w:spacing w:before="0" w:after="283"/>
              <w:jc w:val="left"/>
              <w:rPr/>
            </w:pPr>
            <w:r>
              <w:rPr>
                <w:rStyle w:val="StrongEmphasis"/>
              </w:rPr>
              <w:t>Total net assets</w:t>
            </w:r>
          </w:p>
        </w:tc>
        <w:tc>
          <w:tcPr>
            <w:tcW w:w="2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32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1,040,429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3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1,074,516</w:t>
            </w:r>
          </w:p>
        </w:tc>
        <w:tc>
          <w:tcPr>
            <w:tcW w:w="228" w:type="dxa"/>
            <w:tcBorders/>
            <w:vAlign w:val="center"/>
          </w:tcPr>
          <w:p>
            <w:pPr>
              <w:pStyle w:val="TableContents"/>
              <w:bidi w:val="0"/>
              <w:spacing w:before="0" w:after="283"/>
              <w:jc w:val="left"/>
              <w:rPr/>
            </w:pPr>
            <w:r>
              <w:rPr/>
              <w:t> </w:t>
            </w:r>
          </w:p>
        </w:tc>
      </w:tr>
      <w:tr>
        <w:trPr/>
        <w:tc>
          <w:tcPr>
            <w:tcW w:w="6413" w:type="dxa"/>
            <w:tcBorders/>
            <w:vAlign w:val="center"/>
          </w:tcPr>
          <w:p>
            <w:pPr>
              <w:pStyle w:val="TableContents"/>
              <w:bidi w:val="0"/>
              <w:spacing w:before="0" w:after="283"/>
              <w:jc w:val="left"/>
              <w:rPr/>
            </w:pPr>
            <w:r>
              <w:rPr>
                <w:rStyle w:val="StrongEmphasis"/>
              </w:rPr>
              <w:t>Total liabilities and net assets</w:t>
            </w:r>
          </w:p>
        </w:tc>
        <w:tc>
          <w:tcPr>
            <w:tcW w:w="2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32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2,716,082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3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2,913,681</w:t>
            </w:r>
          </w:p>
        </w:tc>
        <w:tc>
          <w:tcPr>
            <w:tcW w:w="228" w:type="dxa"/>
            <w:tcBorders/>
            <w:vAlign w:val="center"/>
          </w:tcPr>
          <w:p>
            <w:pPr>
              <w:pStyle w:val="TableContents"/>
              <w:bidi w:val="0"/>
              <w:spacing w:before="0" w:after="283"/>
              <w:jc w:val="left"/>
              <w:rPr/>
            </w:pPr>
            <w:r>
              <w:rPr/>
              <w:t> </w:t>
            </w:r>
          </w:p>
        </w:tc>
      </w:tr>
      <w:tr>
        <w:trPr/>
        <w:tc>
          <w:tcPr>
            <w:tcW w:w="6413" w:type="dxa"/>
            <w:tcBorders/>
            <w:vAlign w:val="center"/>
          </w:tcPr>
          <w:p>
            <w:pPr>
              <w:pStyle w:val="TableContents"/>
              <w:bidi w:val="0"/>
              <w:spacing w:before="0" w:after="283"/>
              <w:jc w:val="left"/>
              <w:rPr/>
            </w:pPr>
            <w:r>
              <w:rPr>
                <w:rStyle w:val="StrongEmphasis"/>
              </w:rPr>
              <w:t>Net asset value per share</w:t>
            </w:r>
          </w:p>
        </w:tc>
        <w:tc>
          <w:tcPr>
            <w:tcW w:w="28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325"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10.49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34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10.83</w:t>
            </w:r>
          </w:p>
        </w:tc>
        <w:tc>
          <w:tcPr>
            <w:tcW w:w="228" w:type="dxa"/>
            <w:tcBorders/>
            <w:vAlign w:val="center"/>
          </w:tcPr>
          <w:p>
            <w:pPr>
              <w:pStyle w:val="TableContents"/>
              <w:bidi w:val="0"/>
              <w:spacing w:before="0" w:after="283"/>
              <w:jc w:val="left"/>
              <w:rPr/>
            </w:pPr>
            <w:r>
              <w:rPr/>
              <w:t> </w:t>
            </w:r>
          </w:p>
        </w:tc>
      </w:tr>
    </w:tbl>
    <w:p>
      <w:pPr>
        <w:pStyle w:val="TextBody"/>
        <w:bidi w:val="0"/>
        <w:jc w:val="left"/>
        <w:rPr/>
      </w:pPr>
      <w:r>
        <w:rPr/>
      </w:r>
    </w:p>
    <w:p>
      <w:pPr>
        <w:pStyle w:val="TextBody"/>
        <w:bidi w:val="0"/>
        <w:jc w:val="left"/>
        <w:rPr/>
      </w:pPr>
      <w:r>
        <w:rPr/>
      </w:r>
    </w:p>
    <w:tbl>
      <w:tblPr>
        <w:tblW w:w="10205" w:type="dxa"/>
        <w:jc w:val="center"/>
        <w:tblInd w:w="0" w:type="dxa"/>
        <w:tblLayout w:type="fixed"/>
        <w:tblCellMar>
          <w:top w:w="28" w:type="dxa"/>
          <w:left w:w="28" w:type="dxa"/>
          <w:bottom w:w="28" w:type="dxa"/>
          <w:right w:w="28" w:type="dxa"/>
        </w:tblCellMar>
      </w:tblPr>
      <w:tblGrid>
        <w:gridCol w:w="6577"/>
        <w:gridCol w:w="312"/>
        <w:gridCol w:w="1162"/>
        <w:gridCol w:w="249"/>
        <w:gridCol w:w="201"/>
        <w:gridCol w:w="312"/>
        <w:gridCol w:w="1162"/>
        <w:gridCol w:w="230"/>
      </w:tblGrid>
      <w:tr>
        <w:trPr/>
        <w:tc>
          <w:tcPr>
            <w:tcW w:w="9975" w:type="dxa"/>
            <w:gridSpan w:val="7"/>
            <w:tcBorders/>
            <w:vAlign w:val="center"/>
          </w:tcPr>
          <w:p>
            <w:pPr>
              <w:pStyle w:val="TableContents"/>
              <w:bidi w:val="0"/>
              <w:spacing w:before="0" w:after="283"/>
              <w:jc w:val="center"/>
              <w:rPr/>
            </w:pPr>
            <w:r>
              <w:rPr>
                <w:rStyle w:val="StrongEmphasis"/>
              </w:rPr>
              <w:t>PENNANTPARK FLOATING RATE CAPITAL LTD. AND SUBSIDIARIES</w:t>
              <w:br/>
              <w:t>CONSOLIDATED STATEMENTS OF OPERATIONS</w:t>
              <w:br/>
              <w:t>(in thousands, except per share data)</w:t>
              <w:br/>
              <w:t>(Unaudited)</w:t>
            </w:r>
          </w:p>
        </w:tc>
        <w:tc>
          <w:tcPr>
            <w:tcW w:w="230" w:type="dxa"/>
            <w:tcBorders/>
            <w:vAlign w:val="center"/>
          </w:tcPr>
          <w:p>
            <w:pPr>
              <w:pStyle w:val="TableContents"/>
              <w:bidi w:val="0"/>
              <w:spacing w:before="0" w:after="283"/>
              <w:jc w:val="left"/>
              <w:rPr/>
            </w:pPr>
            <w:r>
              <w:rPr/>
              <w:t> </w:t>
            </w:r>
          </w:p>
        </w:tc>
      </w:tr>
      <w:tr>
        <w:trPr/>
        <w:tc>
          <w:tcPr>
            <w:tcW w:w="6577" w:type="dxa"/>
            <w:tcBorders/>
            <w:vAlign w:val="center"/>
          </w:tcPr>
          <w:p>
            <w:pPr>
              <w:pStyle w:val="TableContents"/>
              <w:bidi w:val="0"/>
              <w:spacing w:before="0" w:after="283"/>
              <w:jc w:val="left"/>
              <w:rPr/>
            </w:pPr>
            <w:r>
              <w:rPr/>
              <w:t> </w:t>
            </w:r>
          </w:p>
        </w:tc>
        <w:tc>
          <w:tcPr>
            <w:tcW w:w="3398" w:type="dxa"/>
            <w:gridSpan w:val="6"/>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577" w:type="dxa"/>
            <w:tcBorders/>
            <w:vAlign w:val="center"/>
          </w:tcPr>
          <w:p>
            <w:pPr>
              <w:pStyle w:val="TableContents"/>
              <w:bidi w:val="0"/>
              <w:spacing w:before="0" w:after="283"/>
              <w:jc w:val="left"/>
              <w:rPr/>
            </w:pPr>
            <w:r>
              <w:rPr/>
              <w:t> </w:t>
            </w:r>
          </w:p>
        </w:tc>
        <w:tc>
          <w:tcPr>
            <w:tcW w:w="3398"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 December 31,</w:t>
            </w:r>
          </w:p>
        </w:tc>
        <w:tc>
          <w:tcPr>
            <w:tcW w:w="230" w:type="dxa"/>
            <w:tcBorders/>
            <w:vAlign w:val="center"/>
          </w:tcPr>
          <w:p>
            <w:pPr>
              <w:pStyle w:val="TableContents"/>
              <w:bidi w:val="0"/>
              <w:spacing w:before="0" w:after="283"/>
              <w:jc w:val="center"/>
              <w:rPr/>
            </w:pPr>
            <w:r>
              <w:rPr/>
              <w:t> </w:t>
            </w:r>
          </w:p>
        </w:tc>
      </w:tr>
      <w:tr>
        <w:trPr/>
        <w:tc>
          <w:tcPr>
            <w:tcW w:w="6577" w:type="dxa"/>
            <w:tcBorders/>
            <w:vAlign w:val="center"/>
          </w:tcPr>
          <w:p>
            <w:pPr>
              <w:pStyle w:val="TableContents"/>
              <w:bidi w:val="0"/>
              <w:spacing w:before="0" w:after="283"/>
              <w:jc w:val="left"/>
              <w:rPr/>
            </w:pPr>
            <w:r>
              <w:rPr/>
              <w:t> </w:t>
            </w:r>
          </w:p>
        </w:tc>
        <w:tc>
          <w:tcPr>
            <w:tcW w:w="1474"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249" w:type="dxa"/>
            <w:tcBorders/>
            <w:vAlign w:val="center"/>
          </w:tcPr>
          <w:p>
            <w:pPr>
              <w:pStyle w:val="TableContents"/>
              <w:bidi w:val="0"/>
              <w:spacing w:before="0" w:after="283"/>
              <w:jc w:val="center"/>
              <w:rPr/>
            </w:pPr>
            <w:r>
              <w:rPr/>
              <w:t> </w:t>
            </w:r>
          </w:p>
        </w:tc>
        <w:tc>
          <w:tcPr>
            <w:tcW w:w="20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74"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2024</w:t>
            </w:r>
          </w:p>
        </w:tc>
        <w:tc>
          <w:tcPr>
            <w:tcW w:w="230" w:type="dxa"/>
            <w:tcBorders/>
            <w:vAlign w:val="center"/>
          </w:tcPr>
          <w:p>
            <w:pPr>
              <w:pStyle w:val="TableContents"/>
              <w:bidi w:val="0"/>
              <w:spacing w:before="0" w:after="283"/>
              <w:jc w:val="center"/>
              <w:rPr/>
            </w:pPr>
            <w:r>
              <w:rPr/>
              <w:t> </w:t>
            </w:r>
          </w:p>
        </w:tc>
      </w:tr>
      <w:tr>
        <w:trPr/>
        <w:tc>
          <w:tcPr>
            <w:tcW w:w="6577" w:type="dxa"/>
            <w:tcBorders/>
            <w:vAlign w:val="center"/>
          </w:tcPr>
          <w:p>
            <w:pPr>
              <w:pStyle w:val="TableContents"/>
              <w:bidi w:val="0"/>
              <w:spacing w:before="0" w:after="283"/>
              <w:jc w:val="left"/>
              <w:rPr/>
            </w:pPr>
            <w:r>
              <w:rPr>
                <w:rStyle w:val="StrongEmphasis"/>
              </w:rPr>
              <w:t>Investment income:</w:t>
            </w:r>
          </w:p>
        </w:tc>
        <w:tc>
          <w:tcPr>
            <w:tcW w:w="1474"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474"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577" w:type="dxa"/>
            <w:tcBorders/>
            <w:vAlign w:val="center"/>
          </w:tcPr>
          <w:p>
            <w:pPr>
              <w:pStyle w:val="TableContents"/>
              <w:bidi w:val="0"/>
              <w:spacing w:before="0" w:after="283"/>
              <w:jc w:val="left"/>
              <w:rPr/>
            </w:pPr>
            <w:r>
              <w:rPr/>
              <w:t>From non-controlled, non-affiliated investments:</w:t>
            </w:r>
          </w:p>
        </w:tc>
        <w:tc>
          <w:tcPr>
            <w:tcW w:w="1474" w:type="dxa"/>
            <w:gridSpan w:val="2"/>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577" w:type="dxa"/>
            <w:tcBorders/>
            <w:tcMar>
              <w:top w:w="0" w:type="dxa"/>
              <w:left w:w="0" w:type="dxa"/>
              <w:bottom w:w="0" w:type="dxa"/>
              <w:right w:w="0" w:type="dxa"/>
            </w:tcMar>
            <w:vAlign w:val="center"/>
          </w:tcPr>
          <w:p>
            <w:pPr>
              <w:pStyle w:val="TableContents"/>
              <w:bidi w:val="0"/>
              <w:spacing w:before="0" w:after="283"/>
              <w:jc w:val="left"/>
              <w:rPr/>
            </w:pPr>
            <w:r>
              <w:rPr/>
              <w:t>Interest</w:t>
            </w:r>
          </w:p>
        </w:tc>
        <w:tc>
          <w:tcPr>
            <w:tcW w:w="312" w:type="dxa"/>
            <w:tcBorders/>
            <w:vAlign w:val="center"/>
          </w:tcPr>
          <w:p>
            <w:pPr>
              <w:pStyle w:val="TableContents"/>
              <w:bidi w:val="0"/>
              <w:spacing w:before="0" w:after="283"/>
              <w:jc w:val="left"/>
              <w:rPr/>
            </w:pPr>
            <w:r>
              <w:rPr/>
              <w:t>$</w:t>
            </w:r>
          </w:p>
        </w:tc>
        <w:tc>
          <w:tcPr>
            <w:tcW w:w="1162" w:type="dxa"/>
            <w:tcBorders/>
            <w:vAlign w:val="center"/>
          </w:tcPr>
          <w:p>
            <w:pPr>
              <w:pStyle w:val="TableContents"/>
              <w:bidi w:val="0"/>
              <w:spacing w:before="0" w:after="283"/>
              <w:jc w:val="right"/>
              <w:rPr/>
            </w:pPr>
            <w:r>
              <w:rPr/>
              <w:t>56,531</w:t>
            </w:r>
          </w:p>
        </w:tc>
        <w:tc>
          <w:tcPr>
            <w:tcW w:w="249"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w:t>
            </w:r>
          </w:p>
        </w:tc>
        <w:tc>
          <w:tcPr>
            <w:tcW w:w="1162" w:type="dxa"/>
            <w:tcBorders/>
            <w:vAlign w:val="center"/>
          </w:tcPr>
          <w:p>
            <w:pPr>
              <w:pStyle w:val="TableContents"/>
              <w:bidi w:val="0"/>
              <w:spacing w:before="0" w:after="283"/>
              <w:jc w:val="right"/>
              <w:rPr/>
            </w:pPr>
            <w:r>
              <w:rPr/>
              <w:t>47,463</w:t>
            </w:r>
          </w:p>
        </w:tc>
        <w:tc>
          <w:tcPr>
            <w:tcW w:w="230" w:type="dxa"/>
            <w:tcBorders/>
            <w:vAlign w:val="center"/>
          </w:tcPr>
          <w:p>
            <w:pPr>
              <w:pStyle w:val="TableContents"/>
              <w:bidi w:val="0"/>
              <w:spacing w:before="0" w:after="283"/>
              <w:jc w:val="left"/>
              <w:rPr/>
            </w:pPr>
            <w:r>
              <w:rPr/>
              <w:t> </w:t>
            </w:r>
          </w:p>
        </w:tc>
      </w:tr>
      <w:tr>
        <w:trPr/>
        <w:tc>
          <w:tcPr>
            <w:tcW w:w="6577" w:type="dxa"/>
            <w:tcBorders/>
            <w:tcMar>
              <w:top w:w="0" w:type="dxa"/>
              <w:left w:w="0" w:type="dxa"/>
              <w:bottom w:w="0" w:type="dxa"/>
              <w:right w:w="0" w:type="dxa"/>
            </w:tcMar>
            <w:vAlign w:val="center"/>
          </w:tcPr>
          <w:p>
            <w:pPr>
              <w:pStyle w:val="TableContents"/>
              <w:bidi w:val="0"/>
              <w:spacing w:before="0" w:after="283"/>
              <w:jc w:val="left"/>
              <w:rPr/>
            </w:pPr>
            <w:r>
              <w:rPr/>
              <w:t>Dividend</w:t>
            </w:r>
          </w:p>
        </w:tc>
        <w:tc>
          <w:tcPr>
            <w:tcW w:w="312"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8</w:t>
            </w:r>
          </w:p>
        </w:tc>
        <w:tc>
          <w:tcPr>
            <w:tcW w:w="249"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577</w:t>
            </w:r>
          </w:p>
        </w:tc>
        <w:tc>
          <w:tcPr>
            <w:tcW w:w="230" w:type="dxa"/>
            <w:tcBorders/>
            <w:vAlign w:val="center"/>
          </w:tcPr>
          <w:p>
            <w:pPr>
              <w:pStyle w:val="TableContents"/>
              <w:bidi w:val="0"/>
              <w:spacing w:before="0" w:after="283"/>
              <w:jc w:val="left"/>
              <w:rPr/>
            </w:pPr>
            <w:r>
              <w:rPr/>
              <w:t> </w:t>
            </w:r>
          </w:p>
        </w:tc>
      </w:tr>
      <w:tr>
        <w:trPr/>
        <w:tc>
          <w:tcPr>
            <w:tcW w:w="6577" w:type="dxa"/>
            <w:tcBorders/>
            <w:tcMar>
              <w:top w:w="0" w:type="dxa"/>
              <w:left w:w="0" w:type="dxa"/>
              <w:bottom w:w="0" w:type="dxa"/>
              <w:right w:w="0" w:type="dxa"/>
            </w:tcMar>
            <w:vAlign w:val="center"/>
          </w:tcPr>
          <w:p>
            <w:pPr>
              <w:pStyle w:val="TableContents"/>
              <w:bidi w:val="0"/>
              <w:spacing w:before="0" w:after="283"/>
              <w:jc w:val="left"/>
              <w:rPr/>
            </w:pPr>
            <w:r>
              <w:rPr/>
              <w:t>Other income</w:t>
            </w:r>
          </w:p>
        </w:tc>
        <w:tc>
          <w:tcPr>
            <w:tcW w:w="312"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761</w:t>
            </w:r>
          </w:p>
        </w:tc>
        <w:tc>
          <w:tcPr>
            <w:tcW w:w="249"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1,480</w:t>
            </w:r>
          </w:p>
        </w:tc>
        <w:tc>
          <w:tcPr>
            <w:tcW w:w="230" w:type="dxa"/>
            <w:tcBorders/>
            <w:vAlign w:val="center"/>
          </w:tcPr>
          <w:p>
            <w:pPr>
              <w:pStyle w:val="TableContents"/>
              <w:bidi w:val="0"/>
              <w:spacing w:before="0" w:after="283"/>
              <w:jc w:val="left"/>
              <w:rPr/>
            </w:pPr>
            <w:r>
              <w:rPr/>
              <w:t> </w:t>
            </w:r>
          </w:p>
        </w:tc>
      </w:tr>
      <w:tr>
        <w:trPr/>
        <w:tc>
          <w:tcPr>
            <w:tcW w:w="6577" w:type="dxa"/>
            <w:tcBorders/>
            <w:vAlign w:val="center"/>
          </w:tcPr>
          <w:p>
            <w:pPr>
              <w:pStyle w:val="TableContents"/>
              <w:bidi w:val="0"/>
              <w:spacing w:before="0" w:after="283"/>
              <w:jc w:val="left"/>
              <w:rPr/>
            </w:pPr>
            <w:r>
              <w:rPr/>
              <w:t>From controlled, affiliated investments:</w:t>
            </w:r>
          </w:p>
        </w:tc>
        <w:tc>
          <w:tcPr>
            <w:tcW w:w="1474" w:type="dxa"/>
            <w:gridSpan w:val="2"/>
            <w:tcBorders/>
            <w:vAlign w:val="center"/>
          </w:tcPr>
          <w:p>
            <w:pPr>
              <w:pStyle w:val="TableContents"/>
              <w:bidi w:val="0"/>
              <w:spacing w:before="0" w:after="283"/>
              <w:jc w:val="right"/>
              <w:rPr/>
            </w:pPr>
            <w:r>
              <w:rPr/>
              <w:t> </w:t>
            </w:r>
          </w:p>
        </w:tc>
        <w:tc>
          <w:tcPr>
            <w:tcW w:w="249" w:type="dxa"/>
            <w:tcBorders/>
            <w:vAlign w:val="center"/>
          </w:tcPr>
          <w:p>
            <w:pPr>
              <w:pStyle w:val="TableContents"/>
              <w:bidi w:val="0"/>
              <w:spacing w:before="0" w:after="283"/>
              <w:jc w:val="right"/>
              <w:rPr/>
            </w:pPr>
            <w:r>
              <w:rPr/>
              <w:t> </w:t>
            </w:r>
          </w:p>
        </w:tc>
        <w:tc>
          <w:tcPr>
            <w:tcW w:w="201"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right"/>
              <w:rPr/>
            </w:pPr>
            <w:r>
              <w:rPr/>
              <w:t> </w:t>
            </w:r>
          </w:p>
        </w:tc>
      </w:tr>
      <w:tr>
        <w:trPr/>
        <w:tc>
          <w:tcPr>
            <w:tcW w:w="6577" w:type="dxa"/>
            <w:tcBorders/>
            <w:tcMar>
              <w:top w:w="0" w:type="dxa"/>
              <w:left w:w="0" w:type="dxa"/>
              <w:bottom w:w="0" w:type="dxa"/>
              <w:right w:w="0" w:type="dxa"/>
            </w:tcMar>
            <w:vAlign w:val="center"/>
          </w:tcPr>
          <w:p>
            <w:pPr>
              <w:pStyle w:val="TableContents"/>
              <w:bidi w:val="0"/>
              <w:spacing w:before="0" w:after="283"/>
              <w:jc w:val="left"/>
              <w:rPr/>
            </w:pPr>
            <w:r>
              <w:rPr/>
              <w:t>Interest</w:t>
            </w:r>
          </w:p>
        </w:tc>
        <w:tc>
          <w:tcPr>
            <w:tcW w:w="312"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7,845</w:t>
            </w:r>
          </w:p>
        </w:tc>
        <w:tc>
          <w:tcPr>
            <w:tcW w:w="249"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12,808</w:t>
            </w:r>
          </w:p>
        </w:tc>
        <w:tc>
          <w:tcPr>
            <w:tcW w:w="230" w:type="dxa"/>
            <w:tcBorders/>
            <w:vAlign w:val="center"/>
          </w:tcPr>
          <w:p>
            <w:pPr>
              <w:pStyle w:val="TableContents"/>
              <w:bidi w:val="0"/>
              <w:spacing w:before="0" w:after="283"/>
              <w:jc w:val="left"/>
              <w:rPr/>
            </w:pPr>
            <w:r>
              <w:rPr/>
              <w:t> </w:t>
            </w:r>
          </w:p>
        </w:tc>
      </w:tr>
      <w:tr>
        <w:trPr/>
        <w:tc>
          <w:tcPr>
            <w:tcW w:w="6577" w:type="dxa"/>
            <w:tcBorders/>
            <w:tcMar>
              <w:top w:w="0" w:type="dxa"/>
              <w:left w:w="0" w:type="dxa"/>
              <w:bottom w:w="0" w:type="dxa"/>
              <w:right w:w="0" w:type="dxa"/>
            </w:tcMar>
            <w:vAlign w:val="center"/>
          </w:tcPr>
          <w:p>
            <w:pPr>
              <w:pStyle w:val="TableContents"/>
              <w:bidi w:val="0"/>
              <w:spacing w:before="0" w:after="283"/>
              <w:jc w:val="left"/>
              <w:rPr/>
            </w:pPr>
            <w:r>
              <w:rPr/>
              <w:t>Dividend</w:t>
            </w:r>
          </w:p>
        </w:tc>
        <w:tc>
          <w:tcPr>
            <w:tcW w:w="312"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4,944</w:t>
            </w:r>
          </w:p>
        </w:tc>
        <w:tc>
          <w:tcPr>
            <w:tcW w:w="249"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4,375</w:t>
            </w:r>
          </w:p>
        </w:tc>
        <w:tc>
          <w:tcPr>
            <w:tcW w:w="230" w:type="dxa"/>
            <w:tcBorders/>
            <w:vAlign w:val="center"/>
          </w:tcPr>
          <w:p>
            <w:pPr>
              <w:pStyle w:val="TableContents"/>
              <w:bidi w:val="0"/>
              <w:spacing w:before="0" w:after="283"/>
              <w:jc w:val="left"/>
              <w:rPr/>
            </w:pPr>
            <w:r>
              <w:rPr/>
              <w:t> </w:t>
            </w:r>
          </w:p>
        </w:tc>
      </w:tr>
      <w:tr>
        <w:trPr/>
        <w:tc>
          <w:tcPr>
            <w:tcW w:w="6577" w:type="dxa"/>
            <w:tcBorders/>
            <w:tcMar>
              <w:top w:w="0" w:type="dxa"/>
              <w:left w:w="0" w:type="dxa"/>
              <w:bottom w:w="0" w:type="dxa"/>
              <w:right w:w="0" w:type="dxa"/>
            </w:tcMar>
            <w:vAlign w:val="center"/>
          </w:tcPr>
          <w:p>
            <w:pPr>
              <w:pStyle w:val="TableContents"/>
              <w:bidi w:val="0"/>
              <w:spacing w:before="0" w:after="283"/>
              <w:jc w:val="left"/>
              <w:rPr/>
            </w:pPr>
            <w:r>
              <w:rPr/>
              <w:t>Other income</w:t>
            </w:r>
          </w:p>
        </w:tc>
        <w:tc>
          <w:tcPr>
            <w:tcW w:w="31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249"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1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306</w:t>
            </w:r>
          </w:p>
        </w:tc>
        <w:tc>
          <w:tcPr>
            <w:tcW w:w="230" w:type="dxa"/>
            <w:tcBorders/>
            <w:vAlign w:val="center"/>
          </w:tcPr>
          <w:p>
            <w:pPr>
              <w:pStyle w:val="TableContents"/>
              <w:bidi w:val="0"/>
              <w:spacing w:before="0" w:after="283"/>
              <w:jc w:val="left"/>
              <w:rPr/>
            </w:pPr>
            <w:r>
              <w:rPr/>
              <w:t> </w:t>
            </w:r>
          </w:p>
        </w:tc>
      </w:tr>
      <w:tr>
        <w:trPr/>
        <w:tc>
          <w:tcPr>
            <w:tcW w:w="6577"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investment income</w:t>
            </w:r>
          </w:p>
        </w:tc>
        <w:tc>
          <w:tcPr>
            <w:tcW w:w="3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6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70,089</w:t>
            </w:r>
          </w:p>
        </w:tc>
        <w:tc>
          <w:tcPr>
            <w:tcW w:w="249"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6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67,009</w:t>
            </w:r>
          </w:p>
        </w:tc>
        <w:tc>
          <w:tcPr>
            <w:tcW w:w="230" w:type="dxa"/>
            <w:tcBorders/>
            <w:vAlign w:val="center"/>
          </w:tcPr>
          <w:p>
            <w:pPr>
              <w:pStyle w:val="TableContents"/>
              <w:bidi w:val="0"/>
              <w:spacing w:before="0" w:after="283"/>
              <w:jc w:val="left"/>
              <w:rPr/>
            </w:pPr>
            <w:r>
              <w:rPr/>
              <w:t> </w:t>
            </w:r>
          </w:p>
        </w:tc>
      </w:tr>
      <w:tr>
        <w:trPr/>
        <w:tc>
          <w:tcPr>
            <w:tcW w:w="6577" w:type="dxa"/>
            <w:tcBorders/>
            <w:vAlign w:val="center"/>
          </w:tcPr>
          <w:p>
            <w:pPr>
              <w:pStyle w:val="TableContents"/>
              <w:bidi w:val="0"/>
              <w:spacing w:before="0" w:after="283"/>
              <w:jc w:val="left"/>
              <w:rPr/>
            </w:pPr>
            <w:r>
              <w:rPr>
                <w:rStyle w:val="StrongEmphasis"/>
              </w:rPr>
              <w:t>Expenses:</w:t>
            </w:r>
          </w:p>
        </w:tc>
        <w:tc>
          <w:tcPr>
            <w:tcW w:w="1474"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49" w:type="dxa"/>
            <w:tcBorders/>
            <w:vAlign w:val="center"/>
          </w:tcPr>
          <w:p>
            <w:pPr>
              <w:pStyle w:val="TableContents"/>
              <w:bidi w:val="0"/>
              <w:spacing w:before="0" w:after="283"/>
              <w:jc w:val="right"/>
              <w:rPr/>
            </w:pPr>
            <w:r>
              <w:rPr/>
              <w:t> </w:t>
            </w:r>
          </w:p>
        </w:tc>
        <w:tc>
          <w:tcPr>
            <w:tcW w:w="201" w:type="dxa"/>
            <w:tcBorders/>
            <w:vAlign w:val="center"/>
          </w:tcPr>
          <w:p>
            <w:pPr>
              <w:pStyle w:val="TableContents"/>
              <w:bidi w:val="0"/>
              <w:spacing w:before="0" w:after="283"/>
              <w:jc w:val="left"/>
              <w:rPr/>
            </w:pPr>
            <w:r>
              <w:rPr/>
              <w:t> </w:t>
            </w:r>
          </w:p>
        </w:tc>
        <w:tc>
          <w:tcPr>
            <w:tcW w:w="1474"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right"/>
              <w:rPr/>
            </w:pPr>
            <w:r>
              <w:rPr/>
              <w:t> </w:t>
            </w:r>
          </w:p>
        </w:tc>
      </w:tr>
      <w:tr>
        <w:trPr/>
        <w:tc>
          <w:tcPr>
            <w:tcW w:w="6577" w:type="dxa"/>
            <w:tcBorders/>
            <w:tcMar>
              <w:top w:w="0" w:type="dxa"/>
              <w:left w:w="0" w:type="dxa"/>
              <w:bottom w:w="0" w:type="dxa"/>
              <w:right w:w="0" w:type="dxa"/>
            </w:tcMar>
            <w:vAlign w:val="center"/>
          </w:tcPr>
          <w:p>
            <w:pPr>
              <w:pStyle w:val="TableContents"/>
              <w:bidi w:val="0"/>
              <w:spacing w:before="0" w:after="283"/>
              <w:jc w:val="left"/>
              <w:rPr/>
            </w:pPr>
            <w:r>
              <w:rPr/>
              <w:t>Interest and expenses on debt</w:t>
            </w:r>
          </w:p>
        </w:tc>
        <w:tc>
          <w:tcPr>
            <w:tcW w:w="312"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27,154</w:t>
            </w:r>
          </w:p>
        </w:tc>
        <w:tc>
          <w:tcPr>
            <w:tcW w:w="249"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22,361</w:t>
            </w:r>
          </w:p>
        </w:tc>
        <w:tc>
          <w:tcPr>
            <w:tcW w:w="230" w:type="dxa"/>
            <w:tcBorders/>
            <w:vAlign w:val="center"/>
          </w:tcPr>
          <w:p>
            <w:pPr>
              <w:pStyle w:val="TableContents"/>
              <w:bidi w:val="0"/>
              <w:spacing w:before="0" w:after="283"/>
              <w:jc w:val="left"/>
              <w:rPr/>
            </w:pPr>
            <w:r>
              <w:rPr/>
              <w:t> </w:t>
            </w:r>
          </w:p>
        </w:tc>
      </w:tr>
      <w:tr>
        <w:trPr/>
        <w:tc>
          <w:tcPr>
            <w:tcW w:w="6577" w:type="dxa"/>
            <w:tcBorders/>
            <w:tcMar>
              <w:top w:w="0" w:type="dxa"/>
              <w:left w:w="0" w:type="dxa"/>
              <w:bottom w:w="0" w:type="dxa"/>
              <w:right w:w="0" w:type="dxa"/>
            </w:tcMar>
            <w:vAlign w:val="center"/>
          </w:tcPr>
          <w:p>
            <w:pPr>
              <w:pStyle w:val="TableContents"/>
              <w:bidi w:val="0"/>
              <w:spacing w:before="0" w:after="283"/>
              <w:jc w:val="left"/>
              <w:rPr/>
            </w:pPr>
            <w:r>
              <w:rPr/>
              <w:t>Performance-based incentive fee</w:t>
            </w:r>
          </w:p>
        </w:tc>
        <w:tc>
          <w:tcPr>
            <w:tcW w:w="312"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6,660</w:t>
            </w:r>
          </w:p>
        </w:tc>
        <w:tc>
          <w:tcPr>
            <w:tcW w:w="249"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7,492</w:t>
            </w:r>
          </w:p>
        </w:tc>
        <w:tc>
          <w:tcPr>
            <w:tcW w:w="230" w:type="dxa"/>
            <w:tcBorders/>
            <w:vAlign w:val="center"/>
          </w:tcPr>
          <w:p>
            <w:pPr>
              <w:pStyle w:val="TableContents"/>
              <w:bidi w:val="0"/>
              <w:spacing w:before="0" w:after="283"/>
              <w:jc w:val="left"/>
              <w:rPr/>
            </w:pPr>
            <w:r>
              <w:rPr/>
              <w:t> </w:t>
            </w:r>
          </w:p>
        </w:tc>
      </w:tr>
      <w:tr>
        <w:trPr/>
        <w:tc>
          <w:tcPr>
            <w:tcW w:w="6577" w:type="dxa"/>
            <w:tcBorders/>
            <w:tcMar>
              <w:top w:w="0" w:type="dxa"/>
              <w:left w:w="0" w:type="dxa"/>
              <w:bottom w:w="0" w:type="dxa"/>
              <w:right w:w="0" w:type="dxa"/>
            </w:tcMar>
            <w:vAlign w:val="center"/>
          </w:tcPr>
          <w:p>
            <w:pPr>
              <w:pStyle w:val="TableContents"/>
              <w:bidi w:val="0"/>
              <w:spacing w:before="0" w:after="283"/>
              <w:jc w:val="left"/>
              <w:rPr/>
            </w:pPr>
            <w:r>
              <w:rPr/>
              <w:t>Base management fee</w:t>
            </w:r>
          </w:p>
        </w:tc>
        <w:tc>
          <w:tcPr>
            <w:tcW w:w="312"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6,814</w:t>
            </w:r>
          </w:p>
        </w:tc>
        <w:tc>
          <w:tcPr>
            <w:tcW w:w="249"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5,264</w:t>
            </w:r>
          </w:p>
        </w:tc>
        <w:tc>
          <w:tcPr>
            <w:tcW w:w="230" w:type="dxa"/>
            <w:tcBorders/>
            <w:vAlign w:val="center"/>
          </w:tcPr>
          <w:p>
            <w:pPr>
              <w:pStyle w:val="TableContents"/>
              <w:bidi w:val="0"/>
              <w:spacing w:before="0" w:after="283"/>
              <w:jc w:val="left"/>
              <w:rPr/>
            </w:pPr>
            <w:r>
              <w:rPr/>
              <w:t> </w:t>
            </w:r>
          </w:p>
        </w:tc>
      </w:tr>
      <w:tr>
        <w:trPr/>
        <w:tc>
          <w:tcPr>
            <w:tcW w:w="6577" w:type="dxa"/>
            <w:tcBorders/>
            <w:tcMar>
              <w:top w:w="0" w:type="dxa"/>
              <w:left w:w="0" w:type="dxa"/>
              <w:bottom w:w="0" w:type="dxa"/>
              <w:right w:w="0" w:type="dxa"/>
            </w:tcMar>
            <w:vAlign w:val="center"/>
          </w:tcPr>
          <w:p>
            <w:pPr>
              <w:pStyle w:val="TableContents"/>
              <w:bidi w:val="0"/>
              <w:spacing w:before="0" w:after="283"/>
              <w:jc w:val="left"/>
              <w:rPr/>
            </w:pPr>
            <w:r>
              <w:rPr/>
              <w:t>General and administrative expenses</w:t>
            </w:r>
          </w:p>
        </w:tc>
        <w:tc>
          <w:tcPr>
            <w:tcW w:w="312"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1,200</w:t>
            </w:r>
          </w:p>
        </w:tc>
        <w:tc>
          <w:tcPr>
            <w:tcW w:w="249"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1,200</w:t>
            </w:r>
          </w:p>
        </w:tc>
        <w:tc>
          <w:tcPr>
            <w:tcW w:w="230" w:type="dxa"/>
            <w:tcBorders/>
            <w:vAlign w:val="center"/>
          </w:tcPr>
          <w:p>
            <w:pPr>
              <w:pStyle w:val="TableContents"/>
              <w:bidi w:val="0"/>
              <w:spacing w:before="0" w:after="283"/>
              <w:jc w:val="left"/>
              <w:rPr/>
            </w:pPr>
            <w:r>
              <w:rPr/>
              <w:t> </w:t>
            </w:r>
          </w:p>
        </w:tc>
      </w:tr>
      <w:tr>
        <w:trPr/>
        <w:tc>
          <w:tcPr>
            <w:tcW w:w="6577" w:type="dxa"/>
            <w:tcBorders/>
            <w:tcMar>
              <w:top w:w="0" w:type="dxa"/>
              <w:left w:w="0" w:type="dxa"/>
              <w:bottom w:w="0" w:type="dxa"/>
              <w:right w:w="0" w:type="dxa"/>
            </w:tcMar>
            <w:vAlign w:val="center"/>
          </w:tcPr>
          <w:p>
            <w:pPr>
              <w:pStyle w:val="TableContents"/>
              <w:bidi w:val="0"/>
              <w:spacing w:before="0" w:after="283"/>
              <w:jc w:val="left"/>
              <w:rPr/>
            </w:pPr>
            <w:r>
              <w:rPr/>
              <w:t>Administrative services expenses</w:t>
            </w:r>
          </w:p>
        </w:tc>
        <w:tc>
          <w:tcPr>
            <w:tcW w:w="31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900</w:t>
            </w:r>
          </w:p>
        </w:tc>
        <w:tc>
          <w:tcPr>
            <w:tcW w:w="249"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1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500</w:t>
            </w:r>
          </w:p>
        </w:tc>
        <w:tc>
          <w:tcPr>
            <w:tcW w:w="230" w:type="dxa"/>
            <w:tcBorders/>
            <w:vAlign w:val="center"/>
          </w:tcPr>
          <w:p>
            <w:pPr>
              <w:pStyle w:val="TableContents"/>
              <w:bidi w:val="0"/>
              <w:spacing w:before="0" w:after="283"/>
              <w:jc w:val="left"/>
              <w:rPr/>
            </w:pPr>
            <w:r>
              <w:rPr/>
              <w:t> </w:t>
            </w:r>
          </w:p>
        </w:tc>
      </w:tr>
      <w:tr>
        <w:trPr/>
        <w:tc>
          <w:tcPr>
            <w:tcW w:w="6577" w:type="dxa"/>
            <w:tcBorders/>
            <w:tcMar>
              <w:top w:w="0" w:type="dxa"/>
              <w:left w:w="0" w:type="dxa"/>
              <w:bottom w:w="0" w:type="dxa"/>
              <w:right w:w="0" w:type="dxa"/>
            </w:tcMar>
            <w:vAlign w:val="center"/>
          </w:tcPr>
          <w:p>
            <w:pPr>
              <w:pStyle w:val="TableContents"/>
              <w:bidi w:val="0"/>
              <w:spacing w:before="0" w:after="283"/>
              <w:jc w:val="left"/>
              <w:rPr/>
            </w:pPr>
            <w:r>
              <w:rPr>
                <w:rStyle w:val="StrongEmphasis"/>
              </w:rPr>
              <w:t>Expenses before provision for taxes and amendment costs</w:t>
            </w:r>
          </w:p>
        </w:tc>
        <w:tc>
          <w:tcPr>
            <w:tcW w:w="31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62"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42,728</w:t>
            </w:r>
          </w:p>
        </w:tc>
        <w:tc>
          <w:tcPr>
            <w:tcW w:w="249"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1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62"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36,817</w:t>
            </w:r>
          </w:p>
        </w:tc>
        <w:tc>
          <w:tcPr>
            <w:tcW w:w="230" w:type="dxa"/>
            <w:tcBorders/>
            <w:vAlign w:val="center"/>
          </w:tcPr>
          <w:p>
            <w:pPr>
              <w:pStyle w:val="TableContents"/>
              <w:bidi w:val="0"/>
              <w:spacing w:before="0" w:after="283"/>
              <w:jc w:val="left"/>
              <w:rPr/>
            </w:pPr>
            <w:r>
              <w:rPr/>
              <w:t> </w:t>
            </w:r>
          </w:p>
        </w:tc>
      </w:tr>
      <w:tr>
        <w:trPr/>
        <w:tc>
          <w:tcPr>
            <w:tcW w:w="6577" w:type="dxa"/>
            <w:tcBorders/>
            <w:tcMar>
              <w:top w:w="0" w:type="dxa"/>
              <w:left w:w="0" w:type="dxa"/>
              <w:bottom w:w="0" w:type="dxa"/>
              <w:right w:w="0" w:type="dxa"/>
            </w:tcMar>
            <w:vAlign w:val="center"/>
          </w:tcPr>
          <w:p>
            <w:pPr>
              <w:pStyle w:val="TableContents"/>
              <w:bidi w:val="0"/>
              <w:spacing w:before="0" w:after="283"/>
              <w:jc w:val="left"/>
              <w:rPr/>
            </w:pPr>
            <w:r>
              <w:rPr/>
              <w:t>Provision for taxes on net investment income</w:t>
            </w:r>
          </w:p>
        </w:tc>
        <w:tc>
          <w:tcPr>
            <w:tcW w:w="312"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225</w:t>
            </w:r>
          </w:p>
        </w:tc>
        <w:tc>
          <w:tcPr>
            <w:tcW w:w="249"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225</w:t>
            </w:r>
          </w:p>
        </w:tc>
        <w:tc>
          <w:tcPr>
            <w:tcW w:w="230" w:type="dxa"/>
            <w:tcBorders/>
            <w:vAlign w:val="center"/>
          </w:tcPr>
          <w:p>
            <w:pPr>
              <w:pStyle w:val="TableContents"/>
              <w:bidi w:val="0"/>
              <w:spacing w:before="0" w:after="283"/>
              <w:jc w:val="left"/>
              <w:rPr/>
            </w:pPr>
            <w:r>
              <w:rPr/>
              <w:t> </w:t>
            </w:r>
          </w:p>
        </w:tc>
      </w:tr>
      <w:tr>
        <w:trPr/>
        <w:tc>
          <w:tcPr>
            <w:tcW w:w="6577" w:type="dxa"/>
            <w:tcBorders/>
            <w:tcMar>
              <w:top w:w="0" w:type="dxa"/>
              <w:left w:w="0" w:type="dxa"/>
              <w:bottom w:w="0" w:type="dxa"/>
              <w:right w:w="0" w:type="dxa"/>
            </w:tcMar>
            <w:vAlign w:val="center"/>
          </w:tcPr>
          <w:p>
            <w:pPr>
              <w:pStyle w:val="TableContents"/>
              <w:bidi w:val="0"/>
              <w:spacing w:before="0" w:after="283"/>
              <w:jc w:val="left"/>
              <w:rPr/>
            </w:pPr>
            <w:r>
              <w:rPr/>
              <w:t>Credit Facility amendment costs</w:t>
            </w:r>
          </w:p>
        </w:tc>
        <w:tc>
          <w:tcPr>
            <w:tcW w:w="31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498</w:t>
            </w:r>
          </w:p>
        </w:tc>
        <w:tc>
          <w:tcPr>
            <w:tcW w:w="249"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1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230" w:type="dxa"/>
            <w:tcBorders/>
            <w:vAlign w:val="center"/>
          </w:tcPr>
          <w:p>
            <w:pPr>
              <w:pStyle w:val="TableContents"/>
              <w:bidi w:val="0"/>
              <w:spacing w:before="0" w:after="283"/>
              <w:jc w:val="left"/>
              <w:rPr/>
            </w:pPr>
            <w:r>
              <w:rPr/>
              <w:t> </w:t>
            </w:r>
          </w:p>
        </w:tc>
      </w:tr>
      <w:tr>
        <w:trPr/>
        <w:tc>
          <w:tcPr>
            <w:tcW w:w="6577"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expenses</w:t>
            </w:r>
          </w:p>
        </w:tc>
        <w:tc>
          <w:tcPr>
            <w:tcW w:w="3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6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43,451</w:t>
            </w:r>
          </w:p>
        </w:tc>
        <w:tc>
          <w:tcPr>
            <w:tcW w:w="249"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6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37,042</w:t>
            </w:r>
          </w:p>
        </w:tc>
        <w:tc>
          <w:tcPr>
            <w:tcW w:w="230" w:type="dxa"/>
            <w:tcBorders/>
            <w:vAlign w:val="center"/>
          </w:tcPr>
          <w:p>
            <w:pPr>
              <w:pStyle w:val="TableContents"/>
              <w:bidi w:val="0"/>
              <w:spacing w:before="0" w:after="283"/>
              <w:jc w:val="left"/>
              <w:rPr/>
            </w:pPr>
            <w:r>
              <w:rPr/>
              <w:t> </w:t>
            </w:r>
          </w:p>
        </w:tc>
      </w:tr>
      <w:tr>
        <w:trPr/>
        <w:tc>
          <w:tcPr>
            <w:tcW w:w="6577"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investment income</w:t>
            </w:r>
          </w:p>
        </w:tc>
        <w:tc>
          <w:tcPr>
            <w:tcW w:w="3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6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26,638</w:t>
            </w:r>
          </w:p>
        </w:tc>
        <w:tc>
          <w:tcPr>
            <w:tcW w:w="249"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6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29,967</w:t>
            </w:r>
          </w:p>
        </w:tc>
        <w:tc>
          <w:tcPr>
            <w:tcW w:w="230" w:type="dxa"/>
            <w:tcBorders/>
            <w:vAlign w:val="center"/>
          </w:tcPr>
          <w:p>
            <w:pPr>
              <w:pStyle w:val="TableContents"/>
              <w:bidi w:val="0"/>
              <w:spacing w:before="0" w:after="283"/>
              <w:jc w:val="left"/>
              <w:rPr/>
            </w:pPr>
            <w:r>
              <w:rPr/>
              <w:t> </w:t>
            </w:r>
          </w:p>
        </w:tc>
      </w:tr>
      <w:tr>
        <w:trPr/>
        <w:tc>
          <w:tcPr>
            <w:tcW w:w="6577" w:type="dxa"/>
            <w:tcBorders/>
            <w:vAlign w:val="center"/>
          </w:tcPr>
          <w:p>
            <w:pPr>
              <w:pStyle w:val="TableContents"/>
              <w:bidi w:val="0"/>
              <w:spacing w:before="0" w:after="283"/>
              <w:jc w:val="left"/>
              <w:rPr/>
            </w:pPr>
            <w:r>
              <w:rPr>
                <w:rStyle w:val="StrongEmphasis"/>
              </w:rPr>
              <w:t>Realized and unrealized gain (loss) on investments and debt:</w:t>
            </w:r>
          </w:p>
        </w:tc>
        <w:tc>
          <w:tcPr>
            <w:tcW w:w="1474"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49" w:type="dxa"/>
            <w:tcBorders/>
            <w:vAlign w:val="center"/>
          </w:tcPr>
          <w:p>
            <w:pPr>
              <w:pStyle w:val="TableContents"/>
              <w:bidi w:val="0"/>
              <w:spacing w:before="0" w:after="283"/>
              <w:jc w:val="right"/>
              <w:rPr/>
            </w:pPr>
            <w:r>
              <w:rPr/>
              <w:t> </w:t>
            </w:r>
          </w:p>
        </w:tc>
        <w:tc>
          <w:tcPr>
            <w:tcW w:w="201" w:type="dxa"/>
            <w:tcBorders/>
            <w:vAlign w:val="center"/>
          </w:tcPr>
          <w:p>
            <w:pPr>
              <w:pStyle w:val="TableContents"/>
              <w:bidi w:val="0"/>
              <w:spacing w:before="0" w:after="283"/>
              <w:jc w:val="left"/>
              <w:rPr/>
            </w:pPr>
            <w:r>
              <w:rPr/>
              <w:t> </w:t>
            </w:r>
          </w:p>
        </w:tc>
        <w:tc>
          <w:tcPr>
            <w:tcW w:w="1474"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right"/>
              <w:rPr/>
            </w:pPr>
            <w:r>
              <w:rPr/>
              <w:t> </w:t>
            </w:r>
          </w:p>
        </w:tc>
      </w:tr>
      <w:tr>
        <w:trPr/>
        <w:tc>
          <w:tcPr>
            <w:tcW w:w="6577" w:type="dxa"/>
            <w:tcBorders/>
            <w:vAlign w:val="center"/>
          </w:tcPr>
          <w:p>
            <w:pPr>
              <w:pStyle w:val="TableContents"/>
              <w:bidi w:val="0"/>
              <w:spacing w:before="0" w:after="283"/>
              <w:jc w:val="left"/>
              <w:rPr/>
            </w:pPr>
            <w:r>
              <w:rPr/>
              <w:t>Net realized gain (loss) on:</w:t>
            </w:r>
          </w:p>
        </w:tc>
        <w:tc>
          <w:tcPr>
            <w:tcW w:w="1474" w:type="dxa"/>
            <w:gridSpan w:val="2"/>
            <w:tcBorders/>
            <w:vAlign w:val="center"/>
          </w:tcPr>
          <w:p>
            <w:pPr>
              <w:pStyle w:val="TableContents"/>
              <w:bidi w:val="0"/>
              <w:spacing w:before="0" w:after="283"/>
              <w:jc w:val="right"/>
              <w:rPr/>
            </w:pPr>
            <w:r>
              <w:rPr/>
              <w:t> </w:t>
            </w:r>
          </w:p>
        </w:tc>
        <w:tc>
          <w:tcPr>
            <w:tcW w:w="249" w:type="dxa"/>
            <w:tcBorders/>
            <w:vAlign w:val="center"/>
          </w:tcPr>
          <w:p>
            <w:pPr>
              <w:pStyle w:val="TableContents"/>
              <w:bidi w:val="0"/>
              <w:spacing w:before="0" w:after="283"/>
              <w:jc w:val="right"/>
              <w:rPr/>
            </w:pPr>
            <w:r>
              <w:rPr/>
              <w:t> </w:t>
            </w:r>
          </w:p>
        </w:tc>
        <w:tc>
          <w:tcPr>
            <w:tcW w:w="201"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right"/>
              <w:rPr/>
            </w:pPr>
            <w:r>
              <w:rPr/>
              <w:t> </w:t>
            </w:r>
          </w:p>
        </w:tc>
      </w:tr>
      <w:tr>
        <w:trPr/>
        <w:tc>
          <w:tcPr>
            <w:tcW w:w="6577" w:type="dxa"/>
            <w:tcBorders/>
            <w:tcMar>
              <w:top w:w="0" w:type="dxa"/>
              <w:left w:w="0" w:type="dxa"/>
              <w:bottom w:w="0" w:type="dxa"/>
              <w:right w:w="0" w:type="dxa"/>
            </w:tcMar>
            <w:vAlign w:val="center"/>
          </w:tcPr>
          <w:p>
            <w:pPr>
              <w:pStyle w:val="TableContents"/>
              <w:bidi w:val="0"/>
              <w:spacing w:before="0" w:after="283"/>
              <w:jc w:val="left"/>
              <w:rPr/>
            </w:pPr>
            <w:r>
              <w:rPr/>
              <w:t>Non-controlled, non-affiliated investments</w:t>
            </w:r>
          </w:p>
        </w:tc>
        <w:tc>
          <w:tcPr>
            <w:tcW w:w="312"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1,457</w:t>
            </w:r>
          </w:p>
        </w:tc>
        <w:tc>
          <w:tcPr>
            <w:tcW w:w="249"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1,181</w:t>
            </w:r>
          </w:p>
        </w:tc>
        <w:tc>
          <w:tcPr>
            <w:tcW w:w="230" w:type="dxa"/>
            <w:tcBorders/>
            <w:vAlign w:val="center"/>
          </w:tcPr>
          <w:p>
            <w:pPr>
              <w:pStyle w:val="TableContents"/>
              <w:bidi w:val="0"/>
              <w:spacing w:before="0" w:after="283"/>
              <w:jc w:val="left"/>
              <w:rPr/>
            </w:pPr>
            <w:r>
              <w:rPr/>
              <w:t> </w:t>
            </w:r>
          </w:p>
        </w:tc>
      </w:tr>
      <w:tr>
        <w:trPr/>
        <w:tc>
          <w:tcPr>
            <w:tcW w:w="6577" w:type="dxa"/>
            <w:tcBorders/>
            <w:tcMar>
              <w:top w:w="0" w:type="dxa"/>
              <w:left w:w="0" w:type="dxa"/>
              <w:bottom w:w="0" w:type="dxa"/>
              <w:right w:w="0" w:type="dxa"/>
            </w:tcMar>
            <w:vAlign w:val="center"/>
          </w:tcPr>
          <w:p>
            <w:pPr>
              <w:pStyle w:val="TableContents"/>
              <w:bidi w:val="0"/>
              <w:spacing w:before="0" w:after="283"/>
              <w:jc w:val="left"/>
              <w:rPr/>
            </w:pPr>
            <w:r>
              <w:rPr/>
              <w:t>Non-controlled and controlled, affiliated investments</w:t>
            </w:r>
          </w:p>
        </w:tc>
        <w:tc>
          <w:tcPr>
            <w:tcW w:w="312"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w:t>
            </w:r>
          </w:p>
        </w:tc>
        <w:tc>
          <w:tcPr>
            <w:tcW w:w="249"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25,493</w:t>
            </w:r>
          </w:p>
        </w:tc>
        <w:tc>
          <w:tcPr>
            <w:tcW w:w="230" w:type="dxa"/>
            <w:tcBorders/>
            <w:vAlign w:val="center"/>
          </w:tcPr>
          <w:p>
            <w:pPr>
              <w:pStyle w:val="TableContents"/>
              <w:bidi w:val="0"/>
              <w:spacing w:before="0" w:after="283"/>
              <w:jc w:val="left"/>
              <w:rPr/>
            </w:pPr>
            <w:r>
              <w:rPr/>
              <w:t> </w:t>
            </w:r>
          </w:p>
        </w:tc>
      </w:tr>
      <w:tr>
        <w:trPr/>
        <w:tc>
          <w:tcPr>
            <w:tcW w:w="6577" w:type="dxa"/>
            <w:tcBorders/>
            <w:tcMar>
              <w:top w:w="0" w:type="dxa"/>
              <w:left w:w="0" w:type="dxa"/>
              <w:bottom w:w="0" w:type="dxa"/>
              <w:right w:w="0" w:type="dxa"/>
            </w:tcMar>
            <w:vAlign w:val="center"/>
          </w:tcPr>
          <w:p>
            <w:pPr>
              <w:pStyle w:val="TableContents"/>
              <w:bidi w:val="0"/>
              <w:spacing w:before="0" w:after="283"/>
              <w:jc w:val="left"/>
              <w:rPr/>
            </w:pPr>
            <w:r>
              <w:rPr/>
              <w:t>Provision for taxes on realized gain (loss) on investments</w:t>
            </w:r>
          </w:p>
        </w:tc>
        <w:tc>
          <w:tcPr>
            <w:tcW w:w="31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249"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1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(73</w:t>
            </w:r>
          </w:p>
        </w:tc>
        <w:tc>
          <w:tcPr>
            <w:tcW w:w="230" w:type="dxa"/>
            <w:tcBorders/>
            <w:vAlign w:val="center"/>
          </w:tcPr>
          <w:p>
            <w:pPr>
              <w:pStyle w:val="TableContents"/>
              <w:bidi w:val="0"/>
              <w:spacing w:before="0" w:after="283"/>
              <w:jc w:val="left"/>
              <w:rPr/>
            </w:pPr>
            <w:r>
              <w:rPr/>
              <w:t>)</w:t>
            </w:r>
          </w:p>
        </w:tc>
      </w:tr>
      <w:tr>
        <w:trPr/>
        <w:tc>
          <w:tcPr>
            <w:tcW w:w="6577"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realized gain (loss) on investments</w:t>
            </w:r>
          </w:p>
        </w:tc>
        <w:tc>
          <w:tcPr>
            <w:tcW w:w="31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62"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1,457</w:t>
            </w:r>
          </w:p>
        </w:tc>
        <w:tc>
          <w:tcPr>
            <w:tcW w:w="249"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1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62"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26,601</w:t>
            </w:r>
          </w:p>
        </w:tc>
        <w:tc>
          <w:tcPr>
            <w:tcW w:w="230" w:type="dxa"/>
            <w:tcBorders/>
            <w:vAlign w:val="center"/>
          </w:tcPr>
          <w:p>
            <w:pPr>
              <w:pStyle w:val="TableContents"/>
              <w:bidi w:val="0"/>
              <w:spacing w:before="0" w:after="283"/>
              <w:jc w:val="left"/>
              <w:rPr/>
            </w:pPr>
            <w:r>
              <w:rPr/>
              <w:t> </w:t>
            </w:r>
          </w:p>
        </w:tc>
      </w:tr>
      <w:tr>
        <w:trPr/>
        <w:tc>
          <w:tcPr>
            <w:tcW w:w="6577" w:type="dxa"/>
            <w:tcBorders/>
            <w:vAlign w:val="center"/>
          </w:tcPr>
          <w:p>
            <w:pPr>
              <w:pStyle w:val="TableContents"/>
              <w:bidi w:val="0"/>
              <w:spacing w:before="0" w:after="283"/>
              <w:jc w:val="left"/>
              <w:rPr/>
            </w:pPr>
            <w:r>
              <w:rPr/>
              <w:t>Net change in unrealized appreciation (depreciation) on:</w:t>
            </w:r>
          </w:p>
        </w:tc>
        <w:tc>
          <w:tcPr>
            <w:tcW w:w="1474" w:type="dxa"/>
            <w:gridSpan w:val="2"/>
            <w:tcBorders/>
            <w:vAlign w:val="center"/>
          </w:tcPr>
          <w:p>
            <w:pPr>
              <w:pStyle w:val="TableContents"/>
              <w:bidi w:val="0"/>
              <w:spacing w:before="0" w:after="283"/>
              <w:jc w:val="right"/>
              <w:rPr/>
            </w:pPr>
            <w:r>
              <w:rPr/>
              <w:t> </w:t>
            </w:r>
          </w:p>
        </w:tc>
        <w:tc>
          <w:tcPr>
            <w:tcW w:w="249" w:type="dxa"/>
            <w:tcBorders/>
            <w:vAlign w:val="center"/>
          </w:tcPr>
          <w:p>
            <w:pPr>
              <w:pStyle w:val="TableContents"/>
              <w:bidi w:val="0"/>
              <w:spacing w:before="0" w:after="283"/>
              <w:jc w:val="right"/>
              <w:rPr/>
            </w:pPr>
            <w:r>
              <w:rPr/>
              <w:t> </w:t>
            </w:r>
          </w:p>
        </w:tc>
        <w:tc>
          <w:tcPr>
            <w:tcW w:w="201"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right"/>
              <w:rPr/>
            </w:pPr>
            <w:r>
              <w:rPr/>
              <w:t> </w:t>
            </w:r>
          </w:p>
        </w:tc>
      </w:tr>
      <w:tr>
        <w:trPr/>
        <w:tc>
          <w:tcPr>
            <w:tcW w:w="6577" w:type="dxa"/>
            <w:tcBorders/>
            <w:tcMar>
              <w:top w:w="0" w:type="dxa"/>
              <w:left w:w="0" w:type="dxa"/>
              <w:bottom w:w="0" w:type="dxa"/>
              <w:right w:w="0" w:type="dxa"/>
            </w:tcMar>
            <w:vAlign w:val="center"/>
          </w:tcPr>
          <w:p>
            <w:pPr>
              <w:pStyle w:val="TableContents"/>
              <w:bidi w:val="0"/>
              <w:spacing w:before="0" w:after="283"/>
              <w:jc w:val="left"/>
              <w:rPr/>
            </w:pPr>
            <w:r>
              <w:rPr/>
              <w:t>Non-controlled, non-affiliated investments</w:t>
            </w:r>
          </w:p>
        </w:tc>
        <w:tc>
          <w:tcPr>
            <w:tcW w:w="312"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(21,266</w:t>
            </w:r>
          </w:p>
        </w:tc>
        <w:tc>
          <w:tcPr>
            <w:tcW w:w="249" w:type="dxa"/>
            <w:tcBorders/>
            <w:vAlign w:val="center"/>
          </w:tcPr>
          <w:p>
            <w:pPr>
              <w:pStyle w:val="TableContents"/>
              <w:bidi w:val="0"/>
              <w:spacing w:before="0" w:after="283"/>
              <w:jc w:val="left"/>
              <w:rPr/>
            </w:pPr>
            <w:r>
              <w:rPr/>
              <w:t>)</w:t>
            </w:r>
          </w:p>
        </w:tc>
        <w:tc>
          <w:tcPr>
            <w:tcW w:w="201"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2,943</w:t>
            </w:r>
          </w:p>
        </w:tc>
        <w:tc>
          <w:tcPr>
            <w:tcW w:w="230" w:type="dxa"/>
            <w:tcBorders/>
            <w:vAlign w:val="center"/>
          </w:tcPr>
          <w:p>
            <w:pPr>
              <w:pStyle w:val="TableContents"/>
              <w:bidi w:val="0"/>
              <w:spacing w:before="0" w:after="283"/>
              <w:jc w:val="left"/>
              <w:rPr/>
            </w:pPr>
            <w:r>
              <w:rPr/>
              <w:t> </w:t>
            </w:r>
          </w:p>
        </w:tc>
      </w:tr>
      <w:tr>
        <w:trPr/>
        <w:tc>
          <w:tcPr>
            <w:tcW w:w="6577" w:type="dxa"/>
            <w:tcBorders/>
            <w:tcMar>
              <w:top w:w="0" w:type="dxa"/>
              <w:left w:w="0" w:type="dxa"/>
              <w:bottom w:w="0" w:type="dxa"/>
              <w:right w:w="0" w:type="dxa"/>
            </w:tcMar>
            <w:vAlign w:val="center"/>
          </w:tcPr>
          <w:p>
            <w:pPr>
              <w:pStyle w:val="TableContents"/>
              <w:bidi w:val="0"/>
              <w:spacing w:before="0" w:after="283"/>
              <w:jc w:val="left"/>
              <w:rPr/>
            </w:pPr>
            <w:r>
              <w:rPr/>
              <w:t>Controlled and non-controlled, affiliated investments</w:t>
            </w:r>
          </w:p>
        </w:tc>
        <w:tc>
          <w:tcPr>
            <w:tcW w:w="312"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(11,021</w:t>
            </w:r>
          </w:p>
        </w:tc>
        <w:tc>
          <w:tcPr>
            <w:tcW w:w="249" w:type="dxa"/>
            <w:tcBorders/>
            <w:vAlign w:val="center"/>
          </w:tcPr>
          <w:p>
            <w:pPr>
              <w:pStyle w:val="TableContents"/>
              <w:bidi w:val="0"/>
              <w:spacing w:before="0" w:after="283"/>
              <w:jc w:val="left"/>
              <w:rPr/>
            </w:pPr>
            <w:r>
              <w:rPr/>
              <w:t>)</w:t>
            </w:r>
          </w:p>
        </w:tc>
        <w:tc>
          <w:tcPr>
            <w:tcW w:w="201"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(31,904</w:t>
            </w:r>
          </w:p>
        </w:tc>
        <w:tc>
          <w:tcPr>
            <w:tcW w:w="230" w:type="dxa"/>
            <w:tcBorders/>
            <w:vAlign w:val="center"/>
          </w:tcPr>
          <w:p>
            <w:pPr>
              <w:pStyle w:val="TableContents"/>
              <w:bidi w:val="0"/>
              <w:spacing w:before="0" w:after="283"/>
              <w:jc w:val="left"/>
              <w:rPr/>
            </w:pPr>
            <w:r>
              <w:rPr/>
              <w:t>)</w:t>
            </w:r>
          </w:p>
        </w:tc>
      </w:tr>
      <w:tr>
        <w:trPr/>
        <w:tc>
          <w:tcPr>
            <w:tcW w:w="6577" w:type="dxa"/>
            <w:tcBorders/>
            <w:tcMar>
              <w:top w:w="0" w:type="dxa"/>
              <w:left w:w="0" w:type="dxa"/>
              <w:bottom w:w="0" w:type="dxa"/>
              <w:right w:w="0" w:type="dxa"/>
            </w:tcMar>
            <w:vAlign w:val="center"/>
          </w:tcPr>
          <w:p>
            <w:pPr>
              <w:pStyle w:val="TableContents"/>
              <w:bidi w:val="0"/>
              <w:spacing w:before="0" w:after="283"/>
              <w:jc w:val="left"/>
              <w:rPr/>
            </w:pPr>
            <w:r>
              <w:rPr/>
              <w:t>Provision for taxes on unrealized appreciation (depreciation) on investments</w:t>
            </w:r>
          </w:p>
        </w:tc>
        <w:tc>
          <w:tcPr>
            <w:tcW w:w="312"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636</w:t>
            </w:r>
          </w:p>
        </w:tc>
        <w:tc>
          <w:tcPr>
            <w:tcW w:w="249"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632</w:t>
            </w:r>
          </w:p>
        </w:tc>
        <w:tc>
          <w:tcPr>
            <w:tcW w:w="230" w:type="dxa"/>
            <w:tcBorders/>
            <w:vAlign w:val="center"/>
          </w:tcPr>
          <w:p>
            <w:pPr>
              <w:pStyle w:val="TableContents"/>
              <w:bidi w:val="0"/>
              <w:spacing w:before="0" w:after="283"/>
              <w:jc w:val="left"/>
              <w:rPr/>
            </w:pPr>
            <w:r>
              <w:rPr/>
              <w:t> </w:t>
            </w:r>
          </w:p>
        </w:tc>
      </w:tr>
      <w:tr>
        <w:trPr/>
        <w:tc>
          <w:tcPr>
            <w:tcW w:w="6577" w:type="dxa"/>
            <w:tcBorders/>
            <w:tcMar>
              <w:top w:w="0" w:type="dxa"/>
              <w:left w:w="0" w:type="dxa"/>
              <w:bottom w:w="0" w:type="dxa"/>
              <w:right w:w="0" w:type="dxa"/>
            </w:tcMar>
            <w:vAlign w:val="center"/>
          </w:tcPr>
          <w:p>
            <w:pPr>
              <w:pStyle w:val="TableContents"/>
              <w:bidi w:val="0"/>
              <w:spacing w:before="0" w:after="283"/>
              <w:jc w:val="left"/>
              <w:rPr/>
            </w:pPr>
            <w:r>
              <w:rPr/>
              <w:t>Debt appreciation (depreciation)</w:t>
            </w:r>
          </w:p>
        </w:tc>
        <w:tc>
          <w:tcPr>
            <w:tcW w:w="31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(22</w:t>
            </w:r>
          </w:p>
        </w:tc>
        <w:tc>
          <w:tcPr>
            <w:tcW w:w="249" w:type="dxa"/>
            <w:tcBorders/>
            <w:vAlign w:val="center"/>
          </w:tcPr>
          <w:p>
            <w:pPr>
              <w:pStyle w:val="TableContents"/>
              <w:bidi w:val="0"/>
              <w:spacing w:before="0" w:after="283"/>
              <w:jc w:val="left"/>
              <w:rPr/>
            </w:pPr>
            <w:r>
              <w:rPr/>
              <w:t>)</w:t>
            </w:r>
          </w:p>
        </w:tc>
        <w:tc>
          <w:tcPr>
            <w:tcW w:w="201" w:type="dxa"/>
            <w:tcBorders/>
            <w:vAlign w:val="center"/>
          </w:tcPr>
          <w:p>
            <w:pPr>
              <w:pStyle w:val="TableContents"/>
              <w:bidi w:val="0"/>
              <w:spacing w:before="0" w:after="283"/>
              <w:jc w:val="left"/>
              <w:rPr/>
            </w:pPr>
            <w:r>
              <w:rPr/>
              <w:t> </w:t>
            </w:r>
          </w:p>
        </w:tc>
        <w:tc>
          <w:tcPr>
            <w:tcW w:w="31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90</w:t>
            </w:r>
          </w:p>
        </w:tc>
        <w:tc>
          <w:tcPr>
            <w:tcW w:w="230" w:type="dxa"/>
            <w:tcBorders/>
            <w:vAlign w:val="center"/>
          </w:tcPr>
          <w:p>
            <w:pPr>
              <w:pStyle w:val="TableContents"/>
              <w:bidi w:val="0"/>
              <w:spacing w:before="0" w:after="283"/>
              <w:jc w:val="left"/>
              <w:rPr/>
            </w:pPr>
            <w:r>
              <w:rPr/>
              <w:t> </w:t>
            </w:r>
          </w:p>
        </w:tc>
      </w:tr>
      <w:tr>
        <w:trPr/>
        <w:tc>
          <w:tcPr>
            <w:tcW w:w="6577"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change in unrealized appreciation (depreciation) on investments and debt</w:t>
            </w:r>
          </w:p>
        </w:tc>
        <w:tc>
          <w:tcPr>
            <w:tcW w:w="3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6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(31,673</w:t>
            </w:r>
          </w:p>
        </w:tc>
        <w:tc>
          <w:tcPr>
            <w:tcW w:w="249" w:type="dxa"/>
            <w:tcBorders/>
            <w:vAlign w:val="center"/>
          </w:tcPr>
          <w:p>
            <w:pPr>
              <w:pStyle w:val="TableContents"/>
              <w:bidi w:val="0"/>
              <w:spacing w:before="0" w:after="283"/>
              <w:jc w:val="left"/>
              <w:rPr/>
            </w:pPr>
            <w:r>
              <w:rPr/>
              <w:t>)</w:t>
            </w:r>
          </w:p>
        </w:tc>
        <w:tc>
          <w:tcPr>
            <w:tcW w:w="201" w:type="dxa"/>
            <w:tcBorders/>
            <w:vAlign w:val="center"/>
          </w:tcPr>
          <w:p>
            <w:pPr>
              <w:pStyle w:val="TableContents"/>
              <w:bidi w:val="0"/>
              <w:spacing w:before="0" w:after="283"/>
              <w:jc w:val="left"/>
              <w:rPr/>
            </w:pPr>
            <w:r>
              <w:rPr/>
              <w:t> </w:t>
            </w:r>
          </w:p>
        </w:tc>
        <w:tc>
          <w:tcPr>
            <w:tcW w:w="3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6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(28,239</w:t>
            </w:r>
          </w:p>
        </w:tc>
        <w:tc>
          <w:tcPr>
            <w:tcW w:w="230" w:type="dxa"/>
            <w:tcBorders/>
            <w:vAlign w:val="center"/>
          </w:tcPr>
          <w:p>
            <w:pPr>
              <w:pStyle w:val="TableContents"/>
              <w:bidi w:val="0"/>
              <w:spacing w:before="0" w:after="283"/>
              <w:jc w:val="left"/>
              <w:rPr/>
            </w:pPr>
            <w:r>
              <w:rPr/>
              <w:t>)</w:t>
            </w:r>
          </w:p>
        </w:tc>
      </w:tr>
      <w:tr>
        <w:trPr/>
        <w:tc>
          <w:tcPr>
            <w:tcW w:w="6577" w:type="dxa"/>
            <w:tcBorders/>
            <w:vAlign w:val="center"/>
          </w:tcPr>
          <w:p>
            <w:pPr>
              <w:pStyle w:val="TableContents"/>
              <w:bidi w:val="0"/>
              <w:spacing w:before="0" w:after="283"/>
              <w:jc w:val="left"/>
              <w:rPr/>
            </w:pPr>
            <w:r>
              <w:rPr>
                <w:rStyle w:val="StrongEmphasis"/>
              </w:rPr>
              <w:t>Net realized and unrealized gain (loss) from investments and debt</w:t>
            </w:r>
          </w:p>
        </w:tc>
        <w:tc>
          <w:tcPr>
            <w:tcW w:w="3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6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(30,216</w:t>
            </w:r>
          </w:p>
        </w:tc>
        <w:tc>
          <w:tcPr>
            <w:tcW w:w="249" w:type="dxa"/>
            <w:tcBorders/>
            <w:vAlign w:val="center"/>
          </w:tcPr>
          <w:p>
            <w:pPr>
              <w:pStyle w:val="TableContents"/>
              <w:bidi w:val="0"/>
              <w:spacing w:before="0" w:after="283"/>
              <w:jc w:val="left"/>
              <w:rPr/>
            </w:pPr>
            <w:r>
              <w:rPr/>
              <w:t>)</w:t>
            </w:r>
          </w:p>
        </w:tc>
        <w:tc>
          <w:tcPr>
            <w:tcW w:w="201" w:type="dxa"/>
            <w:tcBorders/>
            <w:vAlign w:val="center"/>
          </w:tcPr>
          <w:p>
            <w:pPr>
              <w:pStyle w:val="TableContents"/>
              <w:bidi w:val="0"/>
              <w:spacing w:before="0" w:after="283"/>
              <w:jc w:val="left"/>
              <w:rPr/>
            </w:pPr>
            <w:r>
              <w:rPr/>
              <w:t> </w:t>
            </w:r>
          </w:p>
        </w:tc>
        <w:tc>
          <w:tcPr>
            <w:tcW w:w="3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6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(1,638</w:t>
            </w:r>
          </w:p>
        </w:tc>
        <w:tc>
          <w:tcPr>
            <w:tcW w:w="230" w:type="dxa"/>
            <w:tcBorders/>
            <w:vAlign w:val="center"/>
          </w:tcPr>
          <w:p>
            <w:pPr>
              <w:pStyle w:val="TableContents"/>
              <w:bidi w:val="0"/>
              <w:spacing w:before="0" w:after="283"/>
              <w:jc w:val="left"/>
              <w:rPr/>
            </w:pPr>
            <w:r>
              <w:rPr/>
              <w:t>)</w:t>
            </w:r>
          </w:p>
        </w:tc>
      </w:tr>
      <w:tr>
        <w:trPr/>
        <w:tc>
          <w:tcPr>
            <w:tcW w:w="6577" w:type="dxa"/>
            <w:tcBorders/>
            <w:vAlign w:val="center"/>
          </w:tcPr>
          <w:p>
            <w:pPr>
              <w:pStyle w:val="TableContents"/>
              <w:bidi w:val="0"/>
              <w:spacing w:before="0" w:after="283"/>
              <w:jc w:val="left"/>
              <w:rPr/>
            </w:pPr>
            <w:r>
              <w:rPr>
                <w:rStyle w:val="StrongEmphasis"/>
              </w:rPr>
              <w:t>Net increase (decrease) in net assets resulting from operations</w:t>
            </w:r>
          </w:p>
        </w:tc>
        <w:tc>
          <w:tcPr>
            <w:tcW w:w="31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16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(3,578</w:t>
            </w:r>
          </w:p>
        </w:tc>
        <w:tc>
          <w:tcPr>
            <w:tcW w:w="249" w:type="dxa"/>
            <w:tcBorders/>
            <w:vAlign w:val="center"/>
          </w:tcPr>
          <w:p>
            <w:pPr>
              <w:pStyle w:val="TableContents"/>
              <w:bidi w:val="0"/>
              <w:spacing w:before="0" w:after="283"/>
              <w:jc w:val="left"/>
              <w:rPr/>
            </w:pPr>
            <w:r>
              <w:rPr/>
              <w:t>)</w:t>
            </w:r>
          </w:p>
        </w:tc>
        <w:tc>
          <w:tcPr>
            <w:tcW w:w="201" w:type="dxa"/>
            <w:tcBorders/>
            <w:vAlign w:val="center"/>
          </w:tcPr>
          <w:p>
            <w:pPr>
              <w:pStyle w:val="TableContents"/>
              <w:bidi w:val="0"/>
              <w:spacing w:before="0" w:after="283"/>
              <w:jc w:val="left"/>
              <w:rPr/>
            </w:pPr>
            <w:r>
              <w:rPr/>
              <w:t> </w:t>
            </w:r>
          </w:p>
        </w:tc>
        <w:tc>
          <w:tcPr>
            <w:tcW w:w="31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16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28,329</w:t>
            </w:r>
          </w:p>
        </w:tc>
        <w:tc>
          <w:tcPr>
            <w:tcW w:w="230" w:type="dxa"/>
            <w:tcBorders/>
            <w:vAlign w:val="center"/>
          </w:tcPr>
          <w:p>
            <w:pPr>
              <w:pStyle w:val="TableContents"/>
              <w:bidi w:val="0"/>
              <w:spacing w:before="0" w:after="283"/>
              <w:jc w:val="left"/>
              <w:rPr/>
            </w:pPr>
            <w:r>
              <w:rPr/>
              <w:t> </w:t>
            </w:r>
          </w:p>
        </w:tc>
      </w:tr>
      <w:tr>
        <w:trPr/>
        <w:tc>
          <w:tcPr>
            <w:tcW w:w="6577" w:type="dxa"/>
            <w:tcBorders/>
            <w:vAlign w:val="center"/>
          </w:tcPr>
          <w:p>
            <w:pPr>
              <w:pStyle w:val="TableContents"/>
              <w:bidi w:val="0"/>
              <w:spacing w:before="0" w:after="283"/>
              <w:jc w:val="left"/>
              <w:rPr/>
            </w:pPr>
            <w:r>
              <w:rPr>
                <w:rStyle w:val="StrongEmphasis"/>
              </w:rPr>
              <w:t>Net increase (decrease) in net assets resulting from operations per common share</w:t>
            </w:r>
          </w:p>
        </w:tc>
        <w:tc>
          <w:tcPr>
            <w:tcW w:w="312"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162"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(0.04</w:t>
            </w:r>
          </w:p>
        </w:tc>
        <w:tc>
          <w:tcPr>
            <w:tcW w:w="249" w:type="dxa"/>
            <w:tcBorders/>
            <w:vAlign w:val="center"/>
          </w:tcPr>
          <w:p>
            <w:pPr>
              <w:pStyle w:val="TableContents"/>
              <w:bidi w:val="0"/>
              <w:spacing w:before="0" w:after="283"/>
              <w:jc w:val="left"/>
              <w:rPr/>
            </w:pPr>
            <w:r>
              <w:rPr/>
              <w:t>)</w:t>
            </w:r>
          </w:p>
        </w:tc>
        <w:tc>
          <w:tcPr>
            <w:tcW w:w="201" w:type="dxa"/>
            <w:tcBorders/>
            <w:vAlign w:val="center"/>
          </w:tcPr>
          <w:p>
            <w:pPr>
              <w:pStyle w:val="TableContents"/>
              <w:bidi w:val="0"/>
              <w:spacing w:before="0" w:after="283"/>
              <w:jc w:val="left"/>
              <w:rPr/>
            </w:pPr>
            <w:r>
              <w:rPr/>
              <w:t> </w:t>
            </w:r>
          </w:p>
        </w:tc>
        <w:tc>
          <w:tcPr>
            <w:tcW w:w="312"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162"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0.35</w:t>
            </w:r>
          </w:p>
        </w:tc>
        <w:tc>
          <w:tcPr>
            <w:tcW w:w="230" w:type="dxa"/>
            <w:tcBorders/>
            <w:vAlign w:val="center"/>
          </w:tcPr>
          <w:p>
            <w:pPr>
              <w:pStyle w:val="TableContents"/>
              <w:bidi w:val="0"/>
              <w:spacing w:before="0" w:after="283"/>
              <w:jc w:val="left"/>
              <w:rPr/>
            </w:pPr>
            <w:r>
              <w:rPr/>
              <w:t> </w:t>
            </w:r>
          </w:p>
        </w:tc>
      </w:tr>
      <w:tr>
        <w:trPr/>
        <w:tc>
          <w:tcPr>
            <w:tcW w:w="6577" w:type="dxa"/>
            <w:tcBorders/>
            <w:vAlign w:val="center"/>
          </w:tcPr>
          <w:p>
            <w:pPr>
              <w:pStyle w:val="TableContents"/>
              <w:bidi w:val="0"/>
              <w:spacing w:before="0" w:after="283"/>
              <w:jc w:val="left"/>
              <w:rPr/>
            </w:pPr>
            <w:r>
              <w:rPr/>
              <w:t>Net investment income per common share</w:t>
            </w:r>
          </w:p>
        </w:tc>
        <w:tc>
          <w:tcPr>
            <w:tcW w:w="312"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162"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0.27</w:t>
            </w:r>
          </w:p>
        </w:tc>
        <w:tc>
          <w:tcPr>
            <w:tcW w:w="249"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312"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162"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0.37</w:t>
            </w:r>
          </w:p>
        </w:tc>
        <w:tc>
          <w:tcPr>
            <w:tcW w:w="230" w:type="dxa"/>
            <w:tcBorders/>
            <w:vAlign w:val="center"/>
          </w:tcPr>
          <w:p>
            <w:pPr>
              <w:pStyle w:val="TableContents"/>
              <w:bidi w:val="0"/>
              <w:spacing w:before="0" w:after="283"/>
              <w:jc w:val="left"/>
              <w:rPr/>
            </w:pPr>
            <w:r>
              <w:rPr/>
              <w:t> </w:t>
            </w:r>
          </w:p>
        </w:tc>
      </w:tr>
    </w:tbl>
    <w:p>
      <w:pPr>
        <w:pStyle w:val="TextBody"/>
        <w:bidi w:val="0"/>
        <w:jc w:val="both"/>
        <w:rPr>
          <w:rStyle w:val="StrongEmphasis"/>
        </w:rPr>
      </w:pPr>
      <w:r>
        <w:rPr/>
      </w:r>
    </w:p>
    <w:p>
      <w:pPr>
        <w:pStyle w:val="TextBody"/>
        <w:bidi w:val="0"/>
        <w:jc w:val="both"/>
        <w:rPr/>
      </w:pPr>
      <w:r>
        <w:rPr>
          <w:rStyle w:val="StrongEmphasis"/>
        </w:rPr>
        <w:t>ABOUT PENNANTPARK FLOATING RATE CAPITAL LTD.</w:t>
      </w:r>
    </w:p>
    <w:p>
      <w:pPr>
        <w:pStyle w:val="TextBody"/>
        <w:bidi w:val="0"/>
        <w:jc w:val="both"/>
        <w:rPr/>
      </w:pPr>
      <w:r>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pStyle w:val="TextBody"/>
        <w:bidi w:val="0"/>
        <w:spacing w:before="0" w:after="283"/>
        <w:jc w:val="left"/>
        <w:rPr/>
      </w:pPr>
      <w:r>
        <w:rPr>
          <w:rStyle w:val="StrongEmphasis"/>
        </w:rPr>
        <w:t xml:space="preserve">ABOUT PENNANTPARK INVESTMENT ADVISERS, LLC </w:t>
      </w:r>
    </w:p>
    <w:p>
      <w:pPr>
        <w:pStyle w:val="TextBody"/>
        <w:bidi w:val="0"/>
        <w:jc w:val="both"/>
        <w:rPr/>
      </w:pPr>
      <w:r>
        <w:rPr/>
        <w:t xml:space="preserve">PennantPark Investment Advisers, LLC, a leading middle-market credit platform, and its affiliates, manage approximately $10 billion of investable capital, including potential leverage. Since its inception in 2007, PennantPark Investment Advisers, LLC has provided investors access to middle-market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 For more information about PennantPark and affiliates, please go to our website at </w:t>
      </w:r>
      <w:r>
        <w:rPr>
          <w:u w:val="single"/>
        </w:rPr>
        <w:t>www.pennantpark.com</w:t>
      </w:r>
      <w:r>
        <w:rPr/>
        <w:t>.</w:t>
      </w:r>
    </w:p>
    <w:p>
      <w:pPr>
        <w:pStyle w:val="TextBody"/>
        <w:bidi w:val="0"/>
        <w:jc w:val="both"/>
        <w:rPr/>
      </w:pPr>
      <w:r>
        <w:rPr>
          <w:rStyle w:val="StrongEmphasis"/>
        </w:rPr>
        <w:t>FORWARD-LOOKING STATEMENTS AND OTHER</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of 1933, as amended, and Section 21E(b)(2)(B)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jc w:val="both"/>
        <w:rPr/>
      </w:pPr>
      <w:r>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pStyle w:val="TextBody"/>
        <w:bidi w:val="0"/>
        <w:jc w:val="both"/>
        <w:rPr/>
      </w:pPr>
      <w:r>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tbl>
      <w:tblPr>
        <w:tblW w:w="5222" w:type="dxa"/>
        <w:jc w:val="center"/>
        <w:tblInd w:w="0" w:type="dxa"/>
        <w:tblLayout w:type="fixed"/>
        <w:tblCellMar>
          <w:top w:w="28" w:type="dxa"/>
          <w:left w:w="28" w:type="dxa"/>
          <w:bottom w:w="28" w:type="dxa"/>
          <w:right w:w="28" w:type="dxa"/>
        </w:tblCellMar>
      </w:tblPr>
      <w:tblGrid>
        <w:gridCol w:w="1351"/>
        <w:gridCol w:w="3871"/>
      </w:tblGrid>
      <w:tr>
        <w:trPr/>
        <w:tc>
          <w:tcPr>
            <w:tcW w:w="1351" w:type="dxa"/>
            <w:tcBorders/>
            <w:vAlign w:val="center"/>
          </w:tcPr>
          <w:p>
            <w:pPr>
              <w:pStyle w:val="TableContents"/>
              <w:bidi w:val="0"/>
              <w:spacing w:before="0" w:after="283"/>
              <w:jc w:val="left"/>
              <w:rPr/>
            </w:pPr>
            <w:r>
              <w:rPr/>
              <w:t>CONTACT:</w:t>
            </w:r>
          </w:p>
        </w:tc>
        <w:tc>
          <w:tcPr>
            <w:tcW w:w="3871" w:type="dxa"/>
            <w:tcBorders/>
            <w:vAlign w:val="center"/>
          </w:tcPr>
          <w:p>
            <w:pPr>
              <w:pStyle w:val="TableContents"/>
              <w:bidi w:val="0"/>
              <w:spacing w:before="0" w:after="283"/>
              <w:jc w:val="both"/>
              <w:rPr/>
            </w:pPr>
            <w:r>
              <w:rPr/>
              <w:t>Richard T. Allorto, Jr.</w:t>
            </w:r>
          </w:p>
        </w:tc>
      </w:tr>
      <w:tr>
        <w:trPr/>
        <w:tc>
          <w:tcPr>
            <w:tcW w:w="1351" w:type="dxa"/>
            <w:tcBorders/>
            <w:vAlign w:val="center"/>
          </w:tcPr>
          <w:p>
            <w:pPr>
              <w:pStyle w:val="TableContents"/>
              <w:bidi w:val="0"/>
              <w:spacing w:before="0" w:after="283"/>
              <w:jc w:val="left"/>
              <w:rPr/>
            </w:pPr>
            <w:r>
              <w:rPr/>
              <w:t> </w:t>
            </w:r>
          </w:p>
        </w:tc>
        <w:tc>
          <w:tcPr>
            <w:tcW w:w="3871" w:type="dxa"/>
            <w:tcBorders/>
            <w:vAlign w:val="center"/>
          </w:tcPr>
          <w:p>
            <w:pPr>
              <w:pStyle w:val="TableContents"/>
              <w:bidi w:val="0"/>
              <w:spacing w:before="0" w:after="283"/>
              <w:jc w:val="both"/>
              <w:rPr/>
            </w:pPr>
            <w:r>
              <w:rPr/>
              <w:t>PennantPark Floating Rate Capital Ltd.</w:t>
            </w:r>
          </w:p>
        </w:tc>
      </w:tr>
      <w:tr>
        <w:trPr/>
        <w:tc>
          <w:tcPr>
            <w:tcW w:w="1351" w:type="dxa"/>
            <w:tcBorders/>
            <w:vAlign w:val="center"/>
          </w:tcPr>
          <w:p>
            <w:pPr>
              <w:pStyle w:val="TableContents"/>
              <w:bidi w:val="0"/>
              <w:spacing w:before="0" w:after="283"/>
              <w:jc w:val="left"/>
              <w:rPr/>
            </w:pPr>
            <w:r>
              <w:rPr/>
              <w:t> </w:t>
            </w:r>
          </w:p>
        </w:tc>
        <w:tc>
          <w:tcPr>
            <w:tcW w:w="3871" w:type="dxa"/>
            <w:tcBorders/>
            <w:vAlign w:val="center"/>
          </w:tcPr>
          <w:p>
            <w:pPr>
              <w:pStyle w:val="TableContents"/>
              <w:bidi w:val="0"/>
              <w:spacing w:before="0" w:after="283"/>
              <w:jc w:val="left"/>
              <w:rPr/>
            </w:pPr>
            <w:r>
              <w:rPr/>
              <w:t>(212) 905-1000</w:t>
            </w:r>
          </w:p>
        </w:tc>
      </w:tr>
      <w:tr>
        <w:trPr/>
        <w:tc>
          <w:tcPr>
            <w:tcW w:w="1351" w:type="dxa"/>
            <w:tcBorders/>
            <w:vAlign w:val="center"/>
          </w:tcPr>
          <w:p>
            <w:pPr>
              <w:pStyle w:val="TableContents"/>
              <w:bidi w:val="0"/>
              <w:spacing w:before="0" w:after="283"/>
              <w:jc w:val="left"/>
              <w:rPr/>
            </w:pPr>
            <w:r>
              <w:rPr/>
              <w:t> </w:t>
            </w:r>
          </w:p>
        </w:tc>
        <w:tc>
          <w:tcPr>
            <w:tcW w:w="3871" w:type="dxa"/>
            <w:tcBorders/>
            <w:vAlign w:val="center"/>
          </w:tcPr>
          <w:p>
            <w:pPr>
              <w:pStyle w:val="TableContents"/>
              <w:bidi w:val="0"/>
              <w:spacing w:before="0" w:after="283"/>
              <w:jc w:val="both"/>
              <w:rPr>
                <w:u w:val="single"/>
              </w:rPr>
            </w:pPr>
            <w:r>
              <w:rPr>
                <w:u w:val="single"/>
              </w:rPr>
              <w:t>www.pennantpark.com</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4376</Words>
  <Characters>24760</Characters>
  <CharactersWithSpaces>29195</CharactersWithSpaces>
  <Paragraphs>884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