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PENNANTPARK FLOATING RATE CAPITAL LTD.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590 MADISON AVENUE, 15TH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NEW YORK, NY 10022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ind w:right="-3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February 5, 2019</w:t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VIA EDGAR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Division of Investment Management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100 F Street, N.E.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Washington, DC 20549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Attn: John Ganley and Megan Miller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PennantPark Floating Rate Capital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Registration Statement on Form N-2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File Number 333-215111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Dear Commissioners: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jc w:val="both"/>
        <w:spacing w:after="0" w:line="30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Pursuant to Rule 461 under the Securities Act of 1933, as amended, PennantPark Floating Rate Capital Ltd. (the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Company</w:t>
      </w:r>
      <w:r>
        <w:rPr>
          <w:rFonts w:ascii="Arial" w:cs="Arial" w:eastAsia="Arial" w:hAnsi="Arial"/>
          <w:sz w:val="17"/>
          <w:szCs w:val="17"/>
          <w:color w:val="auto"/>
        </w:rPr>
        <w:t>”) respectfully requests acceleration of the effective date of Post-Effective Amendment No. 4 to its Registration Statement on Form N-2 (Registration No. 333-215111) (the “</w:t>
      </w:r>
      <w:r>
        <w:rPr>
          <w:rFonts w:ascii="Arial" w:cs="Arial" w:eastAsia="Arial" w:hAnsi="Arial"/>
          <w:sz w:val="17"/>
          <w:szCs w:val="17"/>
          <w:u w:val="single" w:color="auto"/>
          <w:color w:val="auto"/>
        </w:rPr>
        <w:t>Registration Statement</w:t>
      </w:r>
      <w:r>
        <w:rPr>
          <w:rFonts w:ascii="Arial" w:cs="Arial" w:eastAsia="Arial" w:hAnsi="Arial"/>
          <w:sz w:val="17"/>
          <w:szCs w:val="17"/>
          <w:color w:val="auto"/>
        </w:rPr>
        <w:t>”) so that such Registration Statement may be declared effective on February 6, 2019, or as soon as practicable thereafter.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right="16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We request that we be notified of such effectiveness by a telephone call to Thomas J. Friedmann of Dechert LLP at (617) 728-7120, and that such effectiveness also be confirmed in writing.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Very truly yours,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PennantPark Floating Rate Capital Ltd.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By: /s/ Aviv Efrat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4681220</wp:posOffset>
            </wp:positionH>
            <wp:positionV relativeFrom="paragraph">
              <wp:posOffset>15240</wp:posOffset>
            </wp:positionV>
            <wp:extent cx="270764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Name: Aviv Efrat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Title: Chief Financial Officer</w:t>
      </w:r>
    </w:p>
    <w:sectPr>
      <w:pgSz w:w="12240" w:h="15840" w:orient="portrait"/>
      <w:cols w:equalWidth="0" w:num="1">
        <w:col w:w="11240"/>
      </w:cols>
      <w:pgMar w:left="300" w:top="95" w:right="70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2019-12-15T18:07:15Z</dcterms:created>
  <dcterms:modified xsi:type="dcterms:W3CDTF">2019-12-15T18:07:15Z</dcterms:modified>
</cp:coreProperties>
</file>